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127876" w:displacedByCustomXml="next"/>
    <w:bookmarkStart w:id="1" w:name="_Toc19023741" w:displacedByCustomXml="next"/>
    <w:bookmarkStart w:id="2" w:name="_Toc19107846" w:displacedByCustomXml="next"/>
    <w:sdt>
      <w:sdtPr>
        <w:alias w:val="Title"/>
        <w:tag w:val=""/>
        <w:id w:val="-2134860153"/>
        <w:placeholder>
          <w:docPart w:val="06AFD42D2B4E4C0683DC4B70B18ADF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355FDF0" w14:textId="6D95783C" w:rsidR="00EC00A2" w:rsidRDefault="00C86819" w:rsidP="00EC00A2">
          <w:pPr>
            <w:pStyle w:val="Title"/>
          </w:pPr>
          <w:r>
            <w:t>Guide to calculating the exceptions from the Australian location test</w:t>
          </w:r>
        </w:p>
      </w:sdtContent>
    </w:sdt>
    <w:p w14:paraId="7FAF5E17" w14:textId="5B765521" w:rsidR="002F49E2" w:rsidRDefault="002F49E2" w:rsidP="002F49E2">
      <w:pPr>
        <w:pStyle w:val="Subtitle"/>
      </w:pPr>
      <w:r>
        <w:t>Venture Capital Programs</w:t>
      </w:r>
    </w:p>
    <w:p w14:paraId="74669A07" w14:textId="77777777" w:rsidR="002F49E2" w:rsidRPr="00E905E0" w:rsidRDefault="002F49E2" w:rsidP="002F49E2">
      <w:pPr>
        <w:pStyle w:val="Heading2"/>
      </w:pPr>
      <w:r w:rsidRPr="00E905E0">
        <w:t xml:space="preserve">What is </w:t>
      </w:r>
      <w:r>
        <w:t xml:space="preserve">the </w:t>
      </w:r>
      <w:r w:rsidRPr="00E905E0">
        <w:t>foreign investment</w:t>
      </w:r>
      <w:r>
        <w:t xml:space="preserve"> location test</w:t>
      </w:r>
      <w:r w:rsidRPr="00E905E0">
        <w:t>?</w:t>
      </w:r>
    </w:p>
    <w:p w14:paraId="1F2FFA07" w14:textId="47798A00" w:rsidR="002F49E2" w:rsidRDefault="002F49E2" w:rsidP="002F49E2">
      <w:pPr>
        <w:rPr>
          <w:color w:val="FF0000"/>
        </w:rPr>
      </w:pPr>
      <w:r>
        <w:t xml:space="preserve">The location test applies when an Australian based </w:t>
      </w:r>
      <w:proofErr w:type="gramStart"/>
      <w:r>
        <w:t>early stage</w:t>
      </w:r>
      <w:proofErr w:type="gramEnd"/>
      <w:r>
        <w:t xml:space="preserve"> venture capital limited partnership (ESVCLP) or</w:t>
      </w:r>
      <w:r w:rsidRPr="00C770CD">
        <w:t xml:space="preserve"> vent</w:t>
      </w:r>
      <w:r>
        <w:t xml:space="preserve">ure capital limited partnership (VCLP) invests in a company located outside of </w:t>
      </w:r>
      <w:r w:rsidRPr="00691855">
        <w:t xml:space="preserve">Australia. To ensure that Australian partnerships are supporting the Australian economy and businesses, </w:t>
      </w:r>
      <w:bookmarkStart w:id="3" w:name="_Hlk127968167"/>
      <w:r w:rsidR="00691855" w:rsidRPr="00691855">
        <w:fldChar w:fldCharType="begin"/>
      </w:r>
      <w:r w:rsidR="00691855" w:rsidRPr="00691855">
        <w:instrText xml:space="preserve"> HYPERLINK "https://www.legislation.gov.au/Details/C2022C00307/Html/Volume_3#_Toc115960828" </w:instrText>
      </w:r>
      <w:r w:rsidR="00691855" w:rsidRPr="00691855">
        <w:fldChar w:fldCharType="separate"/>
      </w:r>
      <w:r w:rsidRPr="00691855">
        <w:rPr>
          <w:rStyle w:val="Hyperlink"/>
        </w:rPr>
        <w:t>s118-425(2)</w:t>
      </w:r>
      <w:r w:rsidR="00691855" w:rsidRPr="00691855">
        <w:fldChar w:fldCharType="end"/>
      </w:r>
      <w:r w:rsidRPr="00691855">
        <w:t xml:space="preserve"> and </w:t>
      </w:r>
      <w:hyperlink r:id="rId12" w:anchor="_Toc115960829" w:history="1">
        <w:r w:rsidR="00DA500B" w:rsidRPr="00691855">
          <w:rPr>
            <w:rStyle w:val="Hyperlink"/>
          </w:rPr>
          <w:t>s</w:t>
        </w:r>
        <w:r w:rsidRPr="00691855">
          <w:rPr>
            <w:rStyle w:val="Hyperlink"/>
          </w:rPr>
          <w:t>118-427(3)</w:t>
        </w:r>
      </w:hyperlink>
      <w:r w:rsidRPr="00691855">
        <w:t xml:space="preserve"> of the </w:t>
      </w:r>
      <w:r w:rsidRPr="00691855">
        <w:rPr>
          <w:i/>
        </w:rPr>
        <w:t>Income Tax</w:t>
      </w:r>
      <w:r w:rsidRPr="00193B07">
        <w:rPr>
          <w:i/>
        </w:rPr>
        <w:t xml:space="preserve"> Assessment Act 1997</w:t>
      </w:r>
      <w:r>
        <w:t xml:space="preserve"> (ITAA 1997) </w:t>
      </w:r>
      <w:bookmarkEnd w:id="3"/>
      <w:r>
        <w:t>states that investee companies must be Australian residents at the time of investment and have more than 50 per cent of their employees and assets situated in Australia.</w:t>
      </w:r>
    </w:p>
    <w:p w14:paraId="0E979F36" w14:textId="77777777" w:rsidR="002F49E2" w:rsidRPr="00A84F17" w:rsidRDefault="002F49E2" w:rsidP="002F49E2">
      <w:pPr>
        <w:spacing w:after="200"/>
      </w:pPr>
      <w:r w:rsidRPr="00A84F17">
        <w:rPr>
          <w:i/>
        </w:rPr>
        <w:t>Note:</w:t>
      </w:r>
      <w:r w:rsidRPr="00A84F17">
        <w:t xml:space="preserve"> </w:t>
      </w:r>
      <w:r w:rsidRPr="00A84F17">
        <w:rPr>
          <w:i/>
        </w:rPr>
        <w:t>If the investment is an initial investment,</w:t>
      </w:r>
      <w:r>
        <w:rPr>
          <w:i/>
        </w:rPr>
        <w:t xml:space="preserve"> at least</w:t>
      </w:r>
      <w:r w:rsidRPr="00A84F17">
        <w:rPr>
          <w:i/>
        </w:rPr>
        <w:t xml:space="preserve"> 50 per cent of </w:t>
      </w:r>
      <w:r>
        <w:rPr>
          <w:i/>
        </w:rPr>
        <w:t xml:space="preserve">investee company </w:t>
      </w:r>
      <w:r w:rsidRPr="00A84F17">
        <w:rPr>
          <w:i/>
        </w:rPr>
        <w:t xml:space="preserve">employees and assets </w:t>
      </w:r>
      <w:r>
        <w:rPr>
          <w:i/>
        </w:rPr>
        <w:t xml:space="preserve">must remain </w:t>
      </w:r>
      <w:r w:rsidRPr="00A84F17">
        <w:rPr>
          <w:i/>
        </w:rPr>
        <w:t>situated in Australia for 12 months</w:t>
      </w:r>
      <w:r>
        <w:t xml:space="preserve"> under </w:t>
      </w:r>
      <w:r w:rsidRPr="0063036F">
        <w:rPr>
          <w:i/>
          <w:iCs/>
        </w:rPr>
        <w:t>s118-425(2)(b)(ii)</w:t>
      </w:r>
      <w:r w:rsidRPr="00A84F17">
        <w:t xml:space="preserve"> </w:t>
      </w:r>
      <w:r w:rsidRPr="0063036F">
        <w:rPr>
          <w:i/>
          <w:iCs/>
        </w:rPr>
        <w:t>of the ITAA 1997</w:t>
      </w:r>
      <w:r>
        <w:t>.</w:t>
      </w:r>
    </w:p>
    <w:p w14:paraId="69C384BA" w14:textId="77777777" w:rsidR="002F49E2" w:rsidRPr="00193B07" w:rsidRDefault="002F49E2" w:rsidP="002F49E2">
      <w:pPr>
        <w:pStyle w:val="Heading2"/>
      </w:pPr>
      <w:r w:rsidRPr="00193B07">
        <w:t>Exceptions to the location test</w:t>
      </w:r>
    </w:p>
    <w:p w14:paraId="0CC7B08F" w14:textId="6480CAD4" w:rsidR="002F49E2" w:rsidRDefault="00A61852" w:rsidP="002F49E2">
      <w:pPr>
        <w:spacing w:after="200"/>
      </w:pPr>
      <w:hyperlink r:id="rId13" w:anchor="_Toc115960828" w:history="1">
        <w:r w:rsidR="00C86819">
          <w:rPr>
            <w:rStyle w:val="Hyperlink"/>
          </w:rPr>
          <w:t xml:space="preserve">Section </w:t>
        </w:r>
        <w:r w:rsidR="002F49E2" w:rsidRPr="00A86641">
          <w:rPr>
            <w:rStyle w:val="Hyperlink"/>
          </w:rPr>
          <w:t>118-425(12A)</w:t>
        </w:r>
      </w:hyperlink>
      <w:r w:rsidR="002F49E2" w:rsidRPr="00691855">
        <w:t xml:space="preserve"> of the</w:t>
      </w:r>
      <w:r w:rsidR="002F49E2" w:rsidRPr="0063036F">
        <w:rPr>
          <w:i/>
          <w:iCs/>
        </w:rPr>
        <w:t xml:space="preserve"> ITAA 1997</w:t>
      </w:r>
      <w:r w:rsidR="002F49E2">
        <w:t xml:space="preserve"> allows partnerships to invest up to </w:t>
      </w:r>
      <w:r w:rsidR="002F49E2" w:rsidRPr="009441A4">
        <w:t>20</w:t>
      </w:r>
      <w:r w:rsidR="002F49E2">
        <w:t xml:space="preserve"> per cent of their total committed capital into foreign companies. </w:t>
      </w:r>
    </w:p>
    <w:p w14:paraId="63CD2162" w14:textId="77777777" w:rsidR="002F49E2" w:rsidRDefault="002F49E2" w:rsidP="002F49E2">
      <w:pPr>
        <w:spacing w:after="200"/>
      </w:pPr>
      <w:r>
        <w:t xml:space="preserve">The threshold is calculated by adding the value of a new investment to the </w:t>
      </w:r>
      <w:r w:rsidRPr="0063036F">
        <w:rPr>
          <w:i/>
          <w:u w:val="single"/>
        </w:rPr>
        <w:t>cumulative value</w:t>
      </w:r>
      <w:r>
        <w:t xml:space="preserve"> of all other investments </w:t>
      </w:r>
      <w:r w:rsidRPr="000046A9">
        <w:t xml:space="preserve">which </w:t>
      </w:r>
      <w:r>
        <w:t>are</w:t>
      </w:r>
      <w:r w:rsidRPr="000046A9">
        <w:t xml:space="preserve"> revalued </w:t>
      </w:r>
      <w:r w:rsidRPr="0063036F">
        <w:rPr>
          <w:i/>
          <w:u w:val="single"/>
        </w:rPr>
        <w:t>at the time</w:t>
      </w:r>
      <w:r>
        <w:t xml:space="preserve"> of the new investment, divided by the total committed capital </w:t>
      </w:r>
      <w:r w:rsidRPr="00373906">
        <w:rPr>
          <w:i/>
          <w:u w:val="single"/>
        </w:rPr>
        <w:t>at the time</w:t>
      </w:r>
      <w:r>
        <w:t xml:space="preserve"> of the </w:t>
      </w:r>
      <w:r w:rsidRPr="000046A9">
        <w:t>new investment</w:t>
      </w:r>
      <w:r>
        <w:t>.</w:t>
      </w:r>
    </w:p>
    <w:p w14:paraId="4F8698B9" w14:textId="77777777" w:rsidR="002F49E2" w:rsidRDefault="002F49E2" w:rsidP="002F49E2">
      <w:pPr>
        <w:pStyle w:val="Heading2"/>
        <w:spacing w:before="120"/>
      </w:pPr>
      <w:r>
        <w:t xml:space="preserve">Definition of committed capital </w:t>
      </w:r>
    </w:p>
    <w:p w14:paraId="799DCF2A" w14:textId="18447673" w:rsidR="002F49E2" w:rsidRPr="00C46BCE" w:rsidRDefault="002F49E2" w:rsidP="002F49E2">
      <w:r>
        <w:t>U</w:t>
      </w:r>
      <w:r w:rsidRPr="00BC09AD">
        <w:t xml:space="preserve">nder </w:t>
      </w:r>
      <w:hyperlink r:id="rId14" w:anchor="_Toc115960835" w:history="1">
        <w:r w:rsidRPr="00A86641">
          <w:rPr>
            <w:rStyle w:val="Hyperlink"/>
          </w:rPr>
          <w:t>s118-445</w:t>
        </w:r>
      </w:hyperlink>
      <w:r w:rsidR="00691855">
        <w:t xml:space="preserve"> of the</w:t>
      </w:r>
      <w:r w:rsidRPr="0063036F">
        <w:rPr>
          <w:i/>
          <w:iCs/>
        </w:rPr>
        <w:t xml:space="preserve"> ITAA 1997</w:t>
      </w:r>
      <w:r>
        <w:t xml:space="preserve">, a partner’s committed capital </w:t>
      </w:r>
      <w:r w:rsidRPr="00874A98">
        <w:rPr>
          <w:lang w:val="en" w:eastAsia="en-AU"/>
        </w:rPr>
        <w:t xml:space="preserve">in a partnership is the </w:t>
      </w:r>
      <w:r w:rsidRPr="000D304D">
        <w:rPr>
          <w:u w:val="single"/>
          <w:lang w:val="en" w:eastAsia="en-AU"/>
        </w:rPr>
        <w:t>sum</w:t>
      </w:r>
      <w:r w:rsidRPr="00874A98">
        <w:rPr>
          <w:lang w:val="en" w:eastAsia="en-AU"/>
        </w:rPr>
        <w:t xml:space="preserve"> of the amounts that the partner may, under the partnership agreement establishing the partnership, become obliged to contribute to the partnership.</w:t>
      </w:r>
    </w:p>
    <w:p w14:paraId="362175EB" w14:textId="77777777" w:rsidR="002F49E2" w:rsidRDefault="002F49E2" w:rsidP="002F49E2">
      <w:r>
        <w:t>It does not matter whether:</w:t>
      </w:r>
    </w:p>
    <w:p w14:paraId="3CB5955C" w14:textId="77777777" w:rsidR="002F49E2" w:rsidRDefault="002F49E2" w:rsidP="002F49E2">
      <w:pPr>
        <w:pStyle w:val="ListParagraph"/>
        <w:numPr>
          <w:ilvl w:val="0"/>
          <w:numId w:val="21"/>
        </w:numPr>
      </w:pPr>
      <w:r>
        <w:t>the partner contributes all of those amounts; or</w:t>
      </w:r>
    </w:p>
    <w:p w14:paraId="1D2FADDC" w14:textId="77777777" w:rsidR="002F49E2" w:rsidRDefault="002F49E2" w:rsidP="002F49E2">
      <w:pPr>
        <w:pStyle w:val="ListParagraph"/>
        <w:numPr>
          <w:ilvl w:val="0"/>
          <w:numId w:val="21"/>
        </w:numPr>
      </w:pPr>
      <w:r w:rsidRPr="004227EF">
        <w:t>any amounts contributed are subsequently returned to the partner; or</w:t>
      </w:r>
    </w:p>
    <w:p w14:paraId="492D96AE" w14:textId="77777777" w:rsidR="002F49E2" w:rsidRPr="004227EF" w:rsidRDefault="002F49E2" w:rsidP="002F49E2">
      <w:pPr>
        <w:pStyle w:val="ListParagraph"/>
        <w:numPr>
          <w:ilvl w:val="0"/>
          <w:numId w:val="21"/>
        </w:numPr>
        <w:spacing w:after="200"/>
        <w:ind w:left="714" w:hanging="357"/>
      </w:pPr>
      <w:r w:rsidRPr="00874A98">
        <w:rPr>
          <w:lang w:val="en" w:eastAsia="en-AU"/>
        </w:rPr>
        <w:t xml:space="preserve">the contributions give rise to </w:t>
      </w:r>
      <w:hyperlink r:id="rId15" w:anchor="equity_interest" w:history="1">
        <w:r w:rsidRPr="00874A98">
          <w:rPr>
            <w:lang w:val="en" w:eastAsia="en-AU"/>
          </w:rPr>
          <w:t>equity interests</w:t>
        </w:r>
      </w:hyperlink>
      <w:r w:rsidRPr="00874A98">
        <w:rPr>
          <w:lang w:val="en" w:eastAsia="en-AU"/>
        </w:rPr>
        <w:t xml:space="preserve"> or </w:t>
      </w:r>
      <w:hyperlink r:id="rId16" w:anchor="debt_interest" w:history="1">
        <w:r w:rsidRPr="00874A98">
          <w:rPr>
            <w:lang w:val="en" w:eastAsia="en-AU"/>
          </w:rPr>
          <w:t>debt interests</w:t>
        </w:r>
      </w:hyperlink>
      <w:r w:rsidRPr="00874A98">
        <w:rPr>
          <w:lang w:val="en" w:eastAsia="en-AU"/>
        </w:rPr>
        <w:t xml:space="preserve"> in the </w:t>
      </w:r>
      <w:hyperlink r:id="rId17" w:anchor="partnership" w:history="1">
        <w:r w:rsidRPr="00874A98">
          <w:rPr>
            <w:lang w:val="en" w:eastAsia="en-AU"/>
          </w:rPr>
          <w:t>partnership</w:t>
        </w:r>
      </w:hyperlink>
      <w:r>
        <w:rPr>
          <w:lang w:val="en" w:eastAsia="en-AU"/>
        </w:rPr>
        <w:t>, or both.</w:t>
      </w:r>
    </w:p>
    <w:p w14:paraId="74FA6F2B" w14:textId="77777777" w:rsidR="002F49E2" w:rsidRPr="0089053A" w:rsidRDefault="002F49E2" w:rsidP="002F49E2">
      <w:pPr>
        <w:pStyle w:val="Heading2"/>
        <w:spacing w:before="120"/>
      </w:pPr>
      <w:r w:rsidRPr="0089053A">
        <w:t>Calculating the valuation of prior investments</w:t>
      </w:r>
    </w:p>
    <w:p w14:paraId="4687BC48" w14:textId="4CE611FB" w:rsidR="002F49E2" w:rsidRPr="00457AF3" w:rsidRDefault="002F49E2" w:rsidP="002F49E2">
      <w:r w:rsidRPr="00C073B3">
        <w:t xml:space="preserve">The value of </w:t>
      </w:r>
      <w:r w:rsidRPr="000D304D">
        <w:rPr>
          <w:u w:val="single"/>
        </w:rPr>
        <w:t>earlier investments at the time of a new investment</w:t>
      </w:r>
      <w:r w:rsidRPr="00C073B3">
        <w:t xml:space="preserve"> may be different to their value at the time they were initially made. Only investments made that meet </w:t>
      </w:r>
      <w:hyperlink r:id="rId18" w:anchor="_Toc115960828" w:history="1">
        <w:r w:rsidRPr="00A86641">
          <w:rPr>
            <w:rStyle w:val="Hyperlink"/>
            <w:i/>
            <w:iCs/>
          </w:rPr>
          <w:t>s118-425(2)</w:t>
        </w:r>
      </w:hyperlink>
      <w:r w:rsidRPr="00C073B3">
        <w:t xml:space="preserve"> as a result of </w:t>
      </w:r>
      <w:hyperlink r:id="rId19" w:anchor="_Toc115960828" w:history="1">
        <w:r w:rsidR="001713D1">
          <w:rPr>
            <w:rStyle w:val="Hyperlink"/>
            <w:i/>
            <w:iCs/>
          </w:rPr>
          <w:t>s118-425(12A)</w:t>
        </w:r>
      </w:hyperlink>
      <w:r w:rsidRPr="00C073B3">
        <w:t xml:space="preserve"> at the time they were made, will count towards the 20 per cent foreign investment cap.</w:t>
      </w:r>
    </w:p>
    <w:p w14:paraId="604EF324" w14:textId="1D425C52" w:rsidR="002F49E2" w:rsidRDefault="002F49E2" w:rsidP="002F49E2">
      <w:r>
        <w:t xml:space="preserve">The </w:t>
      </w:r>
      <w:r w:rsidR="00DF0292">
        <w:fldChar w:fldCharType="begin"/>
      </w:r>
      <w:r w:rsidR="00DF0292">
        <w:instrText xml:space="preserve"> REF _Ref135293143 \h </w:instrText>
      </w:r>
      <w:r w:rsidR="00DF0292">
        <w:fldChar w:fldCharType="separate"/>
      </w:r>
      <w:r w:rsidR="00243327">
        <w:t xml:space="preserve">Table </w:t>
      </w:r>
      <w:r w:rsidR="00243327">
        <w:rPr>
          <w:noProof/>
        </w:rPr>
        <w:t>1</w:t>
      </w:r>
      <w:r w:rsidR="00DF0292">
        <w:fldChar w:fldCharType="end"/>
      </w:r>
      <w:r w:rsidR="00DF0292">
        <w:t xml:space="preserve"> overleaf provides a structure to</w:t>
      </w:r>
      <w:r>
        <w:t xml:space="preserve"> help with these calculations:</w:t>
      </w:r>
    </w:p>
    <w:p w14:paraId="6CAE7155" w14:textId="00DE0B70" w:rsidR="00DA500B" w:rsidRDefault="00DA500B" w:rsidP="002F49E2"/>
    <w:p w14:paraId="128A148A" w14:textId="2E03B52C" w:rsidR="00DF0292" w:rsidRDefault="00DF0292" w:rsidP="00DF0292">
      <w:pPr>
        <w:pStyle w:val="Caption"/>
        <w:keepNext/>
      </w:pPr>
      <w:bookmarkStart w:id="4" w:name="_Ref135293143"/>
      <w:r>
        <w:t xml:space="preserve">Table </w:t>
      </w:r>
      <w:fldSimple w:instr=" SEQ Table \* ARABIC ">
        <w:r w:rsidR="00243327">
          <w:rPr>
            <w:noProof/>
          </w:rPr>
          <w:t>1</w:t>
        </w:r>
      </w:fldSimple>
      <w:bookmarkEnd w:id="4"/>
      <w:r>
        <w:t xml:space="preserve"> | Example calculation table for foreign investment test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275"/>
        <w:gridCol w:w="1139"/>
        <w:gridCol w:w="1481"/>
        <w:gridCol w:w="1189"/>
        <w:gridCol w:w="1354"/>
        <w:gridCol w:w="1385"/>
      </w:tblGrid>
      <w:tr w:rsidR="00DF0292" w:rsidRPr="004D1D25" w14:paraId="4B3C3931" w14:textId="77777777" w:rsidTr="00304FCC">
        <w:trPr>
          <w:trHeight w:val="68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8352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>Investment number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A74D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>Investee company name/ Country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3A7F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>Investment date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D46E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>Committed capital at time of investment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8A44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>Value of investment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49FE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 xml:space="preserve">Calculation of committed capital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F86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4F59" w14:textId="77777777" w:rsidR="00DF0292" w:rsidRPr="00DF0292" w:rsidRDefault="00DF0292" w:rsidP="00304FCC">
            <w:pPr>
              <w:pStyle w:val="NoSpacing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F0292">
              <w:rPr>
                <w:b/>
                <w:bCs/>
                <w:color w:val="FFFFFF" w:themeColor="background1"/>
                <w:sz w:val="18"/>
                <w:szCs w:val="18"/>
              </w:rPr>
              <w:t>Foreign investment threshold test</w:t>
            </w:r>
          </w:p>
        </w:tc>
      </w:tr>
      <w:tr w:rsidR="00DF0292" w:rsidRPr="004D1D25" w14:paraId="01068453" w14:textId="77777777" w:rsidTr="00DF0292">
        <w:trPr>
          <w:trHeight w:val="7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4F4E87" w14:textId="61696AFA" w:rsidR="00DF0292" w:rsidRPr="00DF0292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59A63" w14:textId="77777777" w:rsidR="00DF0292" w:rsidRPr="00CB128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9B946" w14:textId="7578EABE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5666E" w14:textId="2C9F4724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2BD44" w14:textId="72B5342B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2BCB1" w14:textId="3A8DF322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D8148" w14:textId="54A91574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</w:tr>
      <w:tr w:rsidR="00DF0292" w:rsidRPr="004D1D25" w14:paraId="479B5FF3" w14:textId="77777777" w:rsidTr="00DF0292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E444F" w14:textId="77777777" w:rsidR="00DF0292" w:rsidRPr="00DF0292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F770C" w14:textId="77777777" w:rsidR="00DF0292" w:rsidRPr="00CB128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6D3DD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A8A39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56462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8B580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7EEA8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</w:tr>
      <w:tr w:rsidR="00DF0292" w:rsidRPr="004D1D25" w14:paraId="4334E562" w14:textId="77777777" w:rsidTr="00304FCC">
        <w:trPr>
          <w:trHeight w:val="7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B46D" w14:textId="2439E7DE" w:rsidR="00DF0292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#</w:t>
            </w:r>
          </w:p>
          <w:p w14:paraId="6160A5DE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4AEAC" w14:textId="77777777" w:rsidR="00DF0292" w:rsidRPr="00CB128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D142E" w14:textId="79E306B5" w:rsidR="00DF0292" w:rsidRPr="004D1D2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C0E50" w14:textId="5950553E" w:rsidR="00DF0292" w:rsidRPr="004D1D2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6977D" w14:textId="24728B22" w:rsidR="00DF0292" w:rsidRPr="004D1D2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39DA3" w14:textId="290AF555" w:rsidR="00DF0292" w:rsidRPr="004D1D2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3360D" w14:textId="50D6786F" w:rsidR="00DF0292" w:rsidRPr="004D1D25" w:rsidRDefault="00DF0292" w:rsidP="00304FCC">
            <w:pPr>
              <w:pStyle w:val="NoSpacing"/>
              <w:rPr>
                <w:color w:val="000000"/>
                <w:sz w:val="16"/>
                <w:szCs w:val="16"/>
              </w:rPr>
            </w:pPr>
          </w:p>
        </w:tc>
      </w:tr>
      <w:tr w:rsidR="00DF0292" w:rsidRPr="004D1D25" w14:paraId="582722CC" w14:textId="77777777" w:rsidTr="00304FCC">
        <w:trPr>
          <w:trHeight w:val="8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129A" w14:textId="45DEEC6B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57A68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678DC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791A0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F7BAF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8BA2C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AFC69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</w:tr>
      <w:tr w:rsidR="00DF0292" w:rsidRPr="004D1D25" w14:paraId="61D0CE1E" w14:textId="77777777" w:rsidTr="00DF0292">
        <w:trPr>
          <w:trHeight w:val="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EC92B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86763" w14:textId="3514FA96" w:rsidR="00DF0292" w:rsidRPr="004D1D25" w:rsidRDefault="00DF0292" w:rsidP="00304FCC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DF0292">
              <w:rPr>
                <w:i/>
                <w:iCs/>
                <w:sz w:val="18"/>
                <w:szCs w:val="18"/>
              </w:rPr>
              <w:t>Total foreign investment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A49F0" w14:textId="3BE14999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345D9" w14:textId="69C8152D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4A3B5" w14:textId="77777777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3CFDB8" w14:textId="36CB8814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E3D55" w14:textId="1420A11D" w:rsidR="00DF0292" w:rsidRPr="004D1D25" w:rsidRDefault="00DF0292" w:rsidP="00304FCC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77F535AF" w14:textId="77777777" w:rsidR="00DF0292" w:rsidRPr="009441A4" w:rsidRDefault="00DF0292" w:rsidP="002F49E2"/>
    <w:p w14:paraId="5CCC9E7F" w14:textId="77777777" w:rsidR="002F49E2" w:rsidRDefault="002F49E2" w:rsidP="002F49E2">
      <w:pPr>
        <w:pStyle w:val="Heading2"/>
      </w:pPr>
      <w:r w:rsidRPr="000606A8">
        <w:t xml:space="preserve">How to </w:t>
      </w:r>
      <w:r>
        <w:t>assess your foreign investment thresholds</w:t>
      </w:r>
      <w:r w:rsidRPr="000606A8">
        <w:t xml:space="preserve">:  </w:t>
      </w:r>
    </w:p>
    <w:p w14:paraId="30E94C19" w14:textId="77777777" w:rsidR="002F49E2" w:rsidRPr="00D14FF4" w:rsidRDefault="002F49E2" w:rsidP="002F49E2">
      <w:r>
        <w:t xml:space="preserve">Using the calculation table: </w:t>
      </w:r>
    </w:p>
    <w:p w14:paraId="01192C62" w14:textId="6D34E20F" w:rsidR="002F49E2" w:rsidRDefault="002F49E2" w:rsidP="002F49E2">
      <w:pPr>
        <w:pStyle w:val="ListParagraph"/>
        <w:numPr>
          <w:ilvl w:val="0"/>
          <w:numId w:val="18"/>
        </w:numPr>
      </w:pPr>
      <w:r>
        <w:t>Fill</w:t>
      </w:r>
      <w:r w:rsidRPr="00F55C3A">
        <w:t xml:space="preserve"> table out with </w:t>
      </w:r>
      <w:r>
        <w:t xml:space="preserve">all </w:t>
      </w:r>
      <w:r w:rsidRPr="00F55C3A">
        <w:t>foreign investment</w:t>
      </w:r>
      <w:r>
        <w:t>s, e</w:t>
      </w:r>
      <w:r w:rsidRPr="00F55C3A">
        <w:t>nsuring that it records:</w:t>
      </w:r>
    </w:p>
    <w:p w14:paraId="3DC86226" w14:textId="53AC6DF8" w:rsidR="002F49E2" w:rsidRPr="00F55C3A" w:rsidRDefault="00373906" w:rsidP="00373906">
      <w:pPr>
        <w:pStyle w:val="ListParagraph"/>
        <w:numPr>
          <w:ilvl w:val="1"/>
          <w:numId w:val="18"/>
        </w:numPr>
      </w:pPr>
      <w:r>
        <w:t xml:space="preserve">investee company’s </w:t>
      </w:r>
      <w:proofErr w:type="gramStart"/>
      <w:r>
        <w:t>name</w:t>
      </w:r>
      <w:r w:rsidR="00DA500B">
        <w:t>;</w:t>
      </w:r>
      <w:proofErr w:type="gramEnd"/>
    </w:p>
    <w:p w14:paraId="4B6A2EA3" w14:textId="1903A9C0" w:rsidR="002F49E2" w:rsidRPr="00F55C3A" w:rsidRDefault="002F49E2" w:rsidP="00373906">
      <w:pPr>
        <w:pStyle w:val="ListParagraph"/>
        <w:numPr>
          <w:ilvl w:val="1"/>
          <w:numId w:val="18"/>
        </w:numPr>
      </w:pPr>
      <w:r w:rsidRPr="00F55C3A">
        <w:t xml:space="preserve">the date of the </w:t>
      </w:r>
      <w:proofErr w:type="gramStart"/>
      <w:r w:rsidRPr="00F55C3A">
        <w:t>investment</w:t>
      </w:r>
      <w:r w:rsidR="00DA500B">
        <w:t>;</w:t>
      </w:r>
      <w:proofErr w:type="gramEnd"/>
    </w:p>
    <w:p w14:paraId="438BF88F" w14:textId="62B47344" w:rsidR="002F49E2" w:rsidRPr="00F55C3A" w:rsidRDefault="002F49E2" w:rsidP="00373906">
      <w:pPr>
        <w:pStyle w:val="ListParagraph"/>
        <w:numPr>
          <w:ilvl w:val="1"/>
          <w:numId w:val="18"/>
        </w:numPr>
      </w:pPr>
      <w:r w:rsidRPr="00F55C3A">
        <w:t>the partnership’s committed capital at the time of investment</w:t>
      </w:r>
      <w:r w:rsidR="00DA500B">
        <w:t>; and</w:t>
      </w:r>
    </w:p>
    <w:p w14:paraId="6BCB5B84" w14:textId="3FB6E613" w:rsidR="002F49E2" w:rsidRDefault="002F49E2" w:rsidP="00373906">
      <w:pPr>
        <w:pStyle w:val="ListParagraph"/>
        <w:numPr>
          <w:ilvl w:val="1"/>
          <w:numId w:val="18"/>
        </w:numPr>
      </w:pPr>
      <w:r w:rsidRPr="00F55C3A">
        <w:t>value of the investment</w:t>
      </w:r>
      <w:r w:rsidR="00DA500B">
        <w:t>.</w:t>
      </w:r>
    </w:p>
    <w:p w14:paraId="7382C16C" w14:textId="77777777" w:rsidR="002F49E2" w:rsidRPr="00F55C3A" w:rsidRDefault="002F49E2" w:rsidP="002F49E2">
      <w:pPr>
        <w:pStyle w:val="ListParagraph"/>
        <w:numPr>
          <w:ilvl w:val="0"/>
          <w:numId w:val="0"/>
        </w:numPr>
        <w:ind w:left="1440"/>
      </w:pPr>
    </w:p>
    <w:p w14:paraId="037EEEF0" w14:textId="0578492C" w:rsidR="002F49E2" w:rsidRDefault="002F49E2" w:rsidP="002F49E2">
      <w:pPr>
        <w:pStyle w:val="ListParagraph"/>
        <w:numPr>
          <w:ilvl w:val="0"/>
          <w:numId w:val="18"/>
        </w:numPr>
      </w:pPr>
      <w:r>
        <w:t xml:space="preserve">For subsequent foreign investments, each </w:t>
      </w:r>
      <w:r w:rsidRPr="006800EE">
        <w:rPr>
          <w:b/>
        </w:rPr>
        <w:t>prior</w:t>
      </w:r>
      <w:r>
        <w:t xml:space="preserve"> investment needs to be revalued at the time of the new investment and added to the table. </w:t>
      </w:r>
    </w:p>
    <w:p w14:paraId="729BC585" w14:textId="77777777" w:rsidR="002F49E2" w:rsidRPr="002F49E2" w:rsidRDefault="002F49E2" w:rsidP="002F49E2">
      <w:pPr>
        <w:pStyle w:val="ListParagraph"/>
        <w:numPr>
          <w:ilvl w:val="0"/>
          <w:numId w:val="0"/>
        </w:numPr>
        <w:ind w:left="720"/>
      </w:pPr>
    </w:p>
    <w:p w14:paraId="37A11E6B" w14:textId="77777777" w:rsidR="002F49E2" w:rsidRDefault="002F49E2" w:rsidP="002F49E2">
      <w:pPr>
        <w:pStyle w:val="ListParagraph"/>
        <w:numPr>
          <w:ilvl w:val="0"/>
          <w:numId w:val="18"/>
        </w:numPr>
      </w:pPr>
      <w:r>
        <w:t xml:space="preserve">In a ‘total’ row, record:  </w:t>
      </w:r>
    </w:p>
    <w:p w14:paraId="3B18AF4F" w14:textId="77777777" w:rsidR="002F49E2" w:rsidRDefault="002F49E2" w:rsidP="00373906">
      <w:pPr>
        <w:pStyle w:val="ListParagraph"/>
        <w:numPr>
          <w:ilvl w:val="1"/>
          <w:numId w:val="18"/>
        </w:numPr>
      </w:pPr>
      <w:r>
        <w:t xml:space="preserve">The </w:t>
      </w:r>
      <w:r w:rsidRPr="00373906">
        <w:rPr>
          <w:u w:val="single"/>
        </w:rPr>
        <w:t>sum</w:t>
      </w:r>
      <w:r>
        <w:t xml:space="preserve"> of the </w:t>
      </w:r>
      <w:r w:rsidRPr="00373906">
        <w:rPr>
          <w:b/>
          <w:bCs/>
        </w:rPr>
        <w:t>new</w:t>
      </w:r>
      <w:r w:rsidRPr="00373906">
        <w:t xml:space="preserve"> </w:t>
      </w:r>
      <w:r w:rsidRPr="004C535E">
        <w:t>investment</w:t>
      </w:r>
      <w:r>
        <w:t xml:space="preserve"> and the </w:t>
      </w:r>
      <w:r w:rsidRPr="00373906">
        <w:rPr>
          <w:b/>
          <w:bCs/>
        </w:rPr>
        <w:t>revalued</w:t>
      </w:r>
      <w:r w:rsidRPr="004C535E">
        <w:t xml:space="preserve"> investments</w:t>
      </w:r>
      <w:r>
        <w:t xml:space="preserve"> </w:t>
      </w:r>
    </w:p>
    <w:p w14:paraId="3D0A4BA2" w14:textId="77777777" w:rsidR="002F49E2" w:rsidRDefault="002F49E2" w:rsidP="00373906">
      <w:pPr>
        <w:pStyle w:val="ListParagraph"/>
        <w:numPr>
          <w:ilvl w:val="1"/>
          <w:numId w:val="18"/>
        </w:numPr>
      </w:pPr>
      <w:r>
        <w:t>D</w:t>
      </w:r>
      <w:r w:rsidRPr="00F55C3A">
        <w:t xml:space="preserve">ivide the </w:t>
      </w:r>
      <w:r w:rsidRPr="00373906">
        <w:rPr>
          <w:b/>
          <w:bCs/>
        </w:rPr>
        <w:t>total value of the investment</w:t>
      </w:r>
      <w:r w:rsidRPr="004C535E">
        <w:t xml:space="preserve"> </w:t>
      </w:r>
      <w:r>
        <w:t>by</w:t>
      </w:r>
      <w:r w:rsidRPr="00F55C3A">
        <w:t xml:space="preserve"> </w:t>
      </w:r>
      <w:r w:rsidRPr="006800EE">
        <w:t xml:space="preserve">the </w:t>
      </w:r>
      <w:r w:rsidRPr="00373906">
        <w:rPr>
          <w:b/>
          <w:bCs/>
        </w:rPr>
        <w:t>total committed capital at the time of the new investment</w:t>
      </w:r>
      <w:r>
        <w:t>.</w:t>
      </w:r>
    </w:p>
    <w:p w14:paraId="3E4EFE8E" w14:textId="504AE04D" w:rsidR="002F49E2" w:rsidRDefault="002F49E2" w:rsidP="00373906">
      <w:pPr>
        <w:pStyle w:val="ListParagraph"/>
        <w:numPr>
          <w:ilvl w:val="1"/>
          <w:numId w:val="18"/>
        </w:numPr>
      </w:pPr>
      <w:r>
        <w:t xml:space="preserve">Convert to a percentage. The total proportion should remain </w:t>
      </w:r>
      <w:r w:rsidRPr="00373906">
        <w:rPr>
          <w:u w:val="single"/>
        </w:rPr>
        <w:t>under</w:t>
      </w:r>
      <w:r>
        <w:t xml:space="preserve"> 20 per cent.</w:t>
      </w:r>
    </w:p>
    <w:p w14:paraId="6596512B" w14:textId="77777777" w:rsidR="00373906" w:rsidRDefault="00373906" w:rsidP="00373906"/>
    <w:p w14:paraId="637767A4" w14:textId="77777777" w:rsidR="00543548" w:rsidRDefault="00543548">
      <w:pPr>
        <w:rPr>
          <w:rFonts w:asciiTheme="majorHAnsi" w:eastAsiaTheme="majorEastAsia" w:hAnsiTheme="majorHAnsi" w:cstheme="majorBidi"/>
          <w:color w:val="005677" w:themeColor="text2"/>
          <w:sz w:val="32"/>
          <w:szCs w:val="40"/>
        </w:rPr>
      </w:pPr>
      <w:r>
        <w:br w:type="page"/>
      </w:r>
    </w:p>
    <w:p w14:paraId="1E68B887" w14:textId="4BDFCAE4" w:rsidR="002F49E2" w:rsidRPr="001645AE" w:rsidRDefault="002F49E2" w:rsidP="002F49E2">
      <w:pPr>
        <w:pStyle w:val="Heading3"/>
      </w:pPr>
      <w:r>
        <w:lastRenderedPageBreak/>
        <w:t>Example 1</w:t>
      </w:r>
    </w:p>
    <w:p w14:paraId="327BE5EA" w14:textId="77777777" w:rsidR="002F49E2" w:rsidRPr="00484B40" w:rsidRDefault="002F49E2" w:rsidP="002F49E2">
      <w:pPr>
        <w:pStyle w:val="Heading4"/>
      </w:pPr>
      <w:r w:rsidRPr="00484B40">
        <w:t>Follow-on investment where a co</w:t>
      </w:r>
      <w:r>
        <w:t>mpany relocates internationally</w:t>
      </w:r>
      <w:r w:rsidRPr="00484B40">
        <w:t xml:space="preserve"> </w:t>
      </w:r>
    </w:p>
    <w:p w14:paraId="5630234D" w14:textId="77777777" w:rsidR="002F49E2" w:rsidRDefault="002F49E2" w:rsidP="002F49E2">
      <w:pPr>
        <w:rPr>
          <w:rFonts w:cstheme="minorHAnsi"/>
        </w:rPr>
      </w:pPr>
      <w:proofErr w:type="spellStart"/>
      <w:r w:rsidRPr="008C4588">
        <w:rPr>
          <w:rFonts w:cstheme="minorHAnsi"/>
        </w:rPr>
        <w:t>PinkPig</w:t>
      </w:r>
      <w:proofErr w:type="spellEnd"/>
      <w:r w:rsidRPr="008C4588">
        <w:rPr>
          <w:rFonts w:cstheme="minorHAnsi"/>
        </w:rPr>
        <w:t xml:space="preserve"> Fund, LP’s committed capital is </w:t>
      </w:r>
      <w:r w:rsidRPr="008C4588">
        <w:rPr>
          <w:rFonts w:cstheme="minorHAnsi"/>
          <w:b/>
        </w:rPr>
        <w:t>$10 million</w:t>
      </w:r>
      <w:r w:rsidRPr="001F6618">
        <w:rPr>
          <w:rFonts w:cstheme="minorHAnsi"/>
        </w:rPr>
        <w:t>.</w:t>
      </w:r>
      <w:r w:rsidRPr="008C4588">
        <w:rPr>
          <w:rFonts w:cstheme="minorHAnsi"/>
          <w:b/>
        </w:rPr>
        <w:t xml:space="preserve"> </w:t>
      </w:r>
      <w:r w:rsidRPr="008C4588">
        <w:rPr>
          <w:rFonts w:cstheme="minorHAnsi"/>
        </w:rPr>
        <w:t>20</w:t>
      </w:r>
      <w:r>
        <w:rPr>
          <w:rFonts w:cstheme="minorHAnsi"/>
        </w:rPr>
        <w:t xml:space="preserve"> per cent</w:t>
      </w:r>
      <w:r w:rsidRPr="008C4588">
        <w:rPr>
          <w:rFonts w:cstheme="minorHAnsi"/>
        </w:rPr>
        <w:t xml:space="preserve"> of the partnership’s committed capital is </w:t>
      </w:r>
      <w:r w:rsidRPr="008C4588">
        <w:rPr>
          <w:rFonts w:cstheme="minorHAnsi"/>
          <w:b/>
        </w:rPr>
        <w:t>$2</w:t>
      </w:r>
      <w:r>
        <w:rPr>
          <w:rFonts w:cstheme="minorHAnsi"/>
          <w:b/>
        </w:rPr>
        <w:t> </w:t>
      </w:r>
      <w:r w:rsidRPr="008C4588">
        <w:rPr>
          <w:rFonts w:cstheme="minorHAnsi"/>
          <w:b/>
        </w:rPr>
        <w:t>million</w:t>
      </w:r>
      <w:r w:rsidRPr="008C4588">
        <w:rPr>
          <w:rFonts w:cstheme="minorHAnsi"/>
        </w:rPr>
        <w:t>.</w:t>
      </w:r>
      <w:r w:rsidRPr="008C4588">
        <w:rPr>
          <w:rFonts w:cstheme="minorHAnsi"/>
          <w:b/>
        </w:rPr>
        <w:t xml:space="preserve"> </w:t>
      </w:r>
      <w:r w:rsidRPr="008C4588">
        <w:rPr>
          <w:rFonts w:cstheme="minorHAnsi"/>
        </w:rPr>
        <w:t xml:space="preserve">This means the partnership’s foreign investments must not exceed </w:t>
      </w:r>
      <w:r w:rsidRPr="008C4588">
        <w:rPr>
          <w:rFonts w:cstheme="minorHAnsi"/>
          <w:b/>
        </w:rPr>
        <w:t>$2 million</w:t>
      </w:r>
      <w:r w:rsidRPr="00805B94">
        <w:rPr>
          <w:rFonts w:cstheme="minorHAnsi"/>
        </w:rPr>
        <w:t>.</w:t>
      </w:r>
      <w:r w:rsidRPr="008C4588">
        <w:rPr>
          <w:rFonts w:cstheme="minorHAnsi"/>
        </w:rPr>
        <w:t xml:space="preserve"> </w:t>
      </w:r>
    </w:p>
    <w:p w14:paraId="0FC728A4" w14:textId="77777777" w:rsidR="002F49E2" w:rsidRDefault="002F49E2" w:rsidP="002F49E2">
      <w:pPr>
        <w:pStyle w:val="ListParagraph"/>
        <w:numPr>
          <w:ilvl w:val="0"/>
          <w:numId w:val="22"/>
        </w:numPr>
        <w:rPr>
          <w:rFonts w:cstheme="minorHAnsi"/>
        </w:rPr>
      </w:pPr>
      <w:r w:rsidRPr="002C1CB1">
        <w:rPr>
          <w:rFonts w:cstheme="minorHAnsi"/>
        </w:rPr>
        <w:t xml:space="preserve">When the partnership first invested </w:t>
      </w:r>
      <w:r w:rsidRPr="002C1CB1">
        <w:rPr>
          <w:rFonts w:cstheme="minorHAnsi"/>
          <w:b/>
        </w:rPr>
        <w:t>$1 million</w:t>
      </w:r>
      <w:r w:rsidRPr="002C1CB1">
        <w:rPr>
          <w:rFonts w:cstheme="minorHAnsi"/>
        </w:rPr>
        <w:t xml:space="preserve"> in ‘Party Central (AU)’, the investee company was considered an Australian company. Therefore, the first investment is not restricted by the 20 per cent threshold. </w:t>
      </w:r>
    </w:p>
    <w:p w14:paraId="666EC756" w14:textId="77777777" w:rsidR="002F49E2" w:rsidRDefault="002F49E2" w:rsidP="002F49E2">
      <w:pPr>
        <w:pStyle w:val="ListParagraph"/>
        <w:numPr>
          <w:ilvl w:val="0"/>
          <w:numId w:val="22"/>
        </w:numPr>
        <w:rPr>
          <w:rFonts w:cstheme="minorHAnsi"/>
        </w:rPr>
      </w:pPr>
      <w:r w:rsidRPr="002C1CB1">
        <w:rPr>
          <w:rFonts w:cstheme="minorHAnsi"/>
        </w:rPr>
        <w:t xml:space="preserve">12 months after the initial investment, ‘Party Central’ moved overseas and became a foreign investee company under the name ‘Party Central (USA)’. </w:t>
      </w:r>
      <w:proofErr w:type="spellStart"/>
      <w:r w:rsidRPr="002C1CB1">
        <w:rPr>
          <w:rFonts w:cstheme="minorHAnsi"/>
        </w:rPr>
        <w:t>PinkPig</w:t>
      </w:r>
      <w:proofErr w:type="spellEnd"/>
      <w:r w:rsidRPr="002C1CB1">
        <w:rPr>
          <w:rFonts w:cstheme="minorHAnsi"/>
        </w:rPr>
        <w:t xml:space="preserve"> Fund, LP continued to make a second investment of </w:t>
      </w:r>
      <w:r w:rsidRPr="002C1CB1">
        <w:rPr>
          <w:rFonts w:cstheme="minorHAnsi"/>
          <w:b/>
        </w:rPr>
        <w:t xml:space="preserve">$1.5 million </w:t>
      </w:r>
      <w:r w:rsidRPr="002C1CB1">
        <w:rPr>
          <w:rFonts w:cstheme="minorHAnsi"/>
        </w:rPr>
        <w:t xml:space="preserve">into the now foreign investee company. </w:t>
      </w:r>
    </w:p>
    <w:p w14:paraId="42E20B14" w14:textId="77777777" w:rsidR="002F49E2" w:rsidRDefault="002F49E2" w:rsidP="002F49E2">
      <w:pPr>
        <w:pStyle w:val="ListParagraph"/>
        <w:numPr>
          <w:ilvl w:val="0"/>
          <w:numId w:val="22"/>
        </w:numPr>
        <w:rPr>
          <w:rFonts w:cstheme="minorHAnsi"/>
        </w:rPr>
      </w:pPr>
      <w:r w:rsidRPr="002C1CB1">
        <w:rPr>
          <w:rFonts w:cstheme="minorHAnsi"/>
        </w:rPr>
        <w:t xml:space="preserve">The initial investment, ‘Party Central (AU)’, had tripled in value at the time of the second investment, making the combined total of investments 1 and 2, $4,500,000. Although the total value of the partnership’s investments as a proportion of its committed capital equals 45 per cent, both investments are considered eligible as the first investment isn’t a foreign investment, and thus not included in the calculation of the threshold. </w:t>
      </w:r>
    </w:p>
    <w:p w14:paraId="74CFDA20" w14:textId="77777777" w:rsidR="002F49E2" w:rsidRPr="002C1CB1" w:rsidRDefault="002F49E2" w:rsidP="002F49E2">
      <w:pPr>
        <w:pStyle w:val="ListParagraph"/>
        <w:numPr>
          <w:ilvl w:val="0"/>
          <w:numId w:val="22"/>
        </w:numPr>
        <w:rPr>
          <w:rFonts w:cstheme="minorHAnsi"/>
        </w:rPr>
      </w:pPr>
      <w:r w:rsidRPr="002C1CB1">
        <w:rPr>
          <w:rFonts w:cstheme="minorHAnsi"/>
        </w:rPr>
        <w:t xml:space="preserve">The total value of the partnership’s foreign investments is </w:t>
      </w:r>
      <w:r w:rsidRPr="002C1CB1">
        <w:rPr>
          <w:rFonts w:cstheme="minorHAnsi"/>
          <w:b/>
        </w:rPr>
        <w:t>$1.5 million</w:t>
      </w:r>
      <w:r w:rsidRPr="002C1CB1">
        <w:rPr>
          <w:rFonts w:cstheme="minorHAnsi"/>
        </w:rPr>
        <w:t xml:space="preserve">, and only 15 per cent of the partnership’s committed capital. </w:t>
      </w:r>
    </w:p>
    <w:p w14:paraId="64EFF1FD" w14:textId="77777777" w:rsidR="002F49E2" w:rsidRDefault="002F49E2" w:rsidP="002F49E2">
      <w:pPr>
        <w:rPr>
          <w:rFonts w:cstheme="minorHAnsi"/>
        </w:rPr>
      </w:pPr>
      <w:r>
        <w:rPr>
          <w:rFonts w:cstheme="minorHAnsi"/>
        </w:rPr>
        <w:t>Both investments made by the partnership are eligible investments.</w:t>
      </w:r>
    </w:p>
    <w:p w14:paraId="64235432" w14:textId="77777777" w:rsidR="002F49E2" w:rsidRDefault="002F49E2" w:rsidP="002F49E2">
      <w:pPr>
        <w:rPr>
          <w:rFonts w:cstheme="minorHAnsi"/>
        </w:rPr>
      </w:pPr>
      <w:r>
        <w:rPr>
          <w:rFonts w:cstheme="minorHAnsi"/>
        </w:rPr>
        <w:t xml:space="preserve">The following table records </w:t>
      </w:r>
      <w:r w:rsidRPr="00CE7EDD">
        <w:rPr>
          <w:rFonts w:cstheme="minorHAnsi"/>
          <w:b/>
        </w:rPr>
        <w:t>every</w:t>
      </w:r>
      <w:r>
        <w:rPr>
          <w:rFonts w:cstheme="minorHAnsi"/>
        </w:rPr>
        <w:t xml:space="preserve"> investment made by </w:t>
      </w:r>
      <w:proofErr w:type="spellStart"/>
      <w:r>
        <w:rPr>
          <w:rFonts w:cstheme="minorHAnsi"/>
        </w:rPr>
        <w:t>PinkPig</w:t>
      </w:r>
      <w:proofErr w:type="spellEnd"/>
      <w:r>
        <w:rPr>
          <w:rFonts w:cstheme="minorHAnsi"/>
        </w:rPr>
        <w:t xml:space="preserve"> Fund, LP (the partnership).</w:t>
      </w:r>
    </w:p>
    <w:p w14:paraId="07366170" w14:textId="3B9BA5F4" w:rsidR="002F49E2" w:rsidRDefault="00543548" w:rsidP="00543548">
      <w:pPr>
        <w:pStyle w:val="Caption"/>
        <w:keepNext/>
      </w:pPr>
      <w:r>
        <w:rPr>
          <w:noProof/>
          <w:lang w:eastAsia="en-AU"/>
        </w:rPr>
        <w:drawing>
          <wp:inline distT="0" distB="0" distL="0" distR="0" wp14:anchorId="7FF2B647" wp14:editId="773D67E9">
            <wp:extent cx="5445125" cy="2477770"/>
            <wp:effectExtent l="0" t="0" r="3175" b="0"/>
            <wp:docPr id="1" name="Picture 1" descr="Row 1 - Investment number; Investee company name; Investment date; Committed capital at time of investment; Value of investment; Calculation of committed capital; Foreign investment threshold test.&#10;&#10;Row 2 - 1; Party Central (AU); 15 December 2020; $10,000,000; $1,000,000; N/A; N/A.&#10;&#10;Row 3 - All blank.&#10;&#10;Row 4 - 2; Party Central (USA); 12 May 2021; $10,000,000; $1,500,000; two blank cells.&#10;&#10;Row 5 - Blank cell; Party Central (AU) (Revalued); two blank cells; $3,000,000; N/A; N/A.&#10;&#10;Row 6 - Blank cell; Total foreign investment; blank cell; $10,000,000; $1,500,000; $1,500,000 ÷ $10,000,000 = 15%; 15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ow 1 - Investment number; Investee company name; Investment date; Committed capital at time of investment; Value of investment; Calculation of committed capital; Foreign investment threshold test.&#10;&#10;Row 2 - 1; Party Central (AU); 15 December 2020; $10,000,000; $1,000,000; N/A; N/A.&#10;&#10;Row 3 - All blank.&#10;&#10;Row 4 - 2; Party Central (USA); 12 May 2021; $10,000,000; $1,500,000; two blank cells.&#10;&#10;Row 5 - Blank cell; Party Central (AU) (Revalued); two blank cells; $3,000,000; N/A; N/A.&#10;&#10;Row 6 - Blank cell; Total foreign investment; blank cell; $10,000,000; $1,500,000; $1,500,000 ÷ $10,000,000 = 15%; 15%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9E2">
        <w:t xml:space="preserve">Table </w:t>
      </w:r>
      <w:r w:rsidR="00DF0292">
        <w:t>2</w:t>
      </w:r>
      <w:r w:rsidR="002F49E2">
        <w:t xml:space="preserve"> </w:t>
      </w:r>
      <w:proofErr w:type="spellStart"/>
      <w:r w:rsidR="002F49E2">
        <w:t>PinkPig</w:t>
      </w:r>
      <w:proofErr w:type="spellEnd"/>
      <w:r w:rsidR="002F49E2">
        <w:t xml:space="preserve"> Fund, LP Investments</w:t>
      </w:r>
      <w:r w:rsidR="00F76169">
        <w:t xml:space="preserve"> – First Foreign Investment</w:t>
      </w:r>
    </w:p>
    <w:p w14:paraId="42C7A431" w14:textId="77777777" w:rsidR="00903536" w:rsidRPr="00E43F07" w:rsidRDefault="00903536" w:rsidP="00903536">
      <w:pPr>
        <w:jc w:val="center"/>
        <w:rPr>
          <w:i/>
        </w:rPr>
      </w:pPr>
      <w:r w:rsidRPr="00E43F07">
        <w:rPr>
          <w:i/>
        </w:rPr>
        <w:t xml:space="preserve">Note: There is only one foreign investment in </w:t>
      </w:r>
      <w:proofErr w:type="spellStart"/>
      <w:r w:rsidRPr="00E43F07">
        <w:rPr>
          <w:i/>
        </w:rPr>
        <w:t>PinkPig</w:t>
      </w:r>
      <w:proofErr w:type="spellEnd"/>
      <w:r w:rsidRPr="00E43F07">
        <w:rPr>
          <w:i/>
        </w:rPr>
        <w:t>, LP’s portfolio</w:t>
      </w:r>
    </w:p>
    <w:p w14:paraId="35307296" w14:textId="77777777" w:rsidR="00903536" w:rsidRDefault="00903536" w:rsidP="002F49E2"/>
    <w:p w14:paraId="1F88C8B7" w14:textId="77777777" w:rsidR="00543548" w:rsidRDefault="00543548">
      <w:pPr>
        <w:rPr>
          <w:rFonts w:asciiTheme="majorHAnsi" w:eastAsiaTheme="majorEastAsia" w:hAnsiTheme="majorHAnsi" w:cstheme="majorBidi"/>
          <w:color w:val="005677" w:themeColor="text2"/>
          <w:sz w:val="32"/>
          <w:szCs w:val="40"/>
        </w:rPr>
      </w:pPr>
      <w:r>
        <w:br w:type="page"/>
      </w:r>
    </w:p>
    <w:p w14:paraId="1E68CF16" w14:textId="76CFDE1C" w:rsidR="002F49E2" w:rsidRDefault="002F49E2" w:rsidP="002F49E2">
      <w:pPr>
        <w:pStyle w:val="Heading3"/>
      </w:pPr>
      <w:r>
        <w:lastRenderedPageBreak/>
        <w:t>Example 2</w:t>
      </w:r>
    </w:p>
    <w:p w14:paraId="35DD50AA" w14:textId="77777777" w:rsidR="002F49E2" w:rsidRPr="00EC2C9A" w:rsidRDefault="002F49E2" w:rsidP="002F49E2">
      <w:pPr>
        <w:pStyle w:val="Heading4"/>
      </w:pPr>
      <w:r>
        <w:t>Investing in an additional foreign company</w:t>
      </w:r>
    </w:p>
    <w:p w14:paraId="066C6327" w14:textId="77777777" w:rsidR="002F49E2" w:rsidRDefault="002F49E2" w:rsidP="002F49E2">
      <w:r w:rsidRPr="00C67422">
        <w:rPr>
          <w:rFonts w:cstheme="minorHAnsi"/>
        </w:rPr>
        <w:t xml:space="preserve">As discussed in the </w:t>
      </w:r>
      <w:r>
        <w:rPr>
          <w:rFonts w:cstheme="minorHAnsi"/>
        </w:rPr>
        <w:t xml:space="preserve">previous example, investments 1 and </w:t>
      </w:r>
      <w:r w:rsidRPr="00C67422">
        <w:rPr>
          <w:rFonts w:cstheme="minorHAnsi"/>
        </w:rPr>
        <w:t xml:space="preserve">2 are </w:t>
      </w:r>
      <w:r w:rsidRPr="00834AFF">
        <w:rPr>
          <w:rFonts w:cstheme="minorHAnsi"/>
          <w:u w:val="single"/>
        </w:rPr>
        <w:t>eligible investments</w:t>
      </w:r>
      <w:r w:rsidRPr="00C67422">
        <w:rPr>
          <w:rFonts w:cstheme="minorHAnsi"/>
        </w:rPr>
        <w:t>.</w:t>
      </w:r>
    </w:p>
    <w:p w14:paraId="07247709" w14:textId="77777777" w:rsidR="002F49E2" w:rsidRDefault="002F49E2" w:rsidP="002F49E2">
      <w:pPr>
        <w:pStyle w:val="ListParagraph"/>
        <w:numPr>
          <w:ilvl w:val="0"/>
          <w:numId w:val="23"/>
        </w:numPr>
        <w:rPr>
          <w:rFonts w:cstheme="minorHAnsi"/>
        </w:rPr>
      </w:pPr>
      <w:r w:rsidRPr="00C67422">
        <w:rPr>
          <w:rFonts w:cstheme="minorHAnsi"/>
        </w:rPr>
        <w:t xml:space="preserve">After initially investing into ‘Party Central (AU)’ and ‘Party Central (USA)’, the partnership decided to make a second foreign investment. </w:t>
      </w:r>
      <w:r w:rsidRPr="00C67422">
        <w:rPr>
          <w:rFonts w:cstheme="minorHAnsi"/>
          <w:b/>
        </w:rPr>
        <w:t xml:space="preserve">$700,000 </w:t>
      </w:r>
      <w:r w:rsidRPr="00C67422">
        <w:rPr>
          <w:rFonts w:cstheme="minorHAnsi"/>
        </w:rPr>
        <w:t xml:space="preserve">was invested into ‘Clean </w:t>
      </w:r>
      <w:proofErr w:type="spellStart"/>
      <w:r w:rsidRPr="00C67422">
        <w:rPr>
          <w:rFonts w:cstheme="minorHAnsi"/>
        </w:rPr>
        <w:t>Foodz</w:t>
      </w:r>
      <w:proofErr w:type="spellEnd"/>
      <w:r w:rsidRPr="00C67422">
        <w:rPr>
          <w:rFonts w:cstheme="minorHAnsi"/>
        </w:rPr>
        <w:t xml:space="preserve"> Inc.’, a foreign investee company. </w:t>
      </w:r>
    </w:p>
    <w:p w14:paraId="1CF739A9" w14:textId="77777777" w:rsidR="002F49E2" w:rsidRPr="00C67422" w:rsidRDefault="002F49E2" w:rsidP="002F49E2">
      <w:pPr>
        <w:pStyle w:val="ListParagraph"/>
        <w:numPr>
          <w:ilvl w:val="0"/>
          <w:numId w:val="23"/>
        </w:numPr>
        <w:rPr>
          <w:rFonts w:cstheme="minorHAnsi"/>
        </w:rPr>
      </w:pPr>
      <w:r w:rsidRPr="00C67422">
        <w:rPr>
          <w:rFonts w:cstheme="minorHAnsi"/>
        </w:rPr>
        <w:t xml:space="preserve">At the time of this investment, the partnership’s committed capital was </w:t>
      </w:r>
      <w:r w:rsidRPr="00C67422">
        <w:rPr>
          <w:rFonts w:cstheme="minorHAnsi"/>
          <w:b/>
        </w:rPr>
        <w:t>$11 million</w:t>
      </w:r>
      <w:r w:rsidRPr="00C67422">
        <w:rPr>
          <w:rFonts w:cstheme="minorHAnsi"/>
        </w:rPr>
        <w:t xml:space="preserve">. 20 per cent of the partnership’s committed capital is </w:t>
      </w:r>
      <w:r w:rsidRPr="00C67422">
        <w:rPr>
          <w:rFonts w:cstheme="minorHAnsi"/>
          <w:b/>
        </w:rPr>
        <w:t>$2.2 million</w:t>
      </w:r>
      <w:r w:rsidRPr="00C67422">
        <w:rPr>
          <w:rFonts w:cstheme="minorHAnsi"/>
        </w:rPr>
        <w:t>.</w:t>
      </w:r>
      <w:r w:rsidRPr="00C67422">
        <w:rPr>
          <w:rFonts w:cstheme="minorHAnsi"/>
          <w:b/>
        </w:rPr>
        <w:t xml:space="preserve"> </w:t>
      </w:r>
      <w:r w:rsidRPr="00C67422">
        <w:rPr>
          <w:rFonts w:cstheme="minorHAnsi"/>
        </w:rPr>
        <w:t xml:space="preserve">This means the partnership’s foreign investments must not exceed </w:t>
      </w:r>
      <w:r w:rsidRPr="00C67422">
        <w:rPr>
          <w:rFonts w:cstheme="minorHAnsi"/>
          <w:b/>
        </w:rPr>
        <w:t>$2.2 million</w:t>
      </w:r>
      <w:r w:rsidRPr="00C67422">
        <w:rPr>
          <w:rFonts w:cstheme="minorHAnsi"/>
        </w:rPr>
        <w:t xml:space="preserve">. </w:t>
      </w:r>
    </w:p>
    <w:p w14:paraId="536BD45F" w14:textId="77777777" w:rsidR="002F49E2" w:rsidRDefault="002F49E2" w:rsidP="002F49E2">
      <w:pPr>
        <w:pStyle w:val="ListParagraph"/>
        <w:numPr>
          <w:ilvl w:val="0"/>
          <w:numId w:val="23"/>
        </w:numPr>
        <w:rPr>
          <w:rFonts w:cstheme="minorHAnsi"/>
        </w:rPr>
      </w:pPr>
      <w:r w:rsidRPr="00C67422">
        <w:rPr>
          <w:rFonts w:cstheme="minorHAnsi"/>
        </w:rPr>
        <w:t xml:space="preserve">As seen below, the ‘Party Central (USA) investment was revalued as </w:t>
      </w:r>
      <w:r w:rsidRPr="00C67422">
        <w:rPr>
          <w:rFonts w:cstheme="minorHAnsi"/>
          <w:b/>
        </w:rPr>
        <w:t>$2 million</w:t>
      </w:r>
      <w:r w:rsidRPr="00C67422">
        <w:rPr>
          <w:rFonts w:cstheme="minorHAnsi"/>
        </w:rPr>
        <w:t xml:space="preserve"> at the time of investment 3. This brings the total value of foreign investments to </w:t>
      </w:r>
      <w:r w:rsidRPr="00C67422">
        <w:rPr>
          <w:rFonts w:cstheme="minorHAnsi"/>
          <w:b/>
        </w:rPr>
        <w:t>$2.7 million</w:t>
      </w:r>
      <w:r w:rsidRPr="00C67422">
        <w:rPr>
          <w:rFonts w:cstheme="minorHAnsi"/>
        </w:rPr>
        <w:t xml:space="preserve"> and the partnership’s committed capital to </w:t>
      </w:r>
      <w:r w:rsidRPr="00C67422">
        <w:rPr>
          <w:rFonts w:cstheme="minorHAnsi"/>
          <w:b/>
        </w:rPr>
        <w:t>25 per cent</w:t>
      </w:r>
      <w:r w:rsidRPr="00C67422">
        <w:rPr>
          <w:rFonts w:cstheme="minorHAnsi"/>
        </w:rPr>
        <w:t xml:space="preserve">. </w:t>
      </w:r>
    </w:p>
    <w:p w14:paraId="6ABF2164" w14:textId="77777777" w:rsidR="002F49E2" w:rsidRPr="00C67422" w:rsidRDefault="002F49E2" w:rsidP="002F49E2">
      <w:pPr>
        <w:pStyle w:val="ListParagraph"/>
        <w:numPr>
          <w:ilvl w:val="0"/>
          <w:numId w:val="23"/>
        </w:numPr>
        <w:rPr>
          <w:rFonts w:cstheme="minorHAnsi"/>
        </w:rPr>
      </w:pPr>
      <w:r w:rsidRPr="00C67422">
        <w:rPr>
          <w:rFonts w:cstheme="minorHAnsi"/>
        </w:rPr>
        <w:t xml:space="preserve">Therefore, the partnership’s investment into ‘Clean </w:t>
      </w:r>
      <w:proofErr w:type="spellStart"/>
      <w:r w:rsidRPr="00C67422">
        <w:rPr>
          <w:rFonts w:cstheme="minorHAnsi"/>
        </w:rPr>
        <w:t>Foodz</w:t>
      </w:r>
      <w:proofErr w:type="spellEnd"/>
      <w:r w:rsidRPr="00C67422">
        <w:rPr>
          <w:rFonts w:cstheme="minorHAnsi"/>
        </w:rPr>
        <w:t xml:space="preserve"> Inc.’ is </w:t>
      </w:r>
      <w:r w:rsidRPr="00C67422">
        <w:rPr>
          <w:rFonts w:cstheme="minorHAnsi"/>
          <w:b/>
        </w:rPr>
        <w:t>ineligible</w:t>
      </w:r>
      <w:r w:rsidRPr="00C67422">
        <w:rPr>
          <w:rFonts w:cstheme="minorHAnsi"/>
        </w:rPr>
        <w:t xml:space="preserve">, as it exceeds the 20 per cent threshold by </w:t>
      </w:r>
      <w:r w:rsidRPr="00C67422">
        <w:rPr>
          <w:rFonts w:cstheme="minorHAnsi"/>
          <w:b/>
        </w:rPr>
        <w:t>5 per cent</w:t>
      </w:r>
      <w:r w:rsidRPr="00C67422">
        <w:rPr>
          <w:rFonts w:cstheme="minorHAnsi"/>
        </w:rPr>
        <w:t xml:space="preserve">. </w:t>
      </w:r>
    </w:p>
    <w:p w14:paraId="4170F436" w14:textId="77777777" w:rsidR="002F49E2" w:rsidRPr="00E43F07" w:rsidRDefault="002F49E2" w:rsidP="002F49E2">
      <w:r>
        <w:t xml:space="preserve">The following table records </w:t>
      </w:r>
      <w:r w:rsidRPr="00E43F07">
        <w:rPr>
          <w:b/>
        </w:rPr>
        <w:t>every</w:t>
      </w:r>
      <w:r>
        <w:t xml:space="preserve"> investment made by </w:t>
      </w:r>
      <w:proofErr w:type="spellStart"/>
      <w:r>
        <w:t>PinkPig</w:t>
      </w:r>
      <w:proofErr w:type="spellEnd"/>
      <w:r>
        <w:t xml:space="preserve"> Fund, LP (the partnership). </w:t>
      </w:r>
      <w:r w:rsidRPr="00BD5021">
        <w:rPr>
          <w:b/>
          <w:i/>
          <w:u w:val="single"/>
        </w:rPr>
        <w:t>Bold italic text</w:t>
      </w:r>
      <w:r w:rsidRPr="00D56245">
        <w:t xml:space="preserve"> </w:t>
      </w:r>
      <w:r>
        <w:t>denotes key changes.</w:t>
      </w:r>
    </w:p>
    <w:p w14:paraId="57D87F72" w14:textId="23E3A785" w:rsidR="00903536" w:rsidRDefault="002F49E2" w:rsidP="004A4C25">
      <w:pPr>
        <w:pStyle w:val="Caption"/>
        <w:keepNext/>
      </w:pPr>
      <w:r>
        <w:t>Table</w:t>
      </w:r>
      <w:r w:rsidR="00DF0292">
        <w:t xml:space="preserve"> 3</w:t>
      </w:r>
      <w:r>
        <w:t xml:space="preserve"> </w:t>
      </w:r>
      <w:proofErr w:type="spellStart"/>
      <w:r>
        <w:t>PinkPig</w:t>
      </w:r>
      <w:proofErr w:type="spellEnd"/>
      <w:r>
        <w:t xml:space="preserve"> Fund, LP Investments</w:t>
      </w:r>
      <w:r w:rsidR="00F76169">
        <w:t xml:space="preserve"> – Second Foreign Investment</w:t>
      </w:r>
      <w:r w:rsidR="00903536">
        <w:rPr>
          <w:noProof/>
          <w:lang w:eastAsia="en-AU"/>
        </w:rPr>
        <w:drawing>
          <wp:inline distT="0" distB="0" distL="0" distR="0" wp14:anchorId="7870DF4A" wp14:editId="3F897628">
            <wp:extent cx="6174105" cy="4681220"/>
            <wp:effectExtent l="0" t="0" r="0" b="5080"/>
            <wp:docPr id="4" name="Picture 4" descr="Row 1 - Investment number; Investee company name; Investment date; Committed capital at time of investment; Value of investment; Calculation of committed capital; Foreign investment threshold test.&#10;&#10;Row 2 - 1; Party Central (AU); 15 December 2020; $10,000,000; $1,000,000; N/A; N/A.&#10;&#10;Row 3 - All empty cells.&#10;&#10;Row 4 - 2; Party Central (USA); 12 May 2021; $10,000,000; $1,500,000; two empty cells.&#10;&#10;Row 5 - Empty cell; Party Central (AU) (Revalued); two empty cells; $3,000,000; N/A; N/A.&#10;&#10;Row 6 - Empty cell; Total foreign investment; empty cell; $10,000,000; $1,500,000; $1,500,000 ÷ $10,000,000 = 15%; 15%.&#10;&#10;Row 7 - All empty cells.&#10;&#10;Row 8 - 3; Clean Foodz Inc.; 23 August 2021; $11,000,000; $700,000; two empty cells.&#10;&#10;Row 9 - Empty cell; Party Central (AU) (Revalued); two empty cells; $3,000,000; N/A; N/A.&#10;&#10;Row 10 - Empty cell; Party Central (USA) (Revalued); two empty cells; $2,000,000; two empty cells.&#10;&#10;Row 11 - Empty cell; Total foreign investment; empty cell; $11,000,000; $2,700,000; $2,700,000 ÷ $11,000,000 = 25%; 25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ow 1 - Investment number; Investee company name; Investment date; Committed capital at time of investment; Value of investment; Calculation of committed capital; Foreign investment threshold test.&#10;&#10;Row 2 - 1; Party Central (AU); 15 December 2020; $10,000,000; $1,000,000; N/A; N/A.&#10;&#10;Row 3 - All empty cells.&#10;&#10;Row 4 - 2; Party Central (USA); 12 May 2021; $10,000,000; $1,500,000; two empty cells.&#10;&#10;Row 5 - Empty cell; Party Central (AU) (Revalued); two empty cells; $3,000,000; N/A; N/A.&#10;&#10;Row 6 - Empty cell; Total foreign investment; empty cell; $10,000,000; $1,500,000; $1,500,000 ÷ $10,000,000 = 15%; 15%.&#10;&#10;Row 7 - All empty cells.&#10;&#10;Row 8 - 3; Clean Foodz Inc.; 23 August 2021; $11,000,000; $700,000; two empty cells.&#10;&#10;Row 9 - Empty cell; Party Central (AU) (Revalued); two empty cells; $3,000,000; N/A; N/A.&#10;&#10;Row 10 - Empty cell; Party Central (USA) (Revalued); two empty cells; $2,000,000; two empty cells.&#10;&#10;Row 11 - Empty cell; Total foreign investment; empty cell; $11,000,000; $2,700,000; $2,700,000 ÷ $11,000,000 = 25%; 25%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2151" w14:textId="77777777" w:rsidR="00903536" w:rsidRPr="00E43F07" w:rsidRDefault="00903536" w:rsidP="00903536">
      <w:pPr>
        <w:jc w:val="center"/>
        <w:rPr>
          <w:i/>
        </w:rPr>
      </w:pPr>
      <w:r w:rsidRPr="00E43F07">
        <w:rPr>
          <w:i/>
        </w:rPr>
        <w:t xml:space="preserve">Note: Previous investments should always be revalued at the time of a new investment </w:t>
      </w:r>
    </w:p>
    <w:p w14:paraId="292852D6" w14:textId="0F28D135" w:rsidR="002F49E2" w:rsidRDefault="002F49E2" w:rsidP="002F49E2"/>
    <w:p w14:paraId="7033CBD9" w14:textId="77777777" w:rsidR="00903536" w:rsidRPr="00CA2B99" w:rsidRDefault="00903536" w:rsidP="00903536">
      <w:pPr>
        <w:pStyle w:val="Heading3"/>
      </w:pPr>
      <w:r>
        <w:lastRenderedPageBreak/>
        <w:t>Example 3</w:t>
      </w:r>
    </w:p>
    <w:p w14:paraId="0E203BDF" w14:textId="77777777" w:rsidR="00903536" w:rsidRPr="00EC2C9A" w:rsidRDefault="00903536" w:rsidP="00903536">
      <w:pPr>
        <w:pStyle w:val="Heading4"/>
      </w:pPr>
      <w:r w:rsidRPr="00EC2C9A">
        <w:t>Multiple investments calculated cumulatively</w:t>
      </w:r>
    </w:p>
    <w:p w14:paraId="05A58D31" w14:textId="77777777" w:rsidR="00903536" w:rsidRDefault="00903536" w:rsidP="00903536">
      <w:pPr>
        <w:rPr>
          <w:rFonts w:cstheme="minorHAnsi"/>
        </w:rPr>
      </w:pPr>
      <w:r w:rsidRPr="00CA2B99">
        <w:t xml:space="preserve">At the time of Yeti Fund, LP’s </w:t>
      </w:r>
      <w:r w:rsidRPr="009D368B">
        <w:rPr>
          <w:b/>
        </w:rPr>
        <w:t>final</w:t>
      </w:r>
      <w:r w:rsidRPr="00CA2B99">
        <w:t xml:space="preserve"> investment (</w:t>
      </w:r>
      <w:r w:rsidRPr="006C4FB2">
        <w:t>Vegetation Table Inc.</w:t>
      </w:r>
      <w:r w:rsidRPr="00CA2B99">
        <w:t xml:space="preserve">), its committed capital was </w:t>
      </w:r>
      <w:r w:rsidRPr="00CA2B99">
        <w:rPr>
          <w:b/>
        </w:rPr>
        <w:t>$20 million</w:t>
      </w:r>
      <w:r w:rsidRPr="00CA2B99">
        <w:t>. 20</w:t>
      </w:r>
      <w:r>
        <w:t xml:space="preserve"> per cent</w:t>
      </w:r>
      <w:r w:rsidRPr="00CA2B99">
        <w:t xml:space="preserve"> of the partnership’s committed capital is </w:t>
      </w:r>
      <w:r w:rsidRPr="00CA2B99">
        <w:rPr>
          <w:b/>
        </w:rPr>
        <w:t>$4 million</w:t>
      </w:r>
      <w:r w:rsidRPr="00CA2B99">
        <w:t xml:space="preserve">. This means the partnership’s foreign investments must not exceed </w:t>
      </w:r>
      <w:r w:rsidRPr="00CA2B99">
        <w:rPr>
          <w:b/>
        </w:rPr>
        <w:t>$4 million</w:t>
      </w:r>
      <w:r w:rsidRPr="00CA2B99">
        <w:t>.</w:t>
      </w:r>
    </w:p>
    <w:p w14:paraId="3B26469A" w14:textId="77777777" w:rsidR="00903536" w:rsidRDefault="00903536" w:rsidP="00903536">
      <w:pPr>
        <w:pStyle w:val="ListParagraph"/>
        <w:numPr>
          <w:ilvl w:val="0"/>
          <w:numId w:val="24"/>
        </w:numPr>
      </w:pPr>
      <w:r w:rsidRPr="00CA2B99">
        <w:t xml:space="preserve">As seen </w:t>
      </w:r>
      <w:r>
        <w:t>below, investments 1 and 3</w:t>
      </w:r>
      <w:r w:rsidRPr="00CA2B99">
        <w:t xml:space="preserve"> are </w:t>
      </w:r>
      <w:r w:rsidRPr="00834AFF">
        <w:rPr>
          <w:u w:val="single"/>
        </w:rPr>
        <w:t>eligible foreign investments</w:t>
      </w:r>
      <w:r w:rsidRPr="00CA2B99">
        <w:t xml:space="preserve"> because the total value of their investments (including the revalued investments) do not exceed the 20</w:t>
      </w:r>
      <w:r>
        <w:t xml:space="preserve"> per cent threshold. </w:t>
      </w:r>
    </w:p>
    <w:p w14:paraId="466F4575" w14:textId="77777777" w:rsidR="00903536" w:rsidRDefault="00903536" w:rsidP="00903536">
      <w:pPr>
        <w:pStyle w:val="ListParagraph"/>
        <w:numPr>
          <w:ilvl w:val="0"/>
          <w:numId w:val="24"/>
        </w:numPr>
      </w:pPr>
      <w:r>
        <w:t>Investment 5</w:t>
      </w:r>
      <w:r w:rsidRPr="00CA2B99">
        <w:t xml:space="preserve">, </w:t>
      </w:r>
      <w:r>
        <w:t>Vegetation Table Inc.</w:t>
      </w:r>
      <w:r w:rsidRPr="00CA2B99">
        <w:t>, exceed</w:t>
      </w:r>
      <w:r>
        <w:t>s</w:t>
      </w:r>
      <w:r w:rsidRPr="00CA2B99">
        <w:t xml:space="preserve"> this threshold, as the total value of investment is </w:t>
      </w:r>
      <w:r w:rsidRPr="00C67422">
        <w:rPr>
          <w:b/>
        </w:rPr>
        <w:t>$4.2 million</w:t>
      </w:r>
      <w:r w:rsidRPr="00CA2B99">
        <w:t xml:space="preserve">, ultimately </w:t>
      </w:r>
      <w:r w:rsidRPr="00C67422">
        <w:rPr>
          <w:b/>
        </w:rPr>
        <w:t>$200,000</w:t>
      </w:r>
      <w:r>
        <w:t xml:space="preserve"> over the 20 per cent</w:t>
      </w:r>
      <w:r w:rsidRPr="00CA2B99">
        <w:t xml:space="preserve"> threshold of the pa</w:t>
      </w:r>
      <w:r>
        <w:t xml:space="preserve">rtnership’s committed capital. </w:t>
      </w:r>
    </w:p>
    <w:p w14:paraId="35C8663B" w14:textId="77777777" w:rsidR="00903536" w:rsidRDefault="00903536" w:rsidP="00903536">
      <w:r w:rsidRPr="009B081C">
        <w:rPr>
          <w:rFonts w:cstheme="minorHAnsi"/>
        </w:rPr>
        <w:t xml:space="preserve">The following table records </w:t>
      </w:r>
      <w:r w:rsidRPr="009B081C">
        <w:rPr>
          <w:rFonts w:cstheme="minorHAnsi"/>
          <w:b/>
        </w:rPr>
        <w:t>every</w:t>
      </w:r>
      <w:r w:rsidRPr="009B081C">
        <w:rPr>
          <w:rFonts w:cstheme="minorHAnsi"/>
        </w:rPr>
        <w:t xml:space="preserve"> investment made by </w:t>
      </w:r>
      <w:r w:rsidRPr="00CA2B99">
        <w:t>Yeti Fund, LP</w:t>
      </w:r>
      <w:r w:rsidRPr="009B081C">
        <w:rPr>
          <w:rFonts w:cstheme="minorHAnsi"/>
        </w:rPr>
        <w:t xml:space="preserve"> (the partnership).</w:t>
      </w:r>
      <w:r>
        <w:rPr>
          <w:rFonts w:cstheme="minorHAnsi"/>
        </w:rPr>
        <w:t xml:space="preserve"> </w:t>
      </w:r>
      <w:r w:rsidRPr="00BD5021">
        <w:rPr>
          <w:b/>
          <w:i/>
          <w:u w:val="single"/>
        </w:rPr>
        <w:t>Bold</w:t>
      </w:r>
      <w:r>
        <w:rPr>
          <w:b/>
          <w:i/>
          <w:u w:val="single"/>
        </w:rPr>
        <w:t>,</w:t>
      </w:r>
      <w:r w:rsidRPr="00BD5021">
        <w:rPr>
          <w:b/>
          <w:i/>
          <w:u w:val="single"/>
        </w:rPr>
        <w:t xml:space="preserve"> </w:t>
      </w:r>
      <w:proofErr w:type="gramStart"/>
      <w:r w:rsidRPr="00BD5021">
        <w:rPr>
          <w:b/>
          <w:i/>
          <w:u w:val="single"/>
        </w:rPr>
        <w:t>italic</w:t>
      </w:r>
      <w:proofErr w:type="gramEnd"/>
      <w:r w:rsidRPr="00BD502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and Underlined </w:t>
      </w:r>
      <w:r w:rsidRPr="00BD5021">
        <w:rPr>
          <w:b/>
          <w:i/>
          <w:u w:val="single"/>
        </w:rPr>
        <w:t>text</w:t>
      </w:r>
      <w:r w:rsidRPr="00D56245">
        <w:t xml:space="preserve"> </w:t>
      </w:r>
      <w:r>
        <w:t>denotes key changes.</w:t>
      </w:r>
    </w:p>
    <w:p w14:paraId="4617BD97" w14:textId="3ED2CBC5" w:rsidR="00903536" w:rsidRDefault="00903536" w:rsidP="00903536">
      <w:pPr>
        <w:pStyle w:val="Caption"/>
        <w:keepNext/>
      </w:pPr>
      <w:r>
        <w:lastRenderedPageBreak/>
        <w:t xml:space="preserve">Table </w:t>
      </w:r>
      <w:r w:rsidR="00DF0292">
        <w:t>4</w:t>
      </w:r>
      <w:r>
        <w:t xml:space="preserve"> </w:t>
      </w:r>
      <w:proofErr w:type="spellStart"/>
      <w:r>
        <w:t>PinkPig</w:t>
      </w:r>
      <w:proofErr w:type="spellEnd"/>
      <w:r>
        <w:t xml:space="preserve"> Fund, LP Investments</w:t>
      </w:r>
      <w:r w:rsidR="00A61852" w:rsidRPr="00E43F07">
        <w:rPr>
          <w:i w:val="0"/>
          <w:noProof/>
          <w:lang w:eastAsia="en-AU"/>
        </w:rPr>
        <w:drawing>
          <wp:inline distT="0" distB="0" distL="0" distR="0" wp14:anchorId="37E009E0" wp14:editId="4368DEFF">
            <wp:extent cx="5731510" cy="7504417"/>
            <wp:effectExtent l="0" t="0" r="2540" b="1905"/>
            <wp:docPr id="7" name="Picture 7" descr="Row 1 - Investment number; Foreign investee company name; Investment date; Committed capital at time of investment; Value of investment; Calculation of committed capital; Foreign investment threshold test.&#10;&#10;Row 2 - 1; Blast Electronics Inc.; 7 February 2020; $15,000,000; $500,000; two empty cells.&#10;&#10;Row 3 - Empty cell; Total foreign investment; empty cell; $15,000,000; $500,000; 500,000 ÷ 15,000,000 = 3%; 3%.&#10;&#10;Row 4 - All empty cells.&#10;&#10;Row 5 - 2; Sub-Smile (AU); 12 May 2020; $15,000,000; $300,000; N/A; N/A.&#10;&#10;Row 6 - Empty cell; Blast Electronics (Revalued); two empty cells; $550,000; two empty cells.&#10;&#10;Row 7 - Empty cell; Total foreign investment; empty cell; $15,000,000; $550,000; 550,000 ÷ 15,000,000 = 4%; 4%.&#10;&#10;Row 8 - All empty cells.&#10;&#10;Row 9 - 3; LastTech Limited; 14 October 2020; $20,000,000; $800,000; two empty cells.&#10;&#10;Row 10 - Empty cell; Blast Electronics (Revalued); two empty cells; $2,700,000; two empty cells.&#10;&#10;Row 11 - Empty cell; Sub-Smile (AU) (Revalued); two empty cells; $300,000; N/A; N/A.&#10;&#10;Row 12 - Empty cell; Total foreign investment; empty cell; $20,000,000; $3,500,000; 3,500,000 ÷ 20,000,000 = 18%; 18%.&#10;&#10;Row 13 - All empty cells.&#10;&#10;Row 14 - 4; Polar Air (AU); 1 July 2021; $20,000,000; $400,000; N/A; N/A.&#10;&#10;Row 15 - Empty cell; Blast Electronics (Revalued); two empty cells; $2,700,000; two empty cells.&#10;&#10;Row 16 - Empty cell; Sub-smile (AU) (Revalued); two empty cells; $500,000; N/A; N/A.&#10;&#10;Row 17 - Empty cell; LastTech (Revalued); two empty cells; $1,000,000; two empty cells.&#10;&#10;Row 18 - Empty cell; Total foreign investment; empty cell; $20,000,000; $3,700,000; 3,700,000 ÷ 20,000,000 =19%; 19%.&#10;&#10;Row 19 - All empty cells.&#10;&#10;Row 20 - 5; Vegetation Table Inc.; December 2021; $20,000,000; $500,000; two empty cells.&#10;&#10;Row 21 - Empty cell; Blast Electronics (Revalued); two empty cells; $2,700,000; two empty cells.&#10;&#10;Row 22 - Empty cell; Sub-Smile (AU) (Revalued); two empty cells; $500,000; N/A; N/A.&#10;&#10;Row 23 - Empty cell; LastTech (Revalued); two empty cells; $1,000,000; two empty cells.&#10;&#10;Row 24 - Empty cell; Polar Air (AU); two empty cells, $400,000; N/A; N/A.&#10;&#10;Row 25 - Empty cell; Total foreign investment; empty cell; $20,000,000; $4,200,000; 4,200,000 ÷ 20,000,000 =21%; 21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ow 1 - Investment number; Foreign investee company name; Investment date; Committed capital at time of investment; Value of investment; Calculation of committed capital; Foreign investment threshold test.&#10;&#10;Row 2 - 1; Blast Electronics Inc.; 7 February 2020; $15,000,000; $500,000; two empty cells.&#10;&#10;Row 3 - Empty cell; Total foreign investment; empty cell; $15,000,000; $500,000; 500,000 ÷ 15,000,000 = 3%; 3%.&#10;&#10;Row 4 - All empty cells.&#10;&#10;Row 5 - 2; Sub-Smile (AU); 12 May 2020; $15,000,000; $300,000; N/A; N/A.&#10;&#10;Row 6 - Empty cell; Blast Electronics (Revalued); two empty cells; $550,000; two empty cells.&#10;&#10;Row 7 - Empty cell; Total foreign investment; empty cell; $15,000,000; $550,000; 550,000 ÷ 15,000,000 = 4%; 4%.&#10;&#10;Row 8 - All empty cells.&#10;&#10;Row 9 - 3; LastTech Limited; 14 October 2020; $20,000,000; $800,000; two empty cells.&#10;&#10;Row 10 - Empty cell; Blast Electronics (Revalued); two empty cells; $2,700,000; two empty cells.&#10;&#10;Row 11 - Empty cell; Sub-Smile (AU) (Revalued); two empty cells; $300,000; N/A; N/A.&#10;&#10;Row 12 - Empty cell; Total foreign investment; empty cell; $20,000,000; $3,500,000; 3,500,000 ÷ 20,000,000 = 18%; 18%.&#10;&#10;Row 13 - All empty cells.&#10;&#10;Row 14 - 4; Polar Air (AU); 1 July 2021; $20,000,000; $400,000; N/A; N/A.&#10;&#10;Row 15 - Empty cell; Blast Electronics (Revalued); two empty cells; $2,700,000; two empty cells.&#10;&#10;Row 16 - Empty cell; Sub-smile (AU) (Revalued); two empty cells; $500,000; N/A; N/A.&#10;&#10;Row 17 - Empty cell; LastTech (Revalued); two empty cells; $1,000,000; two empty cells.&#10;&#10;Row 18 - Empty cell; Total foreign investment; empty cell; $20,000,000; $3,700,000; 3,700,000 ÷ 20,000,000 =19%; 19%.&#10;&#10;Row 19 - All empty cells.&#10;&#10;Row 20 - 5; Vegetation Table Inc.; December 2021; $20,000,000; $500,000; two empty cells.&#10;&#10;Row 21 - Empty cell; Blast Electronics (Revalued); two empty cells; $2,700,000; two empty cells.&#10;&#10;Row 22 - Empty cell; Sub-Smile (AU) (Revalued); two empty cells; $500,000; N/A; N/A.&#10;&#10;Row 23 - Empty cell; LastTech (Revalued); two empty cells; $1,000,000; two empty cells.&#10;&#10;Row 24 - Empty cell; Polar Air (AU); two empty cells, $400,000; N/A; N/A.&#10;&#10;Row 25 - Empty cell; Total foreign investment; empty cell; $20,000,000; $4,200,000; 4,200,000 ÷ 20,000,000 =21%; 21%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DB55D" w14:textId="16BCFFBA" w:rsidR="00903536" w:rsidRPr="00E43F07" w:rsidRDefault="00903536" w:rsidP="00903536">
      <w:pPr>
        <w:spacing w:after="100" w:afterAutospacing="1"/>
        <w:rPr>
          <w:i/>
        </w:rPr>
      </w:pPr>
      <w:r w:rsidRPr="00E43F07">
        <w:rPr>
          <w:i/>
        </w:rPr>
        <w:t xml:space="preserve">Note: The investment made into </w:t>
      </w:r>
      <w:r w:rsidRPr="00E43F07">
        <w:rPr>
          <w:b/>
          <w:i/>
        </w:rPr>
        <w:t>Vegetation Table Inc.</w:t>
      </w:r>
      <w:r w:rsidRPr="00E43F07">
        <w:rPr>
          <w:i/>
        </w:rPr>
        <w:t xml:space="preserve"> is considered an </w:t>
      </w:r>
      <w:r w:rsidRPr="00E43F07">
        <w:rPr>
          <w:b/>
          <w:i/>
        </w:rPr>
        <w:t>ineligible</w:t>
      </w:r>
      <w:r w:rsidRPr="00E43F07">
        <w:rPr>
          <w:i/>
        </w:rPr>
        <w:t xml:space="preserve"> investment, as the </w:t>
      </w:r>
      <w:r w:rsidRPr="00E43F07">
        <w:rPr>
          <w:b/>
          <w:i/>
        </w:rPr>
        <w:t>new</w:t>
      </w:r>
      <w:r w:rsidRPr="00E43F07">
        <w:rPr>
          <w:i/>
        </w:rPr>
        <w:t xml:space="preserve"> and </w:t>
      </w:r>
      <w:r w:rsidRPr="00E43F07">
        <w:rPr>
          <w:b/>
          <w:i/>
        </w:rPr>
        <w:t>revalued</w:t>
      </w:r>
      <w:r w:rsidRPr="00E43F07">
        <w:rPr>
          <w:i/>
        </w:rPr>
        <w:t xml:space="preserve"> investments push the partnership’s total investment value over the 20 per cent threshold by 1 per cent</w:t>
      </w:r>
      <w:r w:rsidR="00543548">
        <w:rPr>
          <w:i/>
        </w:rPr>
        <w:t>.</w:t>
      </w:r>
      <w:bookmarkEnd w:id="2"/>
      <w:bookmarkEnd w:id="1"/>
      <w:bookmarkEnd w:id="0"/>
    </w:p>
    <w:sectPr w:rsidR="00903536" w:rsidRPr="00E43F07" w:rsidSect="00EC00A2">
      <w:footerReference w:type="default" r:id="rId23"/>
      <w:headerReference w:type="first" r:id="rId24"/>
      <w:footerReference w:type="first" r:id="rId25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F29D" w14:textId="77777777" w:rsidR="002076B3" w:rsidRDefault="002076B3" w:rsidP="00B251DB">
      <w:pPr>
        <w:spacing w:after="0" w:line="240" w:lineRule="auto"/>
      </w:pPr>
      <w:r>
        <w:separator/>
      </w:r>
    </w:p>
  </w:endnote>
  <w:endnote w:type="continuationSeparator" w:id="0">
    <w:p w14:paraId="14FA5DE1" w14:textId="77777777" w:rsidR="002076B3" w:rsidRDefault="002076B3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C6E7" w14:textId="6149BDA4" w:rsidR="00BD0F8A" w:rsidRDefault="00A61852" w:rsidP="00BD0F8A">
    <w:pPr>
      <w:pStyle w:val="Footer"/>
      <w:jc w:val="right"/>
      <w:rPr>
        <w:noProof/>
      </w:rPr>
    </w:pPr>
    <w:sdt>
      <w:sdtPr>
        <w:alias w:val="Title"/>
        <w:tag w:val=""/>
        <w:id w:val="-806242154"/>
        <w:placeholder>
          <w:docPart w:val="06AFD42D2B4E4C0683DC4B70B18ADF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819">
          <w:t>Guide to calculating the exceptions from the Australian location test</w:t>
        </w:r>
      </w:sdtContent>
    </w:sdt>
    <w:r w:rsidR="00BD0F8A">
      <w:tab/>
      <w:t>industry.gov.au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7862C8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2E2" w14:textId="3331103E" w:rsidR="00607188" w:rsidRDefault="00A61852" w:rsidP="00EC00A2">
    <w:pPr>
      <w:pStyle w:val="Footer"/>
      <w:jc w:val="right"/>
      <w:rPr>
        <w:noProof/>
      </w:rPr>
    </w:pPr>
    <w:sdt>
      <w:sdtPr>
        <w:alias w:val="Title"/>
        <w:tag w:val=""/>
        <w:id w:val="-20620958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819">
          <w:t>Guide to calculating the exceptions from the Australian location test</w:t>
        </w:r>
      </w:sdtContent>
    </w:sdt>
    <w:r w:rsidR="00EC00A2">
      <w:tab/>
      <w:t>industry.gov.au</w:t>
    </w:r>
    <w:r w:rsidR="00EC00A2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0A2">
          <w:fldChar w:fldCharType="begin"/>
        </w:r>
        <w:r w:rsidR="00EC00A2">
          <w:instrText xml:space="preserve"> PAGE   \* MERGEFORMAT </w:instrText>
        </w:r>
        <w:r w:rsidR="00EC00A2">
          <w:fldChar w:fldCharType="separate"/>
        </w:r>
        <w:r w:rsidR="007862C8">
          <w:rPr>
            <w:noProof/>
          </w:rPr>
          <w:t>1</w:t>
        </w:r>
        <w:r w:rsidR="00EC00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DE2F" w14:textId="77777777" w:rsidR="002076B3" w:rsidRDefault="002076B3" w:rsidP="00B251DB">
      <w:pPr>
        <w:spacing w:after="0" w:line="240" w:lineRule="auto"/>
      </w:pPr>
      <w:r>
        <w:separator/>
      </w:r>
    </w:p>
  </w:footnote>
  <w:footnote w:type="continuationSeparator" w:id="0">
    <w:p w14:paraId="3799E03E" w14:textId="77777777" w:rsidR="002076B3" w:rsidRDefault="002076B3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4FE9" w14:textId="77777777" w:rsidR="00806473" w:rsidRDefault="00806473">
    <w:pPr>
      <w:pStyle w:val="Header"/>
    </w:pPr>
    <w:r w:rsidRPr="00180BF8">
      <w:rPr>
        <w:noProof/>
        <w:lang w:eastAsia="en-AU"/>
      </w:rPr>
      <w:drawing>
        <wp:inline distT="0" distB="0" distL="0" distR="0" wp14:anchorId="185448A5" wp14:editId="7473B1F6">
          <wp:extent cx="2429256" cy="701405"/>
          <wp:effectExtent l="0" t="0" r="0" b="3810"/>
          <wp:docPr id="3" name="Picture 3" descr="Australian Government | Department of Industry, Science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9256" cy="70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3C"/>
    <w:multiLevelType w:val="hybridMultilevel"/>
    <w:tmpl w:val="194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DC4"/>
    <w:multiLevelType w:val="hybridMultilevel"/>
    <w:tmpl w:val="CBCCC45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02D20"/>
    <w:multiLevelType w:val="hybridMultilevel"/>
    <w:tmpl w:val="B87AD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0E9"/>
    <w:multiLevelType w:val="hybridMultilevel"/>
    <w:tmpl w:val="28628C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4140"/>
    <w:multiLevelType w:val="hybridMultilevel"/>
    <w:tmpl w:val="FF4A66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D6095"/>
    <w:multiLevelType w:val="hybridMultilevel"/>
    <w:tmpl w:val="5A143BAA"/>
    <w:lvl w:ilvl="0" w:tplc="29446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CD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C5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08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2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8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6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8D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E3C63"/>
    <w:multiLevelType w:val="hybridMultilevel"/>
    <w:tmpl w:val="B406D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14893"/>
    <w:multiLevelType w:val="hybridMultilevel"/>
    <w:tmpl w:val="021E9818"/>
    <w:lvl w:ilvl="0" w:tplc="79E0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26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6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46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2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C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AC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4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635106"/>
    <w:multiLevelType w:val="hybridMultilevel"/>
    <w:tmpl w:val="F8A6A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0775753">
    <w:abstractNumId w:val="10"/>
  </w:num>
  <w:num w:numId="2" w16cid:durableId="194079928">
    <w:abstractNumId w:val="9"/>
  </w:num>
  <w:num w:numId="3" w16cid:durableId="2086610604">
    <w:abstractNumId w:val="14"/>
  </w:num>
  <w:num w:numId="4" w16cid:durableId="725180406">
    <w:abstractNumId w:val="12"/>
  </w:num>
  <w:num w:numId="5" w16cid:durableId="1519656032">
    <w:abstractNumId w:val="17"/>
  </w:num>
  <w:num w:numId="6" w16cid:durableId="158736199">
    <w:abstractNumId w:val="6"/>
  </w:num>
  <w:num w:numId="7" w16cid:durableId="634876858">
    <w:abstractNumId w:val="1"/>
  </w:num>
  <w:num w:numId="8" w16cid:durableId="1362320188">
    <w:abstractNumId w:val="5"/>
  </w:num>
  <w:num w:numId="9" w16cid:durableId="328410679">
    <w:abstractNumId w:val="13"/>
  </w:num>
  <w:num w:numId="10" w16cid:durableId="1879007559">
    <w:abstractNumId w:val="16"/>
  </w:num>
  <w:num w:numId="11" w16cid:durableId="417990708">
    <w:abstractNumId w:val="8"/>
  </w:num>
  <w:num w:numId="12" w16cid:durableId="1308167757">
    <w:abstractNumId w:val="23"/>
  </w:num>
  <w:num w:numId="13" w16cid:durableId="742727350">
    <w:abstractNumId w:val="18"/>
  </w:num>
  <w:num w:numId="14" w16cid:durableId="820076789">
    <w:abstractNumId w:val="11"/>
  </w:num>
  <w:num w:numId="15" w16cid:durableId="2042824609">
    <w:abstractNumId w:val="19"/>
  </w:num>
  <w:num w:numId="16" w16cid:durableId="661815192">
    <w:abstractNumId w:val="15"/>
  </w:num>
  <w:num w:numId="17" w16cid:durableId="104665933">
    <w:abstractNumId w:val="21"/>
  </w:num>
  <w:num w:numId="18" w16cid:durableId="1478181386">
    <w:abstractNumId w:val="22"/>
  </w:num>
  <w:num w:numId="19" w16cid:durableId="803233560">
    <w:abstractNumId w:val="7"/>
  </w:num>
  <w:num w:numId="20" w16cid:durableId="1504273901">
    <w:abstractNumId w:val="2"/>
  </w:num>
  <w:num w:numId="21" w16cid:durableId="224492020">
    <w:abstractNumId w:val="4"/>
  </w:num>
  <w:num w:numId="22" w16cid:durableId="901713686">
    <w:abstractNumId w:val="3"/>
  </w:num>
  <w:num w:numId="23" w16cid:durableId="429594299">
    <w:abstractNumId w:val="0"/>
  </w:num>
  <w:num w:numId="24" w16cid:durableId="823356370">
    <w:abstractNumId w:val="20"/>
  </w:num>
  <w:num w:numId="25" w16cid:durableId="1962609650">
    <w:abstractNumId w:val="16"/>
  </w:num>
  <w:num w:numId="26" w16cid:durableId="5357743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E2"/>
    <w:rsid w:val="00001D50"/>
    <w:rsid w:val="00031D39"/>
    <w:rsid w:val="00032995"/>
    <w:rsid w:val="00046C20"/>
    <w:rsid w:val="000552B3"/>
    <w:rsid w:val="0007067B"/>
    <w:rsid w:val="00081D07"/>
    <w:rsid w:val="00092156"/>
    <w:rsid w:val="000C3494"/>
    <w:rsid w:val="000E599A"/>
    <w:rsid w:val="000F2564"/>
    <w:rsid w:val="00123A32"/>
    <w:rsid w:val="00153C15"/>
    <w:rsid w:val="001713D1"/>
    <w:rsid w:val="001D216A"/>
    <w:rsid w:val="001D2E82"/>
    <w:rsid w:val="001F5AB1"/>
    <w:rsid w:val="00205DF3"/>
    <w:rsid w:val="002076B3"/>
    <w:rsid w:val="0022083E"/>
    <w:rsid w:val="00222D0B"/>
    <w:rsid w:val="00241D3D"/>
    <w:rsid w:val="00243327"/>
    <w:rsid w:val="0025218F"/>
    <w:rsid w:val="00254DA8"/>
    <w:rsid w:val="00272B04"/>
    <w:rsid w:val="002B5C69"/>
    <w:rsid w:val="002D230B"/>
    <w:rsid w:val="002F49E2"/>
    <w:rsid w:val="00371D56"/>
    <w:rsid w:val="00373906"/>
    <w:rsid w:val="003D38ED"/>
    <w:rsid w:val="004632E9"/>
    <w:rsid w:val="0046678C"/>
    <w:rsid w:val="004A4C25"/>
    <w:rsid w:val="004B4254"/>
    <w:rsid w:val="004C05FA"/>
    <w:rsid w:val="004D3B0F"/>
    <w:rsid w:val="00516B0E"/>
    <w:rsid w:val="00543548"/>
    <w:rsid w:val="00584B74"/>
    <w:rsid w:val="00603DDF"/>
    <w:rsid w:val="00607188"/>
    <w:rsid w:val="00643B74"/>
    <w:rsid w:val="00671D1D"/>
    <w:rsid w:val="0068286F"/>
    <w:rsid w:val="00691855"/>
    <w:rsid w:val="006B4C5A"/>
    <w:rsid w:val="006C0396"/>
    <w:rsid w:val="006C4C9C"/>
    <w:rsid w:val="006C5288"/>
    <w:rsid w:val="006D2221"/>
    <w:rsid w:val="006E1E6A"/>
    <w:rsid w:val="006E4001"/>
    <w:rsid w:val="006F58A5"/>
    <w:rsid w:val="00711349"/>
    <w:rsid w:val="00723C5D"/>
    <w:rsid w:val="00742E25"/>
    <w:rsid w:val="007833EE"/>
    <w:rsid w:val="007862C8"/>
    <w:rsid w:val="007B0385"/>
    <w:rsid w:val="007B553F"/>
    <w:rsid w:val="00806473"/>
    <w:rsid w:val="00853A7A"/>
    <w:rsid w:val="00892B6E"/>
    <w:rsid w:val="00903536"/>
    <w:rsid w:val="009A549D"/>
    <w:rsid w:val="009F2B04"/>
    <w:rsid w:val="00A05C21"/>
    <w:rsid w:val="00A52F3D"/>
    <w:rsid w:val="00A61852"/>
    <w:rsid w:val="00A731BB"/>
    <w:rsid w:val="00A86641"/>
    <w:rsid w:val="00AA740C"/>
    <w:rsid w:val="00B10C62"/>
    <w:rsid w:val="00B251DB"/>
    <w:rsid w:val="00B26C25"/>
    <w:rsid w:val="00B31D7C"/>
    <w:rsid w:val="00B35C0C"/>
    <w:rsid w:val="00B35CFD"/>
    <w:rsid w:val="00B43D91"/>
    <w:rsid w:val="00B818F6"/>
    <w:rsid w:val="00BD0F8A"/>
    <w:rsid w:val="00BE6EEA"/>
    <w:rsid w:val="00C441F4"/>
    <w:rsid w:val="00C76540"/>
    <w:rsid w:val="00C86819"/>
    <w:rsid w:val="00CA4FAE"/>
    <w:rsid w:val="00CE27B7"/>
    <w:rsid w:val="00CE3512"/>
    <w:rsid w:val="00D220CF"/>
    <w:rsid w:val="00D74B0D"/>
    <w:rsid w:val="00D841E9"/>
    <w:rsid w:val="00DA500B"/>
    <w:rsid w:val="00DB2F0B"/>
    <w:rsid w:val="00DF0292"/>
    <w:rsid w:val="00E01D7D"/>
    <w:rsid w:val="00E3027E"/>
    <w:rsid w:val="00E64BC7"/>
    <w:rsid w:val="00EC00A2"/>
    <w:rsid w:val="00F22BB9"/>
    <w:rsid w:val="00F31FAA"/>
    <w:rsid w:val="00F64703"/>
    <w:rsid w:val="00F76169"/>
    <w:rsid w:val="00F85311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5754E"/>
  <w15:chartTrackingRefBased/>
  <w15:docId w15:val="{3B20969F-E2ED-40D2-99B2-A4C2611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AE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1B9590" w:themeColor="accent3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7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46F6B" w:themeColor="accent3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7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6F6B" w:themeColor="accent3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4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677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47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46F6B" w:themeColor="accent3" w:themeShade="BF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4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677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05677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58595B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58595B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4FAE"/>
    <w:rPr>
      <w:rFonts w:asciiTheme="majorHAnsi" w:eastAsiaTheme="majorEastAsia" w:hAnsiTheme="majorHAnsi" w:cstheme="majorBidi"/>
      <w:color w:val="1B9590" w:themeColor="accent3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64703"/>
    <w:rPr>
      <w:rFonts w:asciiTheme="majorHAnsi" w:eastAsiaTheme="majorEastAsia" w:hAnsiTheme="majorHAnsi" w:cstheme="majorBidi"/>
      <w:iCs/>
      <w:color w:val="146F6B" w:themeColor="accent3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F64703"/>
    <w:rPr>
      <w:rFonts w:asciiTheme="majorHAnsi" w:eastAsiaTheme="majorEastAsia" w:hAnsiTheme="majorHAnsi" w:cstheme="majorBidi"/>
      <w:color w:val="146F6B" w:themeColor="accent3" w:themeShade="BF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64703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D6F72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CA4FAE"/>
    <w:rPr>
      <w:rFonts w:asciiTheme="majorHAnsi" w:eastAsiaTheme="majorEastAsia" w:hAnsiTheme="majorHAnsi" w:cstheme="majorBidi"/>
      <w:i/>
      <w:iCs/>
      <w:color w:val="005677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F64703"/>
    <w:rPr>
      <w:rFonts w:asciiTheme="majorHAnsi" w:eastAsiaTheme="majorEastAsia" w:hAnsiTheme="majorHAnsi" w:cstheme="majorBidi"/>
      <w:color w:val="146F6B" w:themeColor="accent3" w:themeShade="BF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A4FAE"/>
    <w:rPr>
      <w:rFonts w:asciiTheme="majorHAnsi" w:eastAsiaTheme="majorEastAsia" w:hAnsiTheme="majorHAnsi" w:cstheme="majorBidi"/>
      <w:i/>
      <w:iCs/>
      <w:color w:val="005677" w:themeColor="text2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86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2C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Details/C2023C00094/Html/Volume_3" TargetMode="External"/><Relationship Id="rId18" Type="http://schemas.openxmlformats.org/officeDocument/2006/relationships/hyperlink" Target="https://www.legislation.gov.au/Details/C2023C00094/Html/Volume_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hyperlink" Target="https://www.legislation.gov.au/Details/C2023C00094/Html/Volume_3" TargetMode="External"/><Relationship Id="rId17" Type="http://schemas.openxmlformats.org/officeDocument/2006/relationships/hyperlink" Target="http://www8.austlii.edu.au/cgi-bin/viewdoc/au/legis/cth/consol_act/itaa1997240/s995.1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8.austlii.edu.au/cgi-bin/viewdoc/au/legis/cth/consol_act/itaa1997240/s995.1.htm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8.austlii.edu.au/cgi-bin/viewdoc/au/legis/cth/consol_act/itaa1997240/s995.1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gov.au/Details/C2023C00094/Html/Volume_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au/Details/C2023C00094/Html/Volume_3" TargetMode="External"/><Relationship Id="rId22" Type="http://schemas.openxmlformats.org/officeDocument/2006/relationships/image" Target="media/image3.pn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AFD42D2B4E4C0683DC4B70B18A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15C-F037-4760-80D0-4B3E78F76C35}"/>
      </w:docPartPr>
      <w:docPartBody>
        <w:p w:rsidR="00A2765D" w:rsidRDefault="00A2765D">
          <w:pPr>
            <w:pStyle w:val="06AFD42D2B4E4C0683DC4B70B18ADF1C"/>
          </w:pPr>
          <w:r w:rsidRPr="000172F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5D"/>
    <w:rsid w:val="00A2765D"/>
    <w:rsid w:val="00E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AFD42D2B4E4C0683DC4B70B18ADF1C">
    <w:name w:val="06AFD42D2B4E4C0683DC4B70B18AD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E22515F5B0340B0AF29FCD9B29DA1" ma:contentTypeVersion="20" ma:contentTypeDescription="Create a new document." ma:contentTypeScope="" ma:versionID="a6d96966f93a55a7f865f6707c10fb32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b3b2f4e5-2ec4-4f1f-99dd-9592e758b1a2" xmlns:ns4="http://schemas.microsoft.com/sharepoint/v4" targetNamespace="http://schemas.microsoft.com/office/2006/metadata/properties" ma:root="true" ma:fieldsID="c4825ba3ab6c17b8b6da074271868a38" ns1:_="" ns2:_="" ns3:_="" ns4:_="">
    <xsd:import namespace="http://schemas.microsoft.com/sharepoint/v3"/>
    <xsd:import namespace="2a251b7e-61e4-4816-a71f-b295a9ad20fb"/>
    <xsd:import namespace="b3b2f4e5-2ec4-4f1f-99dd-9592e758b1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i1b1d89ca1344d158659b406de327cce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1d89ca1344d158659b406de327cce" ma:index="24" nillable="true" ma:taxonomy="true" ma:internalName="i1b1d89ca1344d158659b406de327cce" ma:taxonomyFieldName="DocHub_PhaseLifecycle" ma:displayName="Phase/Lifecycle" ma:indexed="true" ma:fieldId="{21b1d89c-a134-4d15-8659-b406de327cce}" ma:sspId="fb0313f7-9433-48c0-866e-9e0bbee59a50" ma:termSetId="f4d8ac1b-73e2-4426-9c84-b980c1719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6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7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f4e5-2ec4-4f1f-99dd-9592e758b1a2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51b7e-61e4-4816-a71f-b295a9ad20fb">
      <Value>1411</Value>
      <Value>3</Value>
    </TaxCatchAl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a4ca7698-9492-435d-8c80-0e92d5f30f1b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DocHub_ProjectGrantBenefitNo xmlns="2a251b7e-61e4-4816-a71f-b295a9ad20fb" xsi:nil="true"/>
    <i1b1d89ca1344d158659b406de327cce xmlns="2a251b7e-61e4-4816-a71f-b295a9ad20fb">
      <Terms xmlns="http://schemas.microsoft.com/office/infopath/2007/PartnerControls"/>
    </i1b1d89ca1344d158659b406de327cce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_dlc_DocId xmlns="2a251b7e-61e4-4816-a71f-b295a9ad20fb">YZXQVS7QACYM-679045184-2099</_dlc_DocId>
    <_dlc_DocIdUrl xmlns="2a251b7e-61e4-4816-a71f-b295a9ad20fb">
      <Url>https://dochub/div/ausindustry/programmesprojectstaskforces/venturecapital/_layouts/15/DocIdRedir.aspx?ID=YZXQVS7QACYM-679045184-2099</Url>
      <Description>YZXQVS7QACYM-679045184-2099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540854-01F0-44F9-97CA-FD54727E5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E0343-B7F6-4924-AD71-5FF5F25E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b3b2f4e5-2ec4-4f1f-99dd-9592e758b1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D1E5C-A65D-4473-85FA-CC979A19A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88EEF-3624-4BF0-94D0-DDDE17322E9E}">
  <ds:schemaRefs>
    <ds:schemaRef ds:uri="b3b2f4e5-2ec4-4f1f-99dd-9592e758b1a2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a251b7e-61e4-4816-a71f-b295a9ad20f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A446105-89BA-48D4-816A-A2E759D117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calculating the exceptions from the Australian location test</vt:lpstr>
    </vt:vector>
  </TitlesOfParts>
  <Manager/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calculating the exceptions from the Australian location test</dc:title>
  <dc:subject/>
  <cp:keywords/>
  <dc:description/>
  <cp:lastModifiedBy>Cooper, Colin</cp:lastModifiedBy>
  <cp:revision>5</cp:revision>
  <cp:lastPrinted>2024-01-22T23:52:00Z</cp:lastPrinted>
  <dcterms:created xsi:type="dcterms:W3CDTF">2024-01-22T23:37:00Z</dcterms:created>
  <dcterms:modified xsi:type="dcterms:W3CDTF">2024-02-01T22:40:00Z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0x0101002BEE22515F5B0340B0AF29FCD9B29DA1</vt:lpwstr>
  </property>
  <property fmtid="{D5CDD505-2E9C-101B-9397-08002B2CF9AE}" pid="3" name="MediaServiceImageTags">
    <vt:lpwstr/>
  </property>
  <property fmtid="{D5CDD505-2E9C-101B-9397-08002B2CF9AE}" pid="4" name="_dlc_DocIdItemGuid">
    <vt:lpwstr>03dc510c-6d3b-482f-aa3f-fa05c9aba8b2</vt:lpwstr>
  </property>
  <property fmtid="{D5CDD505-2E9C-101B-9397-08002B2CF9AE}" pid="5" name="DocHub_Year">
    <vt:lpwstr/>
  </property>
  <property fmtid="{D5CDD505-2E9C-101B-9397-08002B2CF9AE}" pid="6" name="DocHub_DocumentType">
    <vt:lpwstr>1411;#Guide|a4ca7698-9492-435d-8c80-0e92d5f30f1b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PhaseLifecycle">
    <vt:lpwstr/>
  </property>
  <property fmtid="{D5CDD505-2E9C-101B-9397-08002B2CF9AE}" pid="9" name="DocHub_Keywords">
    <vt:lpwstr/>
  </property>
  <property fmtid="{D5CDD505-2E9C-101B-9397-08002B2CF9AE}" pid="10" name="DocHub_WorkActivity">
    <vt:lpwstr/>
  </property>
  <property fmtid="{D5CDD505-2E9C-101B-9397-08002B2CF9AE}" pid="11" name="DocHub_EntityCustomer">
    <vt:lpwstr/>
  </property>
</Properties>
</file>