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3C7C" w14:textId="28BD4EB0" w:rsidR="002730DC" w:rsidRPr="00681BE4" w:rsidRDefault="00C12DE9" w:rsidP="00FD144A">
      <w:pPr>
        <w:spacing w:after="3360"/>
        <w:rPr>
          <w:rFonts w:cstheme="minorHAnsi"/>
        </w:rPr>
      </w:pPr>
      <w:bookmarkStart w:id="0" w:name="_Toc394504362"/>
      <w:r w:rsidRPr="00180BF8">
        <w:rPr>
          <w:noProof/>
          <w:lang w:eastAsia="en-AU"/>
        </w:rPr>
        <w:drawing>
          <wp:inline distT="0" distB="0" distL="0" distR="0" wp14:anchorId="018076C1" wp14:editId="38588229">
            <wp:extent cx="2235270" cy="645395"/>
            <wp:effectExtent l="0" t="0" r="0" b="2540"/>
            <wp:docPr id="1" name="Picture 1"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1D059F" w14:textId="603BE1AD" w:rsidR="00490F9A" w:rsidRDefault="00710259" w:rsidP="00FD144A">
      <w:pPr>
        <w:pStyle w:val="Heading1"/>
      </w:pPr>
      <w:bookmarkStart w:id="1" w:name="_Toc170301965"/>
      <w:r w:rsidRPr="006032AA">
        <w:t>Tr</w:t>
      </w:r>
      <w:r w:rsidR="005E1277" w:rsidRPr="006032AA">
        <w:t>adex</w:t>
      </w:r>
      <w:r w:rsidRPr="006032AA">
        <w:t xml:space="preserve"> </w:t>
      </w:r>
      <w:r w:rsidR="00351C75" w:rsidRPr="006032AA">
        <w:t>Scheme</w:t>
      </w:r>
      <w:r w:rsidR="00FD144A">
        <w:br/>
      </w:r>
      <w:r w:rsidR="00174032" w:rsidRPr="009415F9">
        <w:t>Policy</w:t>
      </w:r>
      <w:r w:rsidR="00174032" w:rsidRPr="00721FA9">
        <w:t xml:space="preserve"> </w:t>
      </w:r>
      <w:r w:rsidR="00147E7F" w:rsidRPr="001678B5">
        <w:t>and Administrative</w:t>
      </w:r>
      <w:r w:rsidR="00147E7F">
        <w:t xml:space="preserve"> </w:t>
      </w:r>
      <w:r w:rsidRPr="006032AA">
        <w:t>Guidelines</w:t>
      </w:r>
      <w:bookmarkEnd w:id="1"/>
      <w:r w:rsidR="005F35BC">
        <w:t xml:space="preserve"> </w:t>
      </w:r>
    </w:p>
    <w:p w14:paraId="3F9AA708" w14:textId="49578534" w:rsidR="00B631EA" w:rsidRPr="009415F9" w:rsidRDefault="005F35BC" w:rsidP="00FD144A">
      <w:pPr>
        <w:pStyle w:val="Heading2"/>
      </w:pPr>
      <w:bookmarkStart w:id="2" w:name="_Toc170300256"/>
      <w:bookmarkStart w:id="3" w:name="_Toc170301966"/>
      <w:r w:rsidRPr="009415F9">
        <w:t>(</w:t>
      </w:r>
      <w:r w:rsidR="003A36EE" w:rsidRPr="009415F9">
        <w:t>I</w:t>
      </w:r>
      <w:r w:rsidRPr="009415F9">
        <w:t>tem 21</w:t>
      </w:r>
      <w:r w:rsidR="0086535F" w:rsidRPr="009415F9">
        <w:t>A</w:t>
      </w:r>
      <w:r w:rsidR="003A36EE" w:rsidRPr="009415F9">
        <w:t xml:space="preserve">, Schedule 4 of the </w:t>
      </w:r>
      <w:r w:rsidR="003A36EE" w:rsidRPr="00FD144A">
        <w:rPr>
          <w:i/>
          <w:iCs/>
        </w:rPr>
        <w:t>Customs Tariff Act 1995</w:t>
      </w:r>
      <w:r w:rsidRPr="009415F9">
        <w:t>)</w:t>
      </w:r>
      <w:bookmarkEnd w:id="2"/>
      <w:bookmarkEnd w:id="3"/>
    </w:p>
    <w:bookmarkEnd w:id="0"/>
    <w:p w14:paraId="730E3F3F" w14:textId="4F799659" w:rsidR="00460133" w:rsidRDefault="00460133">
      <w:pPr>
        <w:spacing w:before="0" w:after="0"/>
        <w:rPr>
          <w:rFonts w:cstheme="minorHAnsi"/>
        </w:rPr>
      </w:pPr>
      <w:r>
        <w:rPr>
          <w:rFonts w:cstheme="minorHAnsi"/>
        </w:rPr>
        <w:br w:type="page"/>
      </w:r>
    </w:p>
    <w:p w14:paraId="54CBA092" w14:textId="77777777" w:rsidR="00EF5A20" w:rsidRDefault="00EF5A20" w:rsidP="00EF5A20">
      <w:pPr>
        <w:pStyle w:val="Heading2"/>
      </w:pPr>
      <w:bookmarkStart w:id="4" w:name="_Toc19023739"/>
      <w:bookmarkStart w:id="5" w:name="_Toc19289802"/>
      <w:bookmarkStart w:id="6" w:name="_Toc141868266"/>
      <w:bookmarkStart w:id="7" w:name="_Toc142318741"/>
      <w:bookmarkStart w:id="8" w:name="_Toc170300257"/>
      <w:bookmarkStart w:id="9" w:name="_Toc170301967"/>
      <w:r w:rsidRPr="001D216A">
        <w:lastRenderedPageBreak/>
        <w:t>Copyright</w:t>
      </w:r>
      <w:bookmarkEnd w:id="4"/>
      <w:bookmarkEnd w:id="5"/>
      <w:bookmarkEnd w:id="6"/>
      <w:bookmarkEnd w:id="7"/>
      <w:bookmarkEnd w:id="8"/>
      <w:bookmarkEnd w:id="9"/>
    </w:p>
    <w:p w14:paraId="22DBEA9D" w14:textId="60C085EB" w:rsidR="00EF5A20" w:rsidRPr="0068286F" w:rsidRDefault="00EF5A20" w:rsidP="00EF5A20">
      <w:pPr>
        <w:rPr>
          <w:rStyle w:val="Strong"/>
        </w:rPr>
      </w:pPr>
      <w:r w:rsidRPr="0068286F">
        <w:rPr>
          <w:rStyle w:val="Strong"/>
        </w:rPr>
        <w:t xml:space="preserve">© Commonwealth of </w:t>
      </w:r>
      <w:r w:rsidRPr="000F2564">
        <w:rPr>
          <w:rStyle w:val="Strong"/>
        </w:rPr>
        <w:t>Australia 20</w:t>
      </w:r>
      <w:r>
        <w:rPr>
          <w:rStyle w:val="Strong"/>
        </w:rPr>
        <w:t>2</w:t>
      </w:r>
      <w:r w:rsidR="00672FF8">
        <w:rPr>
          <w:rStyle w:val="Strong"/>
        </w:rPr>
        <w:t>4</w:t>
      </w:r>
    </w:p>
    <w:p w14:paraId="69C46040" w14:textId="77777777" w:rsidR="00EF5A20" w:rsidRPr="0068286F" w:rsidRDefault="00EF5A20" w:rsidP="00EF5A20">
      <w:pPr>
        <w:rPr>
          <w:rStyle w:val="Strong"/>
        </w:rPr>
      </w:pPr>
      <w:r w:rsidRPr="0068286F">
        <w:rPr>
          <w:rStyle w:val="Strong"/>
        </w:rPr>
        <w:t>Ownership of intellectual property rights</w:t>
      </w:r>
    </w:p>
    <w:p w14:paraId="2DAD6193" w14:textId="77777777" w:rsidR="00EF5A20" w:rsidRDefault="00EF5A20" w:rsidP="00EF5A20">
      <w:r>
        <w:t>Unless otherwise noted, copyright (and any other intellectual property rights, if any) in this publication is owned by the Commonwealth of Australia.</w:t>
      </w:r>
    </w:p>
    <w:p w14:paraId="6F851493" w14:textId="77777777" w:rsidR="00EF5A20" w:rsidRDefault="00EF5A20" w:rsidP="00EF5A20">
      <w:pPr>
        <w:rPr>
          <w:rStyle w:val="Strong"/>
        </w:rPr>
      </w:pPr>
      <w:r w:rsidRPr="0068286F">
        <w:rPr>
          <w:rStyle w:val="Strong"/>
        </w:rPr>
        <w:t>Creative Commons licence</w:t>
      </w:r>
    </w:p>
    <w:p w14:paraId="5F7332E0" w14:textId="77777777" w:rsidR="00EF5A20" w:rsidRPr="0068286F" w:rsidRDefault="00EF5A20" w:rsidP="00EF5A20">
      <w:pPr>
        <w:rPr>
          <w:rStyle w:val="Strong"/>
        </w:rPr>
      </w:pPr>
      <w:r>
        <w:rPr>
          <w:b/>
          <w:noProof/>
          <w:lang w:eastAsia="en-AU"/>
        </w:rPr>
        <w:drawing>
          <wp:inline distT="0" distB="0" distL="0" distR="0" wp14:anchorId="40647EDC" wp14:editId="6A63980F">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6173B5BB" w14:textId="77777777" w:rsidR="00EF5A20" w:rsidRPr="001D216A" w:rsidRDefault="00EF5A20" w:rsidP="00EF5A20">
      <w:pPr>
        <w:rPr>
          <w:rStyle w:val="Strong"/>
        </w:rPr>
      </w:pPr>
      <w:r w:rsidRPr="001D216A">
        <w:rPr>
          <w:rStyle w:val="Strong"/>
        </w:rPr>
        <w:t xml:space="preserve">Attribution </w:t>
      </w:r>
    </w:p>
    <w:p w14:paraId="2F0FB887" w14:textId="77777777" w:rsidR="00EF5A20" w:rsidRPr="001D216A" w:rsidRDefault="00EF5A20" w:rsidP="00EF5A20">
      <w:pPr>
        <w:rPr>
          <w:rStyle w:val="Strong"/>
        </w:rPr>
      </w:pPr>
      <w:r w:rsidRPr="001D216A">
        <w:rPr>
          <w:rStyle w:val="Strong"/>
        </w:rPr>
        <w:t>CC BY</w:t>
      </w:r>
    </w:p>
    <w:p w14:paraId="0926D49C" w14:textId="77777777" w:rsidR="00EF5A20" w:rsidRDefault="00EF5A20" w:rsidP="00EF5A20">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31B715AD" w14:textId="5C3B15A2" w:rsidR="00EF5A20" w:rsidRDefault="00EF5A20" w:rsidP="00EF5A20">
      <w:r>
        <w:t>Creative Commons Attribution 4.0 International Licence is a standard form licence agreement that allows you to copy, distribute, transmit and adapt this publication provided you attribute the work. A</w:t>
      </w:r>
      <w:r w:rsidR="00C27FF4">
        <w:t> </w:t>
      </w:r>
      <w:r>
        <w:t xml:space="preserve">summary of the licence terms is available from </w:t>
      </w:r>
      <w:hyperlink r:id="rId15" w:history="1">
        <w:r w:rsidRPr="00DB39DE">
          <w:rPr>
            <w:rStyle w:val="Hyperlink"/>
          </w:rPr>
          <w:t>https://creativecommons.org/licenses/by/4.0/</w:t>
        </w:r>
      </w:hyperlink>
    </w:p>
    <w:p w14:paraId="57C75FBE" w14:textId="77777777" w:rsidR="00EF5A20" w:rsidRDefault="00EF5A20" w:rsidP="00EF5A20">
      <w:r>
        <w:t xml:space="preserve">The full licence terms are available from </w:t>
      </w:r>
      <w:hyperlink r:id="rId16" w:history="1">
        <w:r w:rsidRPr="00DB39DE">
          <w:rPr>
            <w:rStyle w:val="Hyperlink"/>
          </w:rPr>
          <w:t>https://creativecommons.org/licenses/by/4.0/legalcode</w:t>
        </w:r>
      </w:hyperlink>
    </w:p>
    <w:p w14:paraId="16B0EA52" w14:textId="45F0989E" w:rsidR="00EF5A20" w:rsidRDefault="00EF5A20" w:rsidP="00FD144A">
      <w:r>
        <w:t xml:space="preserve">Content contained herein should be attributed as </w:t>
      </w:r>
      <w:r w:rsidR="00FD144A" w:rsidRPr="00FD144A">
        <w:rPr>
          <w:i/>
        </w:rPr>
        <w:t>Tradex Scheme</w:t>
      </w:r>
      <w:r w:rsidR="00FD144A">
        <w:rPr>
          <w:i/>
        </w:rPr>
        <w:t>,</w:t>
      </w:r>
      <w:r w:rsidR="00FD144A" w:rsidRPr="00FD144A">
        <w:rPr>
          <w:i/>
        </w:rPr>
        <w:t xml:space="preserve"> Policy and Administrative Guidelines</w:t>
      </w:r>
      <w:r w:rsidRPr="000F2564">
        <w:rPr>
          <w:i/>
        </w:rPr>
        <w:t>, Australian Government Department of Industry, Science</w:t>
      </w:r>
      <w:r>
        <w:rPr>
          <w:i/>
        </w:rPr>
        <w:t xml:space="preserve"> and Resources</w:t>
      </w:r>
      <w:r w:rsidRPr="000F2564">
        <w:t>.</w:t>
      </w:r>
    </w:p>
    <w:p w14:paraId="2E8A8C8C" w14:textId="77777777" w:rsidR="00EF5A20" w:rsidRPr="001D216A" w:rsidRDefault="00EF5A20" w:rsidP="00EF5A20">
      <w:pPr>
        <w:pStyle w:val="Heading2"/>
      </w:pPr>
      <w:bookmarkStart w:id="10" w:name="_Toc19023740"/>
      <w:bookmarkStart w:id="11" w:name="_Toc19289803"/>
      <w:bookmarkStart w:id="12" w:name="_Toc141868267"/>
      <w:bookmarkStart w:id="13" w:name="_Toc142318742"/>
      <w:bookmarkStart w:id="14" w:name="_Toc170300258"/>
      <w:bookmarkStart w:id="15" w:name="_Toc170301968"/>
      <w:r w:rsidRPr="001D216A">
        <w:t>Disclaimer</w:t>
      </w:r>
      <w:bookmarkEnd w:id="10"/>
      <w:bookmarkEnd w:id="11"/>
      <w:bookmarkEnd w:id="12"/>
      <w:bookmarkEnd w:id="13"/>
      <w:bookmarkEnd w:id="14"/>
      <w:bookmarkEnd w:id="15"/>
    </w:p>
    <w:p w14:paraId="143E9846" w14:textId="77777777" w:rsidR="00EF5A20" w:rsidRDefault="00EF5A20" w:rsidP="00EF5A20">
      <w:r>
        <w:t>The Australian Government as represented by the Department of Industry, Science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0DF71B5C" w14:textId="0E7FEAC1" w:rsidR="00CB7523" w:rsidRPr="00CB7523" w:rsidRDefault="00FB662B" w:rsidP="00CB7523">
      <w:pPr>
        <w:spacing w:before="0" w:after="0"/>
        <w:rPr>
          <w:rFonts w:cstheme="minorHAnsi"/>
        </w:rPr>
      </w:pPr>
      <w:r w:rsidRPr="00681BE4">
        <w:rPr>
          <w:rFonts w:cstheme="minorHAnsi"/>
        </w:rPr>
        <w:br w:type="page"/>
      </w:r>
      <w:bookmarkStart w:id="16" w:name="_Toc164844257"/>
    </w:p>
    <w:sdt>
      <w:sdtPr>
        <w:rPr>
          <w:rFonts w:ascii="Arial" w:eastAsia="Times New Roman" w:hAnsi="Arial" w:cs="Times New Roman"/>
          <w:bCs/>
          <w:color w:val="auto"/>
          <w:sz w:val="20"/>
          <w:szCs w:val="24"/>
          <w:lang w:val="en-AU"/>
        </w:rPr>
        <w:id w:val="-1335220858"/>
        <w:docPartObj>
          <w:docPartGallery w:val="Table of Contents"/>
          <w:docPartUnique/>
        </w:docPartObj>
      </w:sdtPr>
      <w:sdtEndPr>
        <w:rPr>
          <w:rFonts w:asciiTheme="minorHAnsi" w:eastAsiaTheme="minorHAnsi" w:hAnsiTheme="minorHAnsi" w:cstheme="minorBidi"/>
          <w:b/>
          <w:bCs w:val="0"/>
          <w:noProof/>
          <w:szCs w:val="22"/>
        </w:rPr>
      </w:sdtEndPr>
      <w:sdtContent>
        <w:p w14:paraId="5BE15F74" w14:textId="11753315" w:rsidR="00CB7523" w:rsidRDefault="00CB7523" w:rsidP="00031212">
          <w:pPr>
            <w:pStyle w:val="TOCHeading"/>
          </w:pPr>
          <w:r>
            <w:t>Contents</w:t>
          </w:r>
        </w:p>
        <w:p w14:paraId="1F9F061F" w14:textId="314DB22F" w:rsidR="004102D6" w:rsidRDefault="00E35AAE" w:rsidP="004102D6">
          <w:pPr>
            <w:pStyle w:val="TOC1"/>
            <w:rPr>
              <w:rFonts w:eastAsiaTheme="minorEastAsia"/>
              <w:noProof/>
              <w:kern w:val="2"/>
              <w:sz w:val="22"/>
              <w:lang w:eastAsia="en-AU"/>
              <w14:ligatures w14:val="standardContextual"/>
            </w:rPr>
          </w:pPr>
          <w:r>
            <w:fldChar w:fldCharType="begin"/>
          </w:r>
          <w:r>
            <w:instrText xml:space="preserve"> TOC \o "1-3" \h \z \u </w:instrText>
          </w:r>
          <w:r>
            <w:fldChar w:fldCharType="separate"/>
          </w:r>
          <w:hyperlink w:anchor="_Toc170301969" w:history="1">
            <w:r w:rsidR="004102D6" w:rsidRPr="00231F1C">
              <w:rPr>
                <w:rStyle w:val="Hyperlink"/>
                <w:noProof/>
              </w:rPr>
              <w:t>About the scheme</w:t>
            </w:r>
            <w:r w:rsidR="004102D6">
              <w:rPr>
                <w:noProof/>
                <w:webHidden/>
              </w:rPr>
              <w:tab/>
            </w:r>
            <w:r w:rsidR="004102D6">
              <w:rPr>
                <w:noProof/>
                <w:webHidden/>
              </w:rPr>
              <w:fldChar w:fldCharType="begin"/>
            </w:r>
            <w:r w:rsidR="004102D6">
              <w:rPr>
                <w:noProof/>
                <w:webHidden/>
              </w:rPr>
              <w:instrText xml:space="preserve"> PAGEREF _Toc170301969 \h </w:instrText>
            </w:r>
            <w:r w:rsidR="004102D6">
              <w:rPr>
                <w:noProof/>
                <w:webHidden/>
              </w:rPr>
            </w:r>
            <w:r w:rsidR="004102D6">
              <w:rPr>
                <w:noProof/>
                <w:webHidden/>
              </w:rPr>
              <w:fldChar w:fldCharType="separate"/>
            </w:r>
            <w:r w:rsidR="00C27FF4">
              <w:rPr>
                <w:noProof/>
                <w:webHidden/>
              </w:rPr>
              <w:t>5</w:t>
            </w:r>
            <w:r w:rsidR="004102D6">
              <w:rPr>
                <w:noProof/>
                <w:webHidden/>
              </w:rPr>
              <w:fldChar w:fldCharType="end"/>
            </w:r>
          </w:hyperlink>
        </w:p>
        <w:p w14:paraId="32BA9846" w14:textId="4633929A" w:rsidR="004102D6" w:rsidRDefault="00B349F0">
          <w:pPr>
            <w:pStyle w:val="TOC3"/>
            <w:tabs>
              <w:tab w:val="right" w:leader="dot" w:pos="8778"/>
            </w:tabs>
            <w:rPr>
              <w:rFonts w:eastAsiaTheme="minorEastAsia"/>
              <w:noProof/>
              <w:kern w:val="2"/>
              <w:sz w:val="22"/>
              <w:lang w:eastAsia="en-AU"/>
              <w14:ligatures w14:val="standardContextual"/>
            </w:rPr>
          </w:pPr>
          <w:hyperlink w:anchor="_Toc170301970" w:history="1">
            <w:r w:rsidR="004102D6" w:rsidRPr="00231F1C">
              <w:rPr>
                <w:rStyle w:val="Hyperlink"/>
                <w:noProof/>
              </w:rPr>
              <w:t>Legislation</w:t>
            </w:r>
            <w:r w:rsidR="004102D6">
              <w:rPr>
                <w:noProof/>
                <w:webHidden/>
              </w:rPr>
              <w:tab/>
            </w:r>
            <w:r w:rsidR="004102D6">
              <w:rPr>
                <w:noProof/>
                <w:webHidden/>
              </w:rPr>
              <w:fldChar w:fldCharType="begin"/>
            </w:r>
            <w:r w:rsidR="004102D6">
              <w:rPr>
                <w:noProof/>
                <w:webHidden/>
              </w:rPr>
              <w:instrText xml:space="preserve"> PAGEREF _Toc170301970 \h </w:instrText>
            </w:r>
            <w:r w:rsidR="004102D6">
              <w:rPr>
                <w:noProof/>
                <w:webHidden/>
              </w:rPr>
            </w:r>
            <w:r w:rsidR="004102D6">
              <w:rPr>
                <w:noProof/>
                <w:webHidden/>
              </w:rPr>
              <w:fldChar w:fldCharType="separate"/>
            </w:r>
            <w:r w:rsidR="00C27FF4">
              <w:rPr>
                <w:noProof/>
                <w:webHidden/>
              </w:rPr>
              <w:t>5</w:t>
            </w:r>
            <w:r w:rsidR="004102D6">
              <w:rPr>
                <w:noProof/>
                <w:webHidden/>
              </w:rPr>
              <w:fldChar w:fldCharType="end"/>
            </w:r>
          </w:hyperlink>
        </w:p>
        <w:p w14:paraId="3B707412" w14:textId="6B548FB3" w:rsidR="004102D6" w:rsidRDefault="00B349F0">
          <w:pPr>
            <w:pStyle w:val="TOC3"/>
            <w:tabs>
              <w:tab w:val="right" w:leader="dot" w:pos="8778"/>
            </w:tabs>
            <w:rPr>
              <w:rFonts w:eastAsiaTheme="minorEastAsia"/>
              <w:noProof/>
              <w:kern w:val="2"/>
              <w:sz w:val="22"/>
              <w:lang w:eastAsia="en-AU"/>
              <w14:ligatures w14:val="standardContextual"/>
            </w:rPr>
          </w:pPr>
          <w:hyperlink w:anchor="_Toc170301971" w:history="1">
            <w:r w:rsidR="004102D6" w:rsidRPr="00231F1C">
              <w:rPr>
                <w:rStyle w:val="Hyperlink"/>
                <w:noProof/>
              </w:rPr>
              <w:t>Background</w:t>
            </w:r>
            <w:r w:rsidR="004102D6">
              <w:rPr>
                <w:noProof/>
                <w:webHidden/>
              </w:rPr>
              <w:tab/>
            </w:r>
            <w:r w:rsidR="004102D6">
              <w:rPr>
                <w:noProof/>
                <w:webHidden/>
              </w:rPr>
              <w:fldChar w:fldCharType="begin"/>
            </w:r>
            <w:r w:rsidR="004102D6">
              <w:rPr>
                <w:noProof/>
                <w:webHidden/>
              </w:rPr>
              <w:instrText xml:space="preserve"> PAGEREF _Toc170301971 \h </w:instrText>
            </w:r>
            <w:r w:rsidR="004102D6">
              <w:rPr>
                <w:noProof/>
                <w:webHidden/>
              </w:rPr>
            </w:r>
            <w:r w:rsidR="004102D6">
              <w:rPr>
                <w:noProof/>
                <w:webHidden/>
              </w:rPr>
              <w:fldChar w:fldCharType="separate"/>
            </w:r>
            <w:r w:rsidR="00C27FF4">
              <w:rPr>
                <w:noProof/>
                <w:webHidden/>
              </w:rPr>
              <w:t>5</w:t>
            </w:r>
            <w:r w:rsidR="004102D6">
              <w:rPr>
                <w:noProof/>
                <w:webHidden/>
              </w:rPr>
              <w:fldChar w:fldCharType="end"/>
            </w:r>
          </w:hyperlink>
        </w:p>
        <w:p w14:paraId="6421AAAF" w14:textId="41EB6464" w:rsidR="004102D6" w:rsidRDefault="00B349F0" w:rsidP="004102D6">
          <w:pPr>
            <w:pStyle w:val="TOC2"/>
            <w:rPr>
              <w:rFonts w:eastAsiaTheme="minorEastAsia"/>
              <w:noProof/>
              <w:kern w:val="2"/>
              <w:sz w:val="22"/>
              <w:lang w:eastAsia="en-AU"/>
              <w14:ligatures w14:val="standardContextual"/>
            </w:rPr>
          </w:pPr>
          <w:hyperlink w:anchor="_Toc170301972" w:history="1">
            <w:r w:rsidR="004102D6" w:rsidRPr="00231F1C">
              <w:rPr>
                <w:rStyle w:val="Hyperlink"/>
                <w:noProof/>
              </w:rPr>
              <w:t>Concessional amount and duration</w:t>
            </w:r>
            <w:r w:rsidR="004102D6">
              <w:rPr>
                <w:noProof/>
                <w:webHidden/>
              </w:rPr>
              <w:tab/>
            </w:r>
            <w:r w:rsidR="004102D6">
              <w:rPr>
                <w:noProof/>
                <w:webHidden/>
              </w:rPr>
              <w:fldChar w:fldCharType="begin"/>
            </w:r>
            <w:r w:rsidR="004102D6">
              <w:rPr>
                <w:noProof/>
                <w:webHidden/>
              </w:rPr>
              <w:instrText xml:space="preserve"> PAGEREF _Toc170301972 \h </w:instrText>
            </w:r>
            <w:r w:rsidR="004102D6">
              <w:rPr>
                <w:noProof/>
                <w:webHidden/>
              </w:rPr>
            </w:r>
            <w:r w:rsidR="004102D6">
              <w:rPr>
                <w:noProof/>
                <w:webHidden/>
              </w:rPr>
              <w:fldChar w:fldCharType="separate"/>
            </w:r>
            <w:r w:rsidR="00C27FF4">
              <w:rPr>
                <w:noProof/>
                <w:webHidden/>
              </w:rPr>
              <w:t>6</w:t>
            </w:r>
            <w:r w:rsidR="004102D6">
              <w:rPr>
                <w:noProof/>
                <w:webHidden/>
              </w:rPr>
              <w:fldChar w:fldCharType="end"/>
            </w:r>
          </w:hyperlink>
        </w:p>
        <w:p w14:paraId="7A9DD4BC" w14:textId="3BB0AFC5" w:rsidR="004102D6" w:rsidRDefault="00B349F0" w:rsidP="004102D6">
          <w:pPr>
            <w:pStyle w:val="TOC2"/>
            <w:rPr>
              <w:rFonts w:eastAsiaTheme="minorEastAsia"/>
              <w:noProof/>
              <w:kern w:val="2"/>
              <w:sz w:val="22"/>
              <w:lang w:eastAsia="en-AU"/>
              <w14:ligatures w14:val="standardContextual"/>
            </w:rPr>
          </w:pPr>
          <w:hyperlink w:anchor="_Toc170301973" w:history="1">
            <w:r w:rsidR="004102D6" w:rsidRPr="00231F1C">
              <w:rPr>
                <w:rStyle w:val="Hyperlink"/>
                <w:noProof/>
              </w:rPr>
              <w:t>Eligibility criteria</w:t>
            </w:r>
            <w:r w:rsidR="004102D6">
              <w:rPr>
                <w:noProof/>
                <w:webHidden/>
              </w:rPr>
              <w:tab/>
            </w:r>
            <w:r w:rsidR="004102D6">
              <w:rPr>
                <w:noProof/>
                <w:webHidden/>
              </w:rPr>
              <w:fldChar w:fldCharType="begin"/>
            </w:r>
            <w:r w:rsidR="004102D6">
              <w:rPr>
                <w:noProof/>
                <w:webHidden/>
              </w:rPr>
              <w:instrText xml:space="preserve"> PAGEREF _Toc170301973 \h </w:instrText>
            </w:r>
            <w:r w:rsidR="004102D6">
              <w:rPr>
                <w:noProof/>
                <w:webHidden/>
              </w:rPr>
            </w:r>
            <w:r w:rsidR="004102D6">
              <w:rPr>
                <w:noProof/>
                <w:webHidden/>
              </w:rPr>
              <w:fldChar w:fldCharType="separate"/>
            </w:r>
            <w:r w:rsidR="00C27FF4">
              <w:rPr>
                <w:noProof/>
                <w:webHidden/>
              </w:rPr>
              <w:t>6</w:t>
            </w:r>
            <w:r w:rsidR="004102D6">
              <w:rPr>
                <w:noProof/>
                <w:webHidden/>
              </w:rPr>
              <w:fldChar w:fldCharType="end"/>
            </w:r>
          </w:hyperlink>
        </w:p>
        <w:p w14:paraId="13F73659" w14:textId="21C125E4" w:rsidR="004102D6" w:rsidRDefault="00B349F0">
          <w:pPr>
            <w:pStyle w:val="TOC3"/>
            <w:tabs>
              <w:tab w:val="right" w:leader="dot" w:pos="8778"/>
            </w:tabs>
            <w:rPr>
              <w:rFonts w:eastAsiaTheme="minorEastAsia"/>
              <w:noProof/>
              <w:kern w:val="2"/>
              <w:sz w:val="22"/>
              <w:lang w:eastAsia="en-AU"/>
              <w14:ligatures w14:val="standardContextual"/>
            </w:rPr>
          </w:pPr>
          <w:hyperlink w:anchor="_Toc170301974" w:history="1">
            <w:r w:rsidR="004102D6" w:rsidRPr="00231F1C">
              <w:rPr>
                <w:rStyle w:val="Hyperlink"/>
                <w:noProof/>
              </w:rPr>
              <w:t>Eligible goods</w:t>
            </w:r>
            <w:r w:rsidR="004102D6">
              <w:rPr>
                <w:noProof/>
                <w:webHidden/>
              </w:rPr>
              <w:tab/>
            </w:r>
            <w:r w:rsidR="004102D6">
              <w:rPr>
                <w:noProof/>
                <w:webHidden/>
              </w:rPr>
              <w:fldChar w:fldCharType="begin"/>
            </w:r>
            <w:r w:rsidR="004102D6">
              <w:rPr>
                <w:noProof/>
                <w:webHidden/>
              </w:rPr>
              <w:instrText xml:space="preserve"> PAGEREF _Toc170301974 \h </w:instrText>
            </w:r>
            <w:r w:rsidR="004102D6">
              <w:rPr>
                <w:noProof/>
                <w:webHidden/>
              </w:rPr>
            </w:r>
            <w:r w:rsidR="004102D6">
              <w:rPr>
                <w:noProof/>
                <w:webHidden/>
              </w:rPr>
              <w:fldChar w:fldCharType="separate"/>
            </w:r>
            <w:r w:rsidR="00C27FF4">
              <w:rPr>
                <w:noProof/>
                <w:webHidden/>
              </w:rPr>
              <w:t>6</w:t>
            </w:r>
            <w:r w:rsidR="004102D6">
              <w:rPr>
                <w:noProof/>
                <w:webHidden/>
              </w:rPr>
              <w:fldChar w:fldCharType="end"/>
            </w:r>
          </w:hyperlink>
        </w:p>
        <w:p w14:paraId="0DECA62A" w14:textId="23D0B799" w:rsidR="004102D6" w:rsidRDefault="00B349F0" w:rsidP="004102D6">
          <w:pPr>
            <w:pStyle w:val="TOC2"/>
            <w:rPr>
              <w:rFonts w:eastAsiaTheme="minorEastAsia"/>
              <w:noProof/>
              <w:kern w:val="2"/>
              <w:sz w:val="22"/>
              <w:lang w:eastAsia="en-AU"/>
              <w14:ligatures w14:val="standardContextual"/>
            </w:rPr>
          </w:pPr>
          <w:hyperlink w:anchor="_Toc170301975" w:history="1">
            <w:r w:rsidR="004102D6" w:rsidRPr="00231F1C">
              <w:rPr>
                <w:rStyle w:val="Hyperlink"/>
                <w:noProof/>
              </w:rPr>
              <w:t>Special Considerations for Certain Eligible Goods</w:t>
            </w:r>
            <w:r w:rsidR="004102D6">
              <w:rPr>
                <w:noProof/>
                <w:webHidden/>
              </w:rPr>
              <w:tab/>
            </w:r>
            <w:r w:rsidR="004102D6">
              <w:rPr>
                <w:noProof/>
                <w:webHidden/>
              </w:rPr>
              <w:fldChar w:fldCharType="begin"/>
            </w:r>
            <w:r w:rsidR="004102D6">
              <w:rPr>
                <w:noProof/>
                <w:webHidden/>
              </w:rPr>
              <w:instrText xml:space="preserve"> PAGEREF _Toc170301975 \h </w:instrText>
            </w:r>
            <w:r w:rsidR="004102D6">
              <w:rPr>
                <w:noProof/>
                <w:webHidden/>
              </w:rPr>
            </w:r>
            <w:r w:rsidR="004102D6">
              <w:rPr>
                <w:noProof/>
                <w:webHidden/>
              </w:rPr>
              <w:fldChar w:fldCharType="separate"/>
            </w:r>
            <w:r w:rsidR="00C27FF4">
              <w:rPr>
                <w:noProof/>
                <w:webHidden/>
              </w:rPr>
              <w:t>7</w:t>
            </w:r>
            <w:r w:rsidR="004102D6">
              <w:rPr>
                <w:noProof/>
                <w:webHidden/>
              </w:rPr>
              <w:fldChar w:fldCharType="end"/>
            </w:r>
          </w:hyperlink>
        </w:p>
        <w:p w14:paraId="4AAF44B7" w14:textId="00AA7413" w:rsidR="004102D6" w:rsidRDefault="00B349F0">
          <w:pPr>
            <w:pStyle w:val="TOC3"/>
            <w:tabs>
              <w:tab w:val="right" w:leader="dot" w:pos="8778"/>
            </w:tabs>
            <w:rPr>
              <w:rFonts w:eastAsiaTheme="minorEastAsia"/>
              <w:noProof/>
              <w:kern w:val="2"/>
              <w:sz w:val="22"/>
              <w:lang w:eastAsia="en-AU"/>
              <w14:ligatures w14:val="standardContextual"/>
            </w:rPr>
          </w:pPr>
          <w:hyperlink w:anchor="_Toc170301976" w:history="1">
            <w:r w:rsidR="004102D6" w:rsidRPr="00231F1C">
              <w:rPr>
                <w:rStyle w:val="Hyperlink"/>
                <w:noProof/>
              </w:rPr>
              <w:t>Packaging materials and containers</w:t>
            </w:r>
            <w:r w:rsidR="004102D6">
              <w:rPr>
                <w:noProof/>
                <w:webHidden/>
              </w:rPr>
              <w:tab/>
            </w:r>
            <w:r w:rsidR="004102D6">
              <w:rPr>
                <w:noProof/>
                <w:webHidden/>
              </w:rPr>
              <w:fldChar w:fldCharType="begin"/>
            </w:r>
            <w:r w:rsidR="004102D6">
              <w:rPr>
                <w:noProof/>
                <w:webHidden/>
              </w:rPr>
              <w:instrText xml:space="preserve"> PAGEREF _Toc170301976 \h </w:instrText>
            </w:r>
            <w:r w:rsidR="004102D6">
              <w:rPr>
                <w:noProof/>
                <w:webHidden/>
              </w:rPr>
            </w:r>
            <w:r w:rsidR="004102D6">
              <w:rPr>
                <w:noProof/>
                <w:webHidden/>
              </w:rPr>
              <w:fldChar w:fldCharType="separate"/>
            </w:r>
            <w:r w:rsidR="00C27FF4">
              <w:rPr>
                <w:noProof/>
                <w:webHidden/>
              </w:rPr>
              <w:t>7</w:t>
            </w:r>
            <w:r w:rsidR="004102D6">
              <w:rPr>
                <w:noProof/>
                <w:webHidden/>
              </w:rPr>
              <w:fldChar w:fldCharType="end"/>
            </w:r>
          </w:hyperlink>
        </w:p>
        <w:p w14:paraId="40EC07CF" w14:textId="24F46E17" w:rsidR="004102D6" w:rsidRDefault="00B349F0">
          <w:pPr>
            <w:pStyle w:val="TOC3"/>
            <w:tabs>
              <w:tab w:val="right" w:leader="dot" w:pos="8778"/>
            </w:tabs>
            <w:rPr>
              <w:rFonts w:eastAsiaTheme="minorEastAsia"/>
              <w:noProof/>
              <w:kern w:val="2"/>
              <w:sz w:val="22"/>
              <w:lang w:eastAsia="en-AU"/>
              <w14:ligatures w14:val="standardContextual"/>
            </w:rPr>
          </w:pPr>
          <w:hyperlink w:anchor="_Toc170301977" w:history="1">
            <w:r w:rsidR="004102D6" w:rsidRPr="00231F1C">
              <w:rPr>
                <w:rStyle w:val="Hyperlink"/>
                <w:noProof/>
              </w:rPr>
              <w:t>Oak goods for use in producing oaked wine for export</w:t>
            </w:r>
            <w:r w:rsidR="004102D6">
              <w:rPr>
                <w:noProof/>
                <w:webHidden/>
              </w:rPr>
              <w:tab/>
            </w:r>
            <w:r w:rsidR="004102D6">
              <w:rPr>
                <w:noProof/>
                <w:webHidden/>
              </w:rPr>
              <w:fldChar w:fldCharType="begin"/>
            </w:r>
            <w:r w:rsidR="004102D6">
              <w:rPr>
                <w:noProof/>
                <w:webHidden/>
              </w:rPr>
              <w:instrText xml:space="preserve"> PAGEREF _Toc170301977 \h </w:instrText>
            </w:r>
            <w:r w:rsidR="004102D6">
              <w:rPr>
                <w:noProof/>
                <w:webHidden/>
              </w:rPr>
            </w:r>
            <w:r w:rsidR="004102D6">
              <w:rPr>
                <w:noProof/>
                <w:webHidden/>
              </w:rPr>
              <w:fldChar w:fldCharType="separate"/>
            </w:r>
            <w:r w:rsidR="00C27FF4">
              <w:rPr>
                <w:noProof/>
                <w:webHidden/>
              </w:rPr>
              <w:t>7</w:t>
            </w:r>
            <w:r w:rsidR="004102D6">
              <w:rPr>
                <w:noProof/>
                <w:webHidden/>
              </w:rPr>
              <w:fldChar w:fldCharType="end"/>
            </w:r>
          </w:hyperlink>
        </w:p>
        <w:p w14:paraId="39F4562F" w14:textId="63927A7D" w:rsidR="004102D6" w:rsidRDefault="00B349F0">
          <w:pPr>
            <w:pStyle w:val="TOC3"/>
            <w:tabs>
              <w:tab w:val="right" w:leader="dot" w:pos="8778"/>
            </w:tabs>
            <w:rPr>
              <w:rFonts w:eastAsiaTheme="minorEastAsia"/>
              <w:noProof/>
              <w:kern w:val="2"/>
              <w:sz w:val="22"/>
              <w:lang w:eastAsia="en-AU"/>
              <w14:ligatures w14:val="standardContextual"/>
            </w:rPr>
          </w:pPr>
          <w:hyperlink w:anchor="_Toc170301978" w:history="1">
            <w:r w:rsidR="004102D6" w:rsidRPr="00231F1C">
              <w:rPr>
                <w:rStyle w:val="Hyperlink"/>
                <w:noProof/>
              </w:rPr>
              <w:t>Superyachts undertaking repairs</w:t>
            </w:r>
            <w:r w:rsidR="004102D6">
              <w:rPr>
                <w:noProof/>
                <w:webHidden/>
              </w:rPr>
              <w:tab/>
            </w:r>
            <w:r w:rsidR="004102D6">
              <w:rPr>
                <w:noProof/>
                <w:webHidden/>
              </w:rPr>
              <w:fldChar w:fldCharType="begin"/>
            </w:r>
            <w:r w:rsidR="004102D6">
              <w:rPr>
                <w:noProof/>
                <w:webHidden/>
              </w:rPr>
              <w:instrText xml:space="preserve"> PAGEREF _Toc170301978 \h </w:instrText>
            </w:r>
            <w:r w:rsidR="004102D6">
              <w:rPr>
                <w:noProof/>
                <w:webHidden/>
              </w:rPr>
            </w:r>
            <w:r w:rsidR="004102D6">
              <w:rPr>
                <w:noProof/>
                <w:webHidden/>
              </w:rPr>
              <w:fldChar w:fldCharType="separate"/>
            </w:r>
            <w:r w:rsidR="00C27FF4">
              <w:rPr>
                <w:noProof/>
                <w:webHidden/>
              </w:rPr>
              <w:t>7</w:t>
            </w:r>
            <w:r w:rsidR="004102D6">
              <w:rPr>
                <w:noProof/>
                <w:webHidden/>
              </w:rPr>
              <w:fldChar w:fldCharType="end"/>
            </w:r>
          </w:hyperlink>
        </w:p>
        <w:p w14:paraId="6D9B1593" w14:textId="01450B72" w:rsidR="004102D6" w:rsidRDefault="00B349F0" w:rsidP="004102D6">
          <w:pPr>
            <w:pStyle w:val="TOC2"/>
            <w:rPr>
              <w:rFonts w:eastAsiaTheme="minorEastAsia"/>
              <w:noProof/>
              <w:kern w:val="2"/>
              <w:sz w:val="22"/>
              <w:lang w:eastAsia="en-AU"/>
              <w14:ligatures w14:val="standardContextual"/>
            </w:rPr>
          </w:pPr>
          <w:hyperlink w:anchor="_Toc170301979" w:history="1">
            <w:r w:rsidR="004102D6" w:rsidRPr="00231F1C">
              <w:rPr>
                <w:rStyle w:val="Hyperlink"/>
                <w:noProof/>
              </w:rPr>
              <w:t>How to apply</w:t>
            </w:r>
            <w:r w:rsidR="004102D6">
              <w:rPr>
                <w:noProof/>
                <w:webHidden/>
              </w:rPr>
              <w:tab/>
            </w:r>
            <w:r w:rsidR="004102D6">
              <w:rPr>
                <w:noProof/>
                <w:webHidden/>
              </w:rPr>
              <w:fldChar w:fldCharType="begin"/>
            </w:r>
            <w:r w:rsidR="004102D6">
              <w:rPr>
                <w:noProof/>
                <w:webHidden/>
              </w:rPr>
              <w:instrText xml:space="preserve"> PAGEREF _Toc170301979 \h </w:instrText>
            </w:r>
            <w:r w:rsidR="004102D6">
              <w:rPr>
                <w:noProof/>
                <w:webHidden/>
              </w:rPr>
            </w:r>
            <w:r w:rsidR="004102D6">
              <w:rPr>
                <w:noProof/>
                <w:webHidden/>
              </w:rPr>
              <w:fldChar w:fldCharType="separate"/>
            </w:r>
            <w:r w:rsidR="00C27FF4">
              <w:rPr>
                <w:noProof/>
                <w:webHidden/>
              </w:rPr>
              <w:t>7</w:t>
            </w:r>
            <w:r w:rsidR="004102D6">
              <w:rPr>
                <w:noProof/>
                <w:webHidden/>
              </w:rPr>
              <w:fldChar w:fldCharType="end"/>
            </w:r>
          </w:hyperlink>
        </w:p>
        <w:p w14:paraId="719793B2" w14:textId="101ECF52" w:rsidR="004102D6" w:rsidRDefault="00B349F0">
          <w:pPr>
            <w:pStyle w:val="TOC3"/>
            <w:tabs>
              <w:tab w:val="right" w:leader="dot" w:pos="8778"/>
            </w:tabs>
            <w:rPr>
              <w:rFonts w:eastAsiaTheme="minorEastAsia"/>
              <w:noProof/>
              <w:kern w:val="2"/>
              <w:sz w:val="22"/>
              <w:lang w:eastAsia="en-AU"/>
              <w14:ligatures w14:val="standardContextual"/>
            </w:rPr>
          </w:pPr>
          <w:hyperlink w:anchor="_Toc170301980" w:history="1">
            <w:r w:rsidR="004102D6" w:rsidRPr="00231F1C">
              <w:rPr>
                <w:rStyle w:val="Hyperlink"/>
                <w:noProof/>
              </w:rPr>
              <w:t>Practical tips</w:t>
            </w:r>
            <w:r w:rsidR="004102D6">
              <w:rPr>
                <w:noProof/>
                <w:webHidden/>
              </w:rPr>
              <w:tab/>
            </w:r>
            <w:r w:rsidR="004102D6">
              <w:rPr>
                <w:noProof/>
                <w:webHidden/>
              </w:rPr>
              <w:fldChar w:fldCharType="begin"/>
            </w:r>
            <w:r w:rsidR="004102D6">
              <w:rPr>
                <w:noProof/>
                <w:webHidden/>
              </w:rPr>
              <w:instrText xml:space="preserve"> PAGEREF _Toc170301980 \h </w:instrText>
            </w:r>
            <w:r w:rsidR="004102D6">
              <w:rPr>
                <w:noProof/>
                <w:webHidden/>
              </w:rPr>
            </w:r>
            <w:r w:rsidR="004102D6">
              <w:rPr>
                <w:noProof/>
                <w:webHidden/>
              </w:rPr>
              <w:fldChar w:fldCharType="separate"/>
            </w:r>
            <w:r w:rsidR="00C27FF4">
              <w:rPr>
                <w:noProof/>
                <w:webHidden/>
              </w:rPr>
              <w:t>8</w:t>
            </w:r>
            <w:r w:rsidR="004102D6">
              <w:rPr>
                <w:noProof/>
                <w:webHidden/>
              </w:rPr>
              <w:fldChar w:fldCharType="end"/>
            </w:r>
          </w:hyperlink>
        </w:p>
        <w:p w14:paraId="5F0A1810" w14:textId="01E1A530" w:rsidR="004102D6" w:rsidRDefault="00B349F0">
          <w:pPr>
            <w:pStyle w:val="TOC3"/>
            <w:tabs>
              <w:tab w:val="right" w:leader="dot" w:pos="8778"/>
            </w:tabs>
            <w:rPr>
              <w:rFonts w:eastAsiaTheme="minorEastAsia"/>
              <w:noProof/>
              <w:kern w:val="2"/>
              <w:sz w:val="22"/>
              <w:lang w:eastAsia="en-AU"/>
              <w14:ligatures w14:val="standardContextual"/>
            </w:rPr>
          </w:pPr>
          <w:hyperlink w:anchor="_Toc170301981" w:history="1">
            <w:r w:rsidR="004102D6" w:rsidRPr="00231F1C">
              <w:rPr>
                <w:rStyle w:val="Hyperlink"/>
                <w:noProof/>
              </w:rPr>
              <w:t>Confidential information</w:t>
            </w:r>
            <w:r w:rsidR="004102D6">
              <w:rPr>
                <w:noProof/>
                <w:webHidden/>
              </w:rPr>
              <w:tab/>
            </w:r>
            <w:r w:rsidR="004102D6">
              <w:rPr>
                <w:noProof/>
                <w:webHidden/>
              </w:rPr>
              <w:fldChar w:fldCharType="begin"/>
            </w:r>
            <w:r w:rsidR="004102D6">
              <w:rPr>
                <w:noProof/>
                <w:webHidden/>
              </w:rPr>
              <w:instrText xml:space="preserve"> PAGEREF _Toc170301981 \h </w:instrText>
            </w:r>
            <w:r w:rsidR="004102D6">
              <w:rPr>
                <w:noProof/>
                <w:webHidden/>
              </w:rPr>
            </w:r>
            <w:r w:rsidR="004102D6">
              <w:rPr>
                <w:noProof/>
                <w:webHidden/>
              </w:rPr>
              <w:fldChar w:fldCharType="separate"/>
            </w:r>
            <w:r w:rsidR="00C27FF4">
              <w:rPr>
                <w:noProof/>
                <w:webHidden/>
              </w:rPr>
              <w:t>8</w:t>
            </w:r>
            <w:r w:rsidR="004102D6">
              <w:rPr>
                <w:noProof/>
                <w:webHidden/>
              </w:rPr>
              <w:fldChar w:fldCharType="end"/>
            </w:r>
          </w:hyperlink>
        </w:p>
        <w:p w14:paraId="2149F628" w14:textId="116B419E" w:rsidR="004102D6" w:rsidRDefault="00B349F0">
          <w:pPr>
            <w:pStyle w:val="TOC3"/>
            <w:tabs>
              <w:tab w:val="right" w:leader="dot" w:pos="8778"/>
            </w:tabs>
            <w:rPr>
              <w:rFonts w:eastAsiaTheme="minorEastAsia"/>
              <w:noProof/>
              <w:kern w:val="2"/>
              <w:sz w:val="22"/>
              <w:lang w:eastAsia="en-AU"/>
              <w14:ligatures w14:val="standardContextual"/>
            </w:rPr>
          </w:pPr>
          <w:hyperlink w:anchor="_Toc170301982" w:history="1">
            <w:r w:rsidR="004102D6" w:rsidRPr="00231F1C">
              <w:rPr>
                <w:rStyle w:val="Hyperlink"/>
                <w:noProof/>
              </w:rPr>
              <w:t>Where to submit the application</w:t>
            </w:r>
            <w:r w:rsidR="004102D6">
              <w:rPr>
                <w:noProof/>
                <w:webHidden/>
              </w:rPr>
              <w:tab/>
            </w:r>
            <w:r w:rsidR="004102D6">
              <w:rPr>
                <w:noProof/>
                <w:webHidden/>
              </w:rPr>
              <w:fldChar w:fldCharType="begin"/>
            </w:r>
            <w:r w:rsidR="004102D6">
              <w:rPr>
                <w:noProof/>
                <w:webHidden/>
              </w:rPr>
              <w:instrText xml:space="preserve"> PAGEREF _Toc170301982 \h </w:instrText>
            </w:r>
            <w:r w:rsidR="004102D6">
              <w:rPr>
                <w:noProof/>
                <w:webHidden/>
              </w:rPr>
            </w:r>
            <w:r w:rsidR="004102D6">
              <w:rPr>
                <w:noProof/>
                <w:webHidden/>
              </w:rPr>
              <w:fldChar w:fldCharType="separate"/>
            </w:r>
            <w:r w:rsidR="00C27FF4">
              <w:rPr>
                <w:noProof/>
                <w:webHidden/>
              </w:rPr>
              <w:t>8</w:t>
            </w:r>
            <w:r w:rsidR="004102D6">
              <w:rPr>
                <w:noProof/>
                <w:webHidden/>
              </w:rPr>
              <w:fldChar w:fldCharType="end"/>
            </w:r>
          </w:hyperlink>
        </w:p>
        <w:p w14:paraId="2D7515EE" w14:textId="3817B4B6" w:rsidR="004102D6" w:rsidRDefault="00B349F0">
          <w:pPr>
            <w:pStyle w:val="TOC3"/>
            <w:tabs>
              <w:tab w:val="right" w:leader="dot" w:pos="8778"/>
            </w:tabs>
            <w:rPr>
              <w:rFonts w:eastAsiaTheme="minorEastAsia"/>
              <w:noProof/>
              <w:kern w:val="2"/>
              <w:sz w:val="22"/>
              <w:lang w:eastAsia="en-AU"/>
              <w14:ligatures w14:val="standardContextual"/>
            </w:rPr>
          </w:pPr>
          <w:hyperlink w:anchor="_Toc170301983" w:history="1">
            <w:r w:rsidR="004102D6" w:rsidRPr="00231F1C">
              <w:rPr>
                <w:rStyle w:val="Hyperlink"/>
                <w:noProof/>
              </w:rPr>
              <w:t>Application advice</w:t>
            </w:r>
            <w:r w:rsidR="004102D6">
              <w:rPr>
                <w:noProof/>
                <w:webHidden/>
              </w:rPr>
              <w:tab/>
            </w:r>
            <w:r w:rsidR="004102D6">
              <w:rPr>
                <w:noProof/>
                <w:webHidden/>
              </w:rPr>
              <w:fldChar w:fldCharType="begin"/>
            </w:r>
            <w:r w:rsidR="004102D6">
              <w:rPr>
                <w:noProof/>
                <w:webHidden/>
              </w:rPr>
              <w:instrText xml:space="preserve"> PAGEREF _Toc170301983 \h </w:instrText>
            </w:r>
            <w:r w:rsidR="004102D6">
              <w:rPr>
                <w:noProof/>
                <w:webHidden/>
              </w:rPr>
            </w:r>
            <w:r w:rsidR="004102D6">
              <w:rPr>
                <w:noProof/>
                <w:webHidden/>
              </w:rPr>
              <w:fldChar w:fldCharType="separate"/>
            </w:r>
            <w:r w:rsidR="00C27FF4">
              <w:rPr>
                <w:noProof/>
                <w:webHidden/>
              </w:rPr>
              <w:t>8</w:t>
            </w:r>
            <w:r w:rsidR="004102D6">
              <w:rPr>
                <w:noProof/>
                <w:webHidden/>
              </w:rPr>
              <w:fldChar w:fldCharType="end"/>
            </w:r>
          </w:hyperlink>
        </w:p>
        <w:p w14:paraId="7FD7042E" w14:textId="44F03364" w:rsidR="004102D6" w:rsidRDefault="00B349F0" w:rsidP="004102D6">
          <w:pPr>
            <w:pStyle w:val="TOC2"/>
            <w:rPr>
              <w:rFonts w:eastAsiaTheme="minorEastAsia"/>
              <w:noProof/>
              <w:kern w:val="2"/>
              <w:sz w:val="22"/>
              <w:lang w:eastAsia="en-AU"/>
              <w14:ligatures w14:val="standardContextual"/>
            </w:rPr>
          </w:pPr>
          <w:hyperlink w:anchor="_Toc170301984" w:history="1">
            <w:r w:rsidR="004102D6" w:rsidRPr="00231F1C">
              <w:rPr>
                <w:rStyle w:val="Hyperlink"/>
                <w:noProof/>
              </w:rPr>
              <w:t>Application assessment process</w:t>
            </w:r>
            <w:r w:rsidR="004102D6">
              <w:rPr>
                <w:noProof/>
                <w:webHidden/>
              </w:rPr>
              <w:tab/>
            </w:r>
            <w:r w:rsidR="004102D6">
              <w:rPr>
                <w:noProof/>
                <w:webHidden/>
              </w:rPr>
              <w:fldChar w:fldCharType="begin"/>
            </w:r>
            <w:r w:rsidR="004102D6">
              <w:rPr>
                <w:noProof/>
                <w:webHidden/>
              </w:rPr>
              <w:instrText xml:space="preserve"> PAGEREF _Toc170301984 \h </w:instrText>
            </w:r>
            <w:r w:rsidR="004102D6">
              <w:rPr>
                <w:noProof/>
                <w:webHidden/>
              </w:rPr>
            </w:r>
            <w:r w:rsidR="004102D6">
              <w:rPr>
                <w:noProof/>
                <w:webHidden/>
              </w:rPr>
              <w:fldChar w:fldCharType="separate"/>
            </w:r>
            <w:r w:rsidR="00C27FF4">
              <w:rPr>
                <w:noProof/>
                <w:webHidden/>
              </w:rPr>
              <w:t>9</w:t>
            </w:r>
            <w:r w:rsidR="004102D6">
              <w:rPr>
                <w:noProof/>
                <w:webHidden/>
              </w:rPr>
              <w:fldChar w:fldCharType="end"/>
            </w:r>
          </w:hyperlink>
        </w:p>
        <w:p w14:paraId="76C845CE" w14:textId="17F4061D" w:rsidR="004102D6" w:rsidRDefault="00B349F0">
          <w:pPr>
            <w:pStyle w:val="TOC3"/>
            <w:tabs>
              <w:tab w:val="right" w:leader="dot" w:pos="8778"/>
            </w:tabs>
            <w:rPr>
              <w:rFonts w:eastAsiaTheme="minorEastAsia"/>
              <w:noProof/>
              <w:kern w:val="2"/>
              <w:sz w:val="22"/>
              <w:lang w:eastAsia="en-AU"/>
              <w14:ligatures w14:val="standardContextual"/>
            </w:rPr>
          </w:pPr>
          <w:hyperlink w:anchor="_Toc170301985" w:history="1">
            <w:r w:rsidR="004102D6" w:rsidRPr="00231F1C">
              <w:rPr>
                <w:rStyle w:val="Hyperlink"/>
                <w:noProof/>
              </w:rPr>
              <w:t>Practical tips</w:t>
            </w:r>
            <w:r w:rsidR="004102D6">
              <w:rPr>
                <w:noProof/>
                <w:webHidden/>
              </w:rPr>
              <w:tab/>
            </w:r>
            <w:r w:rsidR="004102D6">
              <w:rPr>
                <w:noProof/>
                <w:webHidden/>
              </w:rPr>
              <w:fldChar w:fldCharType="begin"/>
            </w:r>
            <w:r w:rsidR="004102D6">
              <w:rPr>
                <w:noProof/>
                <w:webHidden/>
              </w:rPr>
              <w:instrText xml:space="preserve"> PAGEREF _Toc170301985 \h </w:instrText>
            </w:r>
            <w:r w:rsidR="004102D6">
              <w:rPr>
                <w:noProof/>
                <w:webHidden/>
              </w:rPr>
            </w:r>
            <w:r w:rsidR="004102D6">
              <w:rPr>
                <w:noProof/>
                <w:webHidden/>
              </w:rPr>
              <w:fldChar w:fldCharType="separate"/>
            </w:r>
            <w:r w:rsidR="00C27FF4">
              <w:rPr>
                <w:noProof/>
                <w:webHidden/>
              </w:rPr>
              <w:t>9</w:t>
            </w:r>
            <w:r w:rsidR="004102D6">
              <w:rPr>
                <w:noProof/>
                <w:webHidden/>
              </w:rPr>
              <w:fldChar w:fldCharType="end"/>
            </w:r>
          </w:hyperlink>
        </w:p>
        <w:p w14:paraId="7C2ADBA8" w14:textId="6D182834" w:rsidR="004102D6" w:rsidRDefault="00B349F0" w:rsidP="004102D6">
          <w:pPr>
            <w:pStyle w:val="TOC2"/>
            <w:rPr>
              <w:rFonts w:eastAsiaTheme="minorEastAsia"/>
              <w:noProof/>
              <w:kern w:val="2"/>
              <w:sz w:val="22"/>
              <w:lang w:eastAsia="en-AU"/>
              <w14:ligatures w14:val="standardContextual"/>
            </w:rPr>
          </w:pPr>
          <w:hyperlink w:anchor="_Toc170301986" w:history="1">
            <w:r w:rsidR="004102D6" w:rsidRPr="00231F1C">
              <w:rPr>
                <w:rStyle w:val="Hyperlink"/>
                <w:noProof/>
              </w:rPr>
              <w:t>Notification of outcome</w:t>
            </w:r>
            <w:r w:rsidR="004102D6">
              <w:rPr>
                <w:noProof/>
                <w:webHidden/>
              </w:rPr>
              <w:tab/>
            </w:r>
            <w:r w:rsidR="004102D6">
              <w:rPr>
                <w:noProof/>
                <w:webHidden/>
              </w:rPr>
              <w:fldChar w:fldCharType="begin"/>
            </w:r>
            <w:r w:rsidR="004102D6">
              <w:rPr>
                <w:noProof/>
                <w:webHidden/>
              </w:rPr>
              <w:instrText xml:space="preserve"> PAGEREF _Toc170301986 \h </w:instrText>
            </w:r>
            <w:r w:rsidR="004102D6">
              <w:rPr>
                <w:noProof/>
                <w:webHidden/>
              </w:rPr>
            </w:r>
            <w:r w:rsidR="004102D6">
              <w:rPr>
                <w:noProof/>
                <w:webHidden/>
              </w:rPr>
              <w:fldChar w:fldCharType="separate"/>
            </w:r>
            <w:r w:rsidR="00C27FF4">
              <w:rPr>
                <w:noProof/>
                <w:webHidden/>
              </w:rPr>
              <w:t>10</w:t>
            </w:r>
            <w:r w:rsidR="004102D6">
              <w:rPr>
                <w:noProof/>
                <w:webHidden/>
              </w:rPr>
              <w:fldChar w:fldCharType="end"/>
            </w:r>
          </w:hyperlink>
        </w:p>
        <w:p w14:paraId="1339A48F" w14:textId="59517EBA" w:rsidR="004102D6" w:rsidRDefault="00B349F0">
          <w:pPr>
            <w:pStyle w:val="TOC3"/>
            <w:tabs>
              <w:tab w:val="right" w:leader="dot" w:pos="8778"/>
            </w:tabs>
            <w:rPr>
              <w:rFonts w:eastAsiaTheme="minorEastAsia"/>
              <w:noProof/>
              <w:kern w:val="2"/>
              <w:sz w:val="22"/>
              <w:lang w:eastAsia="en-AU"/>
              <w14:ligatures w14:val="standardContextual"/>
            </w:rPr>
          </w:pPr>
          <w:hyperlink w:anchor="_Toc170301987" w:history="1">
            <w:r w:rsidR="004102D6" w:rsidRPr="00231F1C">
              <w:rPr>
                <w:rStyle w:val="Hyperlink"/>
                <w:noProof/>
              </w:rPr>
              <w:t>Successful applications</w:t>
            </w:r>
            <w:r w:rsidR="004102D6">
              <w:rPr>
                <w:noProof/>
                <w:webHidden/>
              </w:rPr>
              <w:tab/>
            </w:r>
            <w:r w:rsidR="004102D6">
              <w:rPr>
                <w:noProof/>
                <w:webHidden/>
              </w:rPr>
              <w:fldChar w:fldCharType="begin"/>
            </w:r>
            <w:r w:rsidR="004102D6">
              <w:rPr>
                <w:noProof/>
                <w:webHidden/>
              </w:rPr>
              <w:instrText xml:space="preserve"> PAGEREF _Toc170301987 \h </w:instrText>
            </w:r>
            <w:r w:rsidR="004102D6">
              <w:rPr>
                <w:noProof/>
                <w:webHidden/>
              </w:rPr>
            </w:r>
            <w:r w:rsidR="004102D6">
              <w:rPr>
                <w:noProof/>
                <w:webHidden/>
              </w:rPr>
              <w:fldChar w:fldCharType="separate"/>
            </w:r>
            <w:r w:rsidR="00C27FF4">
              <w:rPr>
                <w:noProof/>
                <w:webHidden/>
              </w:rPr>
              <w:t>10</w:t>
            </w:r>
            <w:r w:rsidR="004102D6">
              <w:rPr>
                <w:noProof/>
                <w:webHidden/>
              </w:rPr>
              <w:fldChar w:fldCharType="end"/>
            </w:r>
          </w:hyperlink>
        </w:p>
        <w:p w14:paraId="256AC46A" w14:textId="55C95DFE" w:rsidR="004102D6" w:rsidRDefault="00B349F0">
          <w:pPr>
            <w:pStyle w:val="TOC3"/>
            <w:tabs>
              <w:tab w:val="right" w:leader="dot" w:pos="8778"/>
            </w:tabs>
            <w:rPr>
              <w:rFonts w:eastAsiaTheme="minorEastAsia"/>
              <w:noProof/>
              <w:kern w:val="2"/>
              <w:sz w:val="22"/>
              <w:lang w:eastAsia="en-AU"/>
              <w14:ligatures w14:val="standardContextual"/>
            </w:rPr>
          </w:pPr>
          <w:hyperlink w:anchor="_Toc170301988" w:history="1">
            <w:r w:rsidR="004102D6" w:rsidRPr="00231F1C">
              <w:rPr>
                <w:rStyle w:val="Hyperlink"/>
                <w:noProof/>
              </w:rPr>
              <w:t>Decision to refuse</w:t>
            </w:r>
            <w:r w:rsidR="004102D6">
              <w:rPr>
                <w:noProof/>
                <w:webHidden/>
              </w:rPr>
              <w:tab/>
            </w:r>
            <w:r w:rsidR="004102D6">
              <w:rPr>
                <w:noProof/>
                <w:webHidden/>
              </w:rPr>
              <w:fldChar w:fldCharType="begin"/>
            </w:r>
            <w:r w:rsidR="004102D6">
              <w:rPr>
                <w:noProof/>
                <w:webHidden/>
              </w:rPr>
              <w:instrText xml:space="preserve"> PAGEREF _Toc170301988 \h </w:instrText>
            </w:r>
            <w:r w:rsidR="004102D6">
              <w:rPr>
                <w:noProof/>
                <w:webHidden/>
              </w:rPr>
            </w:r>
            <w:r w:rsidR="004102D6">
              <w:rPr>
                <w:noProof/>
                <w:webHidden/>
              </w:rPr>
              <w:fldChar w:fldCharType="separate"/>
            </w:r>
            <w:r w:rsidR="00C27FF4">
              <w:rPr>
                <w:noProof/>
                <w:webHidden/>
              </w:rPr>
              <w:t>10</w:t>
            </w:r>
            <w:r w:rsidR="004102D6">
              <w:rPr>
                <w:noProof/>
                <w:webHidden/>
              </w:rPr>
              <w:fldChar w:fldCharType="end"/>
            </w:r>
          </w:hyperlink>
        </w:p>
        <w:p w14:paraId="0BFDCE68" w14:textId="71BEE056" w:rsidR="004102D6" w:rsidRDefault="00B349F0" w:rsidP="004102D6">
          <w:pPr>
            <w:pStyle w:val="TOC2"/>
            <w:rPr>
              <w:rFonts w:eastAsiaTheme="minorEastAsia"/>
              <w:noProof/>
              <w:kern w:val="2"/>
              <w:sz w:val="22"/>
              <w:lang w:eastAsia="en-AU"/>
              <w14:ligatures w14:val="standardContextual"/>
            </w:rPr>
          </w:pPr>
          <w:hyperlink w:anchor="_Toc170301989" w:history="1">
            <w:r w:rsidR="004102D6" w:rsidRPr="00231F1C">
              <w:rPr>
                <w:rStyle w:val="Hyperlink"/>
                <w:noProof/>
              </w:rPr>
              <w:t>Tradex Order Holder Obligations</w:t>
            </w:r>
            <w:r w:rsidR="004102D6">
              <w:rPr>
                <w:noProof/>
                <w:webHidden/>
              </w:rPr>
              <w:tab/>
            </w:r>
            <w:r w:rsidR="004102D6">
              <w:rPr>
                <w:noProof/>
                <w:webHidden/>
              </w:rPr>
              <w:fldChar w:fldCharType="begin"/>
            </w:r>
            <w:r w:rsidR="004102D6">
              <w:rPr>
                <w:noProof/>
                <w:webHidden/>
              </w:rPr>
              <w:instrText xml:space="preserve"> PAGEREF _Toc170301989 \h </w:instrText>
            </w:r>
            <w:r w:rsidR="004102D6">
              <w:rPr>
                <w:noProof/>
                <w:webHidden/>
              </w:rPr>
            </w:r>
            <w:r w:rsidR="004102D6">
              <w:rPr>
                <w:noProof/>
                <w:webHidden/>
              </w:rPr>
              <w:fldChar w:fldCharType="separate"/>
            </w:r>
            <w:r w:rsidR="00C27FF4">
              <w:rPr>
                <w:noProof/>
                <w:webHidden/>
              </w:rPr>
              <w:t>11</w:t>
            </w:r>
            <w:r w:rsidR="004102D6">
              <w:rPr>
                <w:noProof/>
                <w:webHidden/>
              </w:rPr>
              <w:fldChar w:fldCharType="end"/>
            </w:r>
          </w:hyperlink>
        </w:p>
        <w:p w14:paraId="22E43297" w14:textId="22E8BB72" w:rsidR="004102D6" w:rsidRDefault="00B349F0">
          <w:pPr>
            <w:pStyle w:val="TOC3"/>
            <w:tabs>
              <w:tab w:val="right" w:leader="dot" w:pos="8778"/>
            </w:tabs>
            <w:rPr>
              <w:rFonts w:eastAsiaTheme="minorEastAsia"/>
              <w:noProof/>
              <w:kern w:val="2"/>
              <w:sz w:val="22"/>
              <w:lang w:eastAsia="en-AU"/>
              <w14:ligatures w14:val="standardContextual"/>
            </w:rPr>
          </w:pPr>
          <w:hyperlink w:anchor="_Toc170301990" w:history="1">
            <w:r w:rsidR="004102D6" w:rsidRPr="00231F1C">
              <w:rPr>
                <w:rStyle w:val="Hyperlink"/>
                <w:noProof/>
              </w:rPr>
              <w:t>Record keeping</w:t>
            </w:r>
            <w:r w:rsidR="004102D6">
              <w:rPr>
                <w:noProof/>
                <w:webHidden/>
              </w:rPr>
              <w:tab/>
            </w:r>
            <w:r w:rsidR="004102D6">
              <w:rPr>
                <w:noProof/>
                <w:webHidden/>
              </w:rPr>
              <w:fldChar w:fldCharType="begin"/>
            </w:r>
            <w:r w:rsidR="004102D6">
              <w:rPr>
                <w:noProof/>
                <w:webHidden/>
              </w:rPr>
              <w:instrText xml:space="preserve"> PAGEREF _Toc170301990 \h </w:instrText>
            </w:r>
            <w:r w:rsidR="004102D6">
              <w:rPr>
                <w:noProof/>
                <w:webHidden/>
              </w:rPr>
            </w:r>
            <w:r w:rsidR="004102D6">
              <w:rPr>
                <w:noProof/>
                <w:webHidden/>
              </w:rPr>
              <w:fldChar w:fldCharType="separate"/>
            </w:r>
            <w:r w:rsidR="00C27FF4">
              <w:rPr>
                <w:noProof/>
                <w:webHidden/>
              </w:rPr>
              <w:t>11</w:t>
            </w:r>
            <w:r w:rsidR="004102D6">
              <w:rPr>
                <w:noProof/>
                <w:webHidden/>
              </w:rPr>
              <w:fldChar w:fldCharType="end"/>
            </w:r>
          </w:hyperlink>
        </w:p>
        <w:p w14:paraId="27759749" w14:textId="229F7ECD" w:rsidR="004102D6" w:rsidRDefault="00B349F0">
          <w:pPr>
            <w:pStyle w:val="TOC3"/>
            <w:tabs>
              <w:tab w:val="right" w:leader="dot" w:pos="8778"/>
            </w:tabs>
            <w:rPr>
              <w:rFonts w:eastAsiaTheme="minorEastAsia"/>
              <w:noProof/>
              <w:kern w:val="2"/>
              <w:sz w:val="22"/>
              <w:lang w:eastAsia="en-AU"/>
              <w14:ligatures w14:val="standardContextual"/>
            </w:rPr>
          </w:pPr>
          <w:hyperlink w:anchor="_Toc170301991" w:history="1">
            <w:r w:rsidR="004102D6" w:rsidRPr="00231F1C">
              <w:rPr>
                <w:rStyle w:val="Hyperlink"/>
                <w:noProof/>
              </w:rPr>
              <w:t>Ethical gold dealing assurance</w:t>
            </w:r>
            <w:r w:rsidR="004102D6">
              <w:rPr>
                <w:noProof/>
                <w:webHidden/>
              </w:rPr>
              <w:tab/>
            </w:r>
            <w:r w:rsidR="004102D6">
              <w:rPr>
                <w:noProof/>
                <w:webHidden/>
              </w:rPr>
              <w:fldChar w:fldCharType="begin"/>
            </w:r>
            <w:r w:rsidR="004102D6">
              <w:rPr>
                <w:noProof/>
                <w:webHidden/>
              </w:rPr>
              <w:instrText xml:space="preserve"> PAGEREF _Toc170301991 \h </w:instrText>
            </w:r>
            <w:r w:rsidR="004102D6">
              <w:rPr>
                <w:noProof/>
                <w:webHidden/>
              </w:rPr>
            </w:r>
            <w:r w:rsidR="004102D6">
              <w:rPr>
                <w:noProof/>
                <w:webHidden/>
              </w:rPr>
              <w:fldChar w:fldCharType="separate"/>
            </w:r>
            <w:r w:rsidR="00C27FF4">
              <w:rPr>
                <w:noProof/>
                <w:webHidden/>
              </w:rPr>
              <w:t>12</w:t>
            </w:r>
            <w:r w:rsidR="004102D6">
              <w:rPr>
                <w:noProof/>
                <w:webHidden/>
              </w:rPr>
              <w:fldChar w:fldCharType="end"/>
            </w:r>
          </w:hyperlink>
        </w:p>
        <w:p w14:paraId="6539897C" w14:textId="5FCDC9C8" w:rsidR="004102D6" w:rsidRDefault="00B349F0">
          <w:pPr>
            <w:pStyle w:val="TOC3"/>
            <w:tabs>
              <w:tab w:val="right" w:leader="dot" w:pos="8778"/>
            </w:tabs>
            <w:rPr>
              <w:rFonts w:eastAsiaTheme="minorEastAsia"/>
              <w:noProof/>
              <w:kern w:val="2"/>
              <w:sz w:val="22"/>
              <w:lang w:eastAsia="en-AU"/>
              <w14:ligatures w14:val="standardContextual"/>
            </w:rPr>
          </w:pPr>
          <w:hyperlink w:anchor="_Toc170301992" w:history="1">
            <w:r w:rsidR="004102D6" w:rsidRPr="00231F1C">
              <w:rPr>
                <w:rStyle w:val="Hyperlink"/>
                <w:noProof/>
              </w:rPr>
              <w:t>Record-keeping requirements for imported gold</w:t>
            </w:r>
            <w:r w:rsidR="004102D6">
              <w:rPr>
                <w:noProof/>
                <w:webHidden/>
              </w:rPr>
              <w:tab/>
            </w:r>
            <w:r w:rsidR="004102D6">
              <w:rPr>
                <w:noProof/>
                <w:webHidden/>
              </w:rPr>
              <w:fldChar w:fldCharType="begin"/>
            </w:r>
            <w:r w:rsidR="004102D6">
              <w:rPr>
                <w:noProof/>
                <w:webHidden/>
              </w:rPr>
              <w:instrText xml:space="preserve"> PAGEREF _Toc170301992 \h </w:instrText>
            </w:r>
            <w:r w:rsidR="004102D6">
              <w:rPr>
                <w:noProof/>
                <w:webHidden/>
              </w:rPr>
            </w:r>
            <w:r w:rsidR="004102D6">
              <w:rPr>
                <w:noProof/>
                <w:webHidden/>
              </w:rPr>
              <w:fldChar w:fldCharType="separate"/>
            </w:r>
            <w:r w:rsidR="00C27FF4">
              <w:rPr>
                <w:noProof/>
                <w:webHidden/>
              </w:rPr>
              <w:t>13</w:t>
            </w:r>
            <w:r w:rsidR="004102D6">
              <w:rPr>
                <w:noProof/>
                <w:webHidden/>
              </w:rPr>
              <w:fldChar w:fldCharType="end"/>
            </w:r>
          </w:hyperlink>
        </w:p>
        <w:p w14:paraId="6B5C3C33" w14:textId="72648E36" w:rsidR="004102D6" w:rsidRDefault="00B349F0">
          <w:pPr>
            <w:pStyle w:val="TOC3"/>
            <w:tabs>
              <w:tab w:val="right" w:leader="dot" w:pos="8778"/>
            </w:tabs>
            <w:rPr>
              <w:rFonts w:eastAsiaTheme="minorEastAsia"/>
              <w:noProof/>
              <w:kern w:val="2"/>
              <w:sz w:val="22"/>
              <w:lang w:eastAsia="en-AU"/>
              <w14:ligatures w14:val="standardContextual"/>
            </w:rPr>
          </w:pPr>
          <w:hyperlink w:anchor="_Toc170301993" w:history="1">
            <w:r w:rsidR="004102D6" w:rsidRPr="00231F1C">
              <w:rPr>
                <w:rStyle w:val="Hyperlink"/>
                <w:noProof/>
              </w:rPr>
              <w:t>Non-fulfilment of a Tradex obligation</w:t>
            </w:r>
            <w:r w:rsidR="004102D6">
              <w:rPr>
                <w:noProof/>
                <w:webHidden/>
              </w:rPr>
              <w:tab/>
            </w:r>
            <w:r w:rsidR="004102D6">
              <w:rPr>
                <w:noProof/>
                <w:webHidden/>
              </w:rPr>
              <w:fldChar w:fldCharType="begin"/>
            </w:r>
            <w:r w:rsidR="004102D6">
              <w:rPr>
                <w:noProof/>
                <w:webHidden/>
              </w:rPr>
              <w:instrText xml:space="preserve"> PAGEREF _Toc170301993 \h </w:instrText>
            </w:r>
            <w:r w:rsidR="004102D6">
              <w:rPr>
                <w:noProof/>
                <w:webHidden/>
              </w:rPr>
            </w:r>
            <w:r w:rsidR="004102D6">
              <w:rPr>
                <w:noProof/>
                <w:webHidden/>
              </w:rPr>
              <w:fldChar w:fldCharType="separate"/>
            </w:r>
            <w:r w:rsidR="00C27FF4">
              <w:rPr>
                <w:noProof/>
                <w:webHidden/>
              </w:rPr>
              <w:t>13</w:t>
            </w:r>
            <w:r w:rsidR="004102D6">
              <w:rPr>
                <w:noProof/>
                <w:webHidden/>
              </w:rPr>
              <w:fldChar w:fldCharType="end"/>
            </w:r>
          </w:hyperlink>
        </w:p>
        <w:p w14:paraId="4C7E6EC8" w14:textId="103A835F" w:rsidR="004102D6" w:rsidRDefault="00B349F0" w:rsidP="004102D6">
          <w:pPr>
            <w:pStyle w:val="TOC2"/>
            <w:rPr>
              <w:rFonts w:eastAsiaTheme="minorEastAsia"/>
              <w:noProof/>
              <w:kern w:val="2"/>
              <w:sz w:val="22"/>
              <w:lang w:eastAsia="en-AU"/>
              <w14:ligatures w14:val="standardContextual"/>
            </w:rPr>
          </w:pPr>
          <w:hyperlink w:anchor="_Toc170301994" w:history="1">
            <w:r w:rsidR="004102D6" w:rsidRPr="00231F1C">
              <w:rPr>
                <w:rStyle w:val="Hyperlink"/>
                <w:noProof/>
              </w:rPr>
              <w:t>Tradex Duty Liability</w:t>
            </w:r>
            <w:r w:rsidR="004102D6">
              <w:rPr>
                <w:noProof/>
                <w:webHidden/>
              </w:rPr>
              <w:tab/>
            </w:r>
            <w:r w:rsidR="004102D6">
              <w:rPr>
                <w:noProof/>
                <w:webHidden/>
              </w:rPr>
              <w:fldChar w:fldCharType="begin"/>
            </w:r>
            <w:r w:rsidR="004102D6">
              <w:rPr>
                <w:noProof/>
                <w:webHidden/>
              </w:rPr>
              <w:instrText xml:space="preserve"> PAGEREF _Toc170301994 \h </w:instrText>
            </w:r>
            <w:r w:rsidR="004102D6">
              <w:rPr>
                <w:noProof/>
                <w:webHidden/>
              </w:rPr>
            </w:r>
            <w:r w:rsidR="004102D6">
              <w:rPr>
                <w:noProof/>
                <w:webHidden/>
              </w:rPr>
              <w:fldChar w:fldCharType="separate"/>
            </w:r>
            <w:r w:rsidR="00C27FF4">
              <w:rPr>
                <w:noProof/>
                <w:webHidden/>
              </w:rPr>
              <w:t>14</w:t>
            </w:r>
            <w:r w:rsidR="004102D6">
              <w:rPr>
                <w:noProof/>
                <w:webHidden/>
              </w:rPr>
              <w:fldChar w:fldCharType="end"/>
            </w:r>
          </w:hyperlink>
        </w:p>
        <w:p w14:paraId="296CCB0B" w14:textId="2142C7E7" w:rsidR="004102D6" w:rsidRDefault="00B349F0">
          <w:pPr>
            <w:pStyle w:val="TOC3"/>
            <w:tabs>
              <w:tab w:val="right" w:leader="dot" w:pos="8778"/>
            </w:tabs>
            <w:rPr>
              <w:rFonts w:eastAsiaTheme="minorEastAsia"/>
              <w:noProof/>
              <w:kern w:val="2"/>
              <w:sz w:val="22"/>
              <w:lang w:eastAsia="en-AU"/>
              <w14:ligatures w14:val="standardContextual"/>
            </w:rPr>
          </w:pPr>
          <w:hyperlink w:anchor="_Toc170301995" w:history="1">
            <w:r w:rsidR="004102D6" w:rsidRPr="00231F1C">
              <w:rPr>
                <w:rStyle w:val="Hyperlink"/>
                <w:noProof/>
              </w:rPr>
              <w:t>Legislated requirements</w:t>
            </w:r>
            <w:r w:rsidR="004102D6">
              <w:rPr>
                <w:noProof/>
                <w:webHidden/>
              </w:rPr>
              <w:tab/>
            </w:r>
            <w:r w:rsidR="004102D6">
              <w:rPr>
                <w:noProof/>
                <w:webHidden/>
              </w:rPr>
              <w:fldChar w:fldCharType="begin"/>
            </w:r>
            <w:r w:rsidR="004102D6">
              <w:rPr>
                <w:noProof/>
                <w:webHidden/>
              </w:rPr>
              <w:instrText xml:space="preserve"> PAGEREF _Toc170301995 \h </w:instrText>
            </w:r>
            <w:r w:rsidR="004102D6">
              <w:rPr>
                <w:noProof/>
                <w:webHidden/>
              </w:rPr>
            </w:r>
            <w:r w:rsidR="004102D6">
              <w:rPr>
                <w:noProof/>
                <w:webHidden/>
              </w:rPr>
              <w:fldChar w:fldCharType="separate"/>
            </w:r>
            <w:r w:rsidR="00C27FF4">
              <w:rPr>
                <w:noProof/>
                <w:webHidden/>
              </w:rPr>
              <w:t>14</w:t>
            </w:r>
            <w:r w:rsidR="004102D6">
              <w:rPr>
                <w:noProof/>
                <w:webHidden/>
              </w:rPr>
              <w:fldChar w:fldCharType="end"/>
            </w:r>
          </w:hyperlink>
        </w:p>
        <w:p w14:paraId="4DB63D69" w14:textId="6812992D" w:rsidR="004102D6" w:rsidRDefault="00B349F0">
          <w:pPr>
            <w:pStyle w:val="TOC3"/>
            <w:tabs>
              <w:tab w:val="right" w:leader="dot" w:pos="8778"/>
            </w:tabs>
            <w:rPr>
              <w:rFonts w:eastAsiaTheme="minorEastAsia"/>
              <w:noProof/>
              <w:kern w:val="2"/>
              <w:sz w:val="22"/>
              <w:lang w:eastAsia="en-AU"/>
              <w14:ligatures w14:val="standardContextual"/>
            </w:rPr>
          </w:pPr>
          <w:hyperlink w:anchor="_Toc170301996" w:history="1">
            <w:r w:rsidR="004102D6" w:rsidRPr="00231F1C">
              <w:rPr>
                <w:rStyle w:val="Hyperlink"/>
                <w:noProof/>
              </w:rPr>
              <w:t>Amount of Tradex duty liability</w:t>
            </w:r>
            <w:r w:rsidR="004102D6">
              <w:rPr>
                <w:noProof/>
                <w:webHidden/>
              </w:rPr>
              <w:tab/>
            </w:r>
            <w:r w:rsidR="004102D6">
              <w:rPr>
                <w:noProof/>
                <w:webHidden/>
              </w:rPr>
              <w:fldChar w:fldCharType="begin"/>
            </w:r>
            <w:r w:rsidR="004102D6">
              <w:rPr>
                <w:noProof/>
                <w:webHidden/>
              </w:rPr>
              <w:instrText xml:space="preserve"> PAGEREF _Toc170301996 \h </w:instrText>
            </w:r>
            <w:r w:rsidR="004102D6">
              <w:rPr>
                <w:noProof/>
                <w:webHidden/>
              </w:rPr>
            </w:r>
            <w:r w:rsidR="004102D6">
              <w:rPr>
                <w:noProof/>
                <w:webHidden/>
              </w:rPr>
              <w:fldChar w:fldCharType="separate"/>
            </w:r>
            <w:r w:rsidR="00C27FF4">
              <w:rPr>
                <w:noProof/>
                <w:webHidden/>
              </w:rPr>
              <w:t>14</w:t>
            </w:r>
            <w:r w:rsidR="004102D6">
              <w:rPr>
                <w:noProof/>
                <w:webHidden/>
              </w:rPr>
              <w:fldChar w:fldCharType="end"/>
            </w:r>
          </w:hyperlink>
        </w:p>
        <w:p w14:paraId="635ECBDF" w14:textId="74D81F02" w:rsidR="004102D6" w:rsidRDefault="00B349F0">
          <w:pPr>
            <w:pStyle w:val="TOC3"/>
            <w:tabs>
              <w:tab w:val="right" w:leader="dot" w:pos="8778"/>
            </w:tabs>
            <w:rPr>
              <w:rFonts w:eastAsiaTheme="minorEastAsia"/>
              <w:noProof/>
              <w:kern w:val="2"/>
              <w:sz w:val="22"/>
              <w:lang w:eastAsia="en-AU"/>
              <w14:ligatures w14:val="standardContextual"/>
            </w:rPr>
          </w:pPr>
          <w:hyperlink w:anchor="_Toc170301997" w:history="1">
            <w:r w:rsidR="004102D6" w:rsidRPr="00231F1C">
              <w:rPr>
                <w:rStyle w:val="Hyperlink"/>
                <w:noProof/>
              </w:rPr>
              <w:t>Extension to the legislated 28 day Tradex duty payment date</w:t>
            </w:r>
            <w:r w:rsidR="004102D6">
              <w:rPr>
                <w:noProof/>
                <w:webHidden/>
              </w:rPr>
              <w:tab/>
            </w:r>
            <w:r w:rsidR="004102D6">
              <w:rPr>
                <w:noProof/>
                <w:webHidden/>
              </w:rPr>
              <w:fldChar w:fldCharType="begin"/>
            </w:r>
            <w:r w:rsidR="004102D6">
              <w:rPr>
                <w:noProof/>
                <w:webHidden/>
              </w:rPr>
              <w:instrText xml:space="preserve"> PAGEREF _Toc170301997 \h </w:instrText>
            </w:r>
            <w:r w:rsidR="004102D6">
              <w:rPr>
                <w:noProof/>
                <w:webHidden/>
              </w:rPr>
            </w:r>
            <w:r w:rsidR="004102D6">
              <w:rPr>
                <w:noProof/>
                <w:webHidden/>
              </w:rPr>
              <w:fldChar w:fldCharType="separate"/>
            </w:r>
            <w:r w:rsidR="00C27FF4">
              <w:rPr>
                <w:noProof/>
                <w:webHidden/>
              </w:rPr>
              <w:t>15</w:t>
            </w:r>
            <w:r w:rsidR="004102D6">
              <w:rPr>
                <w:noProof/>
                <w:webHidden/>
              </w:rPr>
              <w:fldChar w:fldCharType="end"/>
            </w:r>
          </w:hyperlink>
        </w:p>
        <w:p w14:paraId="46C004F9" w14:textId="54D51B4F" w:rsidR="004102D6" w:rsidRDefault="00B349F0">
          <w:pPr>
            <w:pStyle w:val="TOC3"/>
            <w:tabs>
              <w:tab w:val="right" w:leader="dot" w:pos="8778"/>
            </w:tabs>
            <w:rPr>
              <w:rFonts w:eastAsiaTheme="minorEastAsia"/>
              <w:noProof/>
              <w:kern w:val="2"/>
              <w:sz w:val="22"/>
              <w:lang w:eastAsia="en-AU"/>
              <w14:ligatures w14:val="standardContextual"/>
            </w:rPr>
          </w:pPr>
          <w:hyperlink w:anchor="_Toc170301998" w:history="1">
            <w:r w:rsidR="004102D6" w:rsidRPr="00231F1C">
              <w:rPr>
                <w:rStyle w:val="Hyperlink"/>
                <w:noProof/>
              </w:rPr>
              <w:t>Extensions to the legislated 12-month exportation period</w:t>
            </w:r>
            <w:r w:rsidR="004102D6">
              <w:rPr>
                <w:noProof/>
                <w:webHidden/>
              </w:rPr>
              <w:tab/>
            </w:r>
            <w:r w:rsidR="004102D6">
              <w:rPr>
                <w:noProof/>
                <w:webHidden/>
              </w:rPr>
              <w:fldChar w:fldCharType="begin"/>
            </w:r>
            <w:r w:rsidR="004102D6">
              <w:rPr>
                <w:noProof/>
                <w:webHidden/>
              </w:rPr>
              <w:instrText xml:space="preserve"> PAGEREF _Toc170301998 \h </w:instrText>
            </w:r>
            <w:r w:rsidR="004102D6">
              <w:rPr>
                <w:noProof/>
                <w:webHidden/>
              </w:rPr>
            </w:r>
            <w:r w:rsidR="004102D6">
              <w:rPr>
                <w:noProof/>
                <w:webHidden/>
              </w:rPr>
              <w:fldChar w:fldCharType="separate"/>
            </w:r>
            <w:r w:rsidR="00C27FF4">
              <w:rPr>
                <w:noProof/>
                <w:webHidden/>
              </w:rPr>
              <w:t>15</w:t>
            </w:r>
            <w:r w:rsidR="004102D6">
              <w:rPr>
                <w:noProof/>
                <w:webHidden/>
              </w:rPr>
              <w:fldChar w:fldCharType="end"/>
            </w:r>
          </w:hyperlink>
        </w:p>
        <w:p w14:paraId="4F8BB1ED" w14:textId="3471AC2C" w:rsidR="004102D6" w:rsidRDefault="00B349F0">
          <w:pPr>
            <w:pStyle w:val="TOC3"/>
            <w:tabs>
              <w:tab w:val="right" w:leader="dot" w:pos="8778"/>
            </w:tabs>
            <w:rPr>
              <w:rFonts w:eastAsiaTheme="minorEastAsia"/>
              <w:noProof/>
              <w:kern w:val="2"/>
              <w:sz w:val="22"/>
              <w:lang w:eastAsia="en-AU"/>
              <w14:ligatures w14:val="standardContextual"/>
            </w:rPr>
          </w:pPr>
          <w:hyperlink w:anchor="_Toc170301999" w:history="1">
            <w:r w:rsidR="004102D6" w:rsidRPr="00231F1C">
              <w:rPr>
                <w:rStyle w:val="Hyperlink"/>
                <w:noProof/>
              </w:rPr>
              <w:t>Allowed consumption of goods in Australia</w:t>
            </w:r>
            <w:r w:rsidR="004102D6">
              <w:rPr>
                <w:noProof/>
                <w:webHidden/>
              </w:rPr>
              <w:tab/>
            </w:r>
            <w:r w:rsidR="004102D6">
              <w:rPr>
                <w:noProof/>
                <w:webHidden/>
              </w:rPr>
              <w:fldChar w:fldCharType="begin"/>
            </w:r>
            <w:r w:rsidR="004102D6">
              <w:rPr>
                <w:noProof/>
                <w:webHidden/>
              </w:rPr>
              <w:instrText xml:space="preserve"> PAGEREF _Toc170301999 \h </w:instrText>
            </w:r>
            <w:r w:rsidR="004102D6">
              <w:rPr>
                <w:noProof/>
                <w:webHidden/>
              </w:rPr>
            </w:r>
            <w:r w:rsidR="004102D6">
              <w:rPr>
                <w:noProof/>
                <w:webHidden/>
              </w:rPr>
              <w:fldChar w:fldCharType="separate"/>
            </w:r>
            <w:r w:rsidR="00C27FF4">
              <w:rPr>
                <w:noProof/>
                <w:webHidden/>
              </w:rPr>
              <w:t>16</w:t>
            </w:r>
            <w:r w:rsidR="004102D6">
              <w:rPr>
                <w:noProof/>
                <w:webHidden/>
              </w:rPr>
              <w:fldChar w:fldCharType="end"/>
            </w:r>
          </w:hyperlink>
        </w:p>
        <w:p w14:paraId="3D35B966" w14:textId="42555CC8" w:rsidR="004102D6" w:rsidRDefault="00B349F0">
          <w:pPr>
            <w:pStyle w:val="TOC3"/>
            <w:tabs>
              <w:tab w:val="right" w:leader="dot" w:pos="8778"/>
            </w:tabs>
            <w:rPr>
              <w:rFonts w:eastAsiaTheme="minorEastAsia"/>
              <w:noProof/>
              <w:kern w:val="2"/>
              <w:sz w:val="22"/>
              <w:lang w:eastAsia="en-AU"/>
              <w14:ligatures w14:val="standardContextual"/>
            </w:rPr>
          </w:pPr>
          <w:hyperlink w:anchor="_Toc170302000" w:history="1">
            <w:r w:rsidR="004102D6" w:rsidRPr="00231F1C">
              <w:rPr>
                <w:rStyle w:val="Hyperlink"/>
                <w:noProof/>
              </w:rPr>
              <w:t>Tradex duty on goods exported by a third-party</w:t>
            </w:r>
            <w:r w:rsidR="004102D6">
              <w:rPr>
                <w:noProof/>
                <w:webHidden/>
              </w:rPr>
              <w:tab/>
            </w:r>
            <w:r w:rsidR="004102D6">
              <w:rPr>
                <w:noProof/>
                <w:webHidden/>
              </w:rPr>
              <w:fldChar w:fldCharType="begin"/>
            </w:r>
            <w:r w:rsidR="004102D6">
              <w:rPr>
                <w:noProof/>
                <w:webHidden/>
              </w:rPr>
              <w:instrText xml:space="preserve"> PAGEREF _Toc170302000 \h </w:instrText>
            </w:r>
            <w:r w:rsidR="004102D6">
              <w:rPr>
                <w:noProof/>
                <w:webHidden/>
              </w:rPr>
            </w:r>
            <w:r w:rsidR="004102D6">
              <w:rPr>
                <w:noProof/>
                <w:webHidden/>
              </w:rPr>
              <w:fldChar w:fldCharType="separate"/>
            </w:r>
            <w:r w:rsidR="00C27FF4">
              <w:rPr>
                <w:noProof/>
                <w:webHidden/>
              </w:rPr>
              <w:t>16</w:t>
            </w:r>
            <w:r w:rsidR="004102D6">
              <w:rPr>
                <w:noProof/>
                <w:webHidden/>
              </w:rPr>
              <w:fldChar w:fldCharType="end"/>
            </w:r>
          </w:hyperlink>
        </w:p>
        <w:p w14:paraId="511651E6" w14:textId="10501C65" w:rsidR="004102D6" w:rsidRDefault="00B349F0">
          <w:pPr>
            <w:pStyle w:val="TOC3"/>
            <w:tabs>
              <w:tab w:val="right" w:leader="dot" w:pos="8778"/>
            </w:tabs>
            <w:rPr>
              <w:rFonts w:eastAsiaTheme="minorEastAsia"/>
              <w:noProof/>
              <w:kern w:val="2"/>
              <w:sz w:val="22"/>
              <w:lang w:eastAsia="en-AU"/>
              <w14:ligatures w14:val="standardContextual"/>
            </w:rPr>
          </w:pPr>
          <w:hyperlink w:anchor="_Toc170302001" w:history="1">
            <w:r w:rsidR="004102D6" w:rsidRPr="00231F1C">
              <w:rPr>
                <w:rStyle w:val="Hyperlink"/>
                <w:noProof/>
              </w:rPr>
              <w:t>Making a payment</w:t>
            </w:r>
            <w:r w:rsidR="004102D6">
              <w:rPr>
                <w:noProof/>
                <w:webHidden/>
              </w:rPr>
              <w:tab/>
            </w:r>
            <w:r w:rsidR="004102D6">
              <w:rPr>
                <w:noProof/>
                <w:webHidden/>
              </w:rPr>
              <w:fldChar w:fldCharType="begin"/>
            </w:r>
            <w:r w:rsidR="004102D6">
              <w:rPr>
                <w:noProof/>
                <w:webHidden/>
              </w:rPr>
              <w:instrText xml:space="preserve"> PAGEREF _Toc170302001 \h </w:instrText>
            </w:r>
            <w:r w:rsidR="004102D6">
              <w:rPr>
                <w:noProof/>
                <w:webHidden/>
              </w:rPr>
            </w:r>
            <w:r w:rsidR="004102D6">
              <w:rPr>
                <w:noProof/>
                <w:webHidden/>
              </w:rPr>
              <w:fldChar w:fldCharType="separate"/>
            </w:r>
            <w:r w:rsidR="00C27FF4">
              <w:rPr>
                <w:noProof/>
                <w:webHidden/>
              </w:rPr>
              <w:t>16</w:t>
            </w:r>
            <w:r w:rsidR="004102D6">
              <w:rPr>
                <w:noProof/>
                <w:webHidden/>
              </w:rPr>
              <w:fldChar w:fldCharType="end"/>
            </w:r>
          </w:hyperlink>
        </w:p>
        <w:p w14:paraId="6050C835" w14:textId="6BF66F44" w:rsidR="004102D6" w:rsidRDefault="00B349F0">
          <w:pPr>
            <w:pStyle w:val="TOC3"/>
            <w:tabs>
              <w:tab w:val="right" w:leader="dot" w:pos="8778"/>
            </w:tabs>
            <w:rPr>
              <w:rFonts w:eastAsiaTheme="minorEastAsia"/>
              <w:noProof/>
              <w:kern w:val="2"/>
              <w:sz w:val="22"/>
              <w:lang w:eastAsia="en-AU"/>
              <w14:ligatures w14:val="standardContextual"/>
            </w:rPr>
          </w:pPr>
          <w:hyperlink w:anchor="_Toc170302002" w:history="1">
            <w:r w:rsidR="004102D6" w:rsidRPr="00231F1C">
              <w:rPr>
                <w:rStyle w:val="Hyperlink"/>
                <w:noProof/>
              </w:rPr>
              <w:t>Overpaying Tradex duty</w:t>
            </w:r>
            <w:r w:rsidR="004102D6">
              <w:rPr>
                <w:noProof/>
                <w:webHidden/>
              </w:rPr>
              <w:tab/>
            </w:r>
            <w:r w:rsidR="004102D6">
              <w:rPr>
                <w:noProof/>
                <w:webHidden/>
              </w:rPr>
              <w:fldChar w:fldCharType="begin"/>
            </w:r>
            <w:r w:rsidR="004102D6">
              <w:rPr>
                <w:noProof/>
                <w:webHidden/>
              </w:rPr>
              <w:instrText xml:space="preserve"> PAGEREF _Toc170302002 \h </w:instrText>
            </w:r>
            <w:r w:rsidR="004102D6">
              <w:rPr>
                <w:noProof/>
                <w:webHidden/>
              </w:rPr>
            </w:r>
            <w:r w:rsidR="004102D6">
              <w:rPr>
                <w:noProof/>
                <w:webHidden/>
              </w:rPr>
              <w:fldChar w:fldCharType="separate"/>
            </w:r>
            <w:r w:rsidR="00C27FF4">
              <w:rPr>
                <w:noProof/>
                <w:webHidden/>
              </w:rPr>
              <w:t>16</w:t>
            </w:r>
            <w:r w:rsidR="004102D6">
              <w:rPr>
                <w:noProof/>
                <w:webHidden/>
              </w:rPr>
              <w:fldChar w:fldCharType="end"/>
            </w:r>
          </w:hyperlink>
        </w:p>
        <w:p w14:paraId="161D896D" w14:textId="68B93233" w:rsidR="004102D6" w:rsidRDefault="00B349F0">
          <w:pPr>
            <w:pStyle w:val="TOC3"/>
            <w:tabs>
              <w:tab w:val="right" w:leader="dot" w:pos="8778"/>
            </w:tabs>
            <w:rPr>
              <w:rFonts w:eastAsiaTheme="minorEastAsia"/>
              <w:noProof/>
              <w:kern w:val="2"/>
              <w:sz w:val="22"/>
              <w:lang w:eastAsia="en-AU"/>
              <w14:ligatures w14:val="standardContextual"/>
            </w:rPr>
          </w:pPr>
          <w:hyperlink w:anchor="_Toc170302003" w:history="1">
            <w:r w:rsidR="004102D6" w:rsidRPr="00231F1C">
              <w:rPr>
                <w:rStyle w:val="Hyperlink"/>
                <w:noProof/>
              </w:rPr>
              <w:t>Underpaying Tradex duty</w:t>
            </w:r>
            <w:r w:rsidR="004102D6">
              <w:rPr>
                <w:noProof/>
                <w:webHidden/>
              </w:rPr>
              <w:tab/>
            </w:r>
            <w:r w:rsidR="004102D6">
              <w:rPr>
                <w:noProof/>
                <w:webHidden/>
              </w:rPr>
              <w:fldChar w:fldCharType="begin"/>
            </w:r>
            <w:r w:rsidR="004102D6">
              <w:rPr>
                <w:noProof/>
                <w:webHidden/>
              </w:rPr>
              <w:instrText xml:space="preserve"> PAGEREF _Toc170302003 \h </w:instrText>
            </w:r>
            <w:r w:rsidR="004102D6">
              <w:rPr>
                <w:noProof/>
                <w:webHidden/>
              </w:rPr>
            </w:r>
            <w:r w:rsidR="004102D6">
              <w:rPr>
                <w:noProof/>
                <w:webHidden/>
              </w:rPr>
              <w:fldChar w:fldCharType="separate"/>
            </w:r>
            <w:r w:rsidR="00C27FF4">
              <w:rPr>
                <w:noProof/>
                <w:webHidden/>
              </w:rPr>
              <w:t>17</w:t>
            </w:r>
            <w:r w:rsidR="004102D6">
              <w:rPr>
                <w:noProof/>
                <w:webHidden/>
              </w:rPr>
              <w:fldChar w:fldCharType="end"/>
            </w:r>
          </w:hyperlink>
        </w:p>
        <w:p w14:paraId="062DCADB" w14:textId="4041F0E9" w:rsidR="004102D6" w:rsidRDefault="00B349F0" w:rsidP="004102D6">
          <w:pPr>
            <w:pStyle w:val="TOC2"/>
            <w:rPr>
              <w:rFonts w:eastAsiaTheme="minorEastAsia"/>
              <w:noProof/>
              <w:kern w:val="2"/>
              <w:sz w:val="22"/>
              <w:lang w:eastAsia="en-AU"/>
              <w14:ligatures w14:val="standardContextual"/>
            </w:rPr>
          </w:pPr>
          <w:hyperlink w:anchor="_Toc170302004" w:history="1">
            <w:r w:rsidR="004102D6" w:rsidRPr="00231F1C">
              <w:rPr>
                <w:rStyle w:val="Hyperlink"/>
                <w:noProof/>
              </w:rPr>
              <w:t>Variations</w:t>
            </w:r>
            <w:r w:rsidR="004102D6" w:rsidRPr="00231F1C">
              <w:rPr>
                <w:rStyle w:val="Hyperlink"/>
                <w:bCs/>
                <w:iCs/>
                <w:noProof/>
              </w:rPr>
              <w:t xml:space="preserve"> to your Tradex order</w:t>
            </w:r>
            <w:r w:rsidR="004102D6">
              <w:rPr>
                <w:noProof/>
                <w:webHidden/>
              </w:rPr>
              <w:tab/>
            </w:r>
            <w:r w:rsidR="004102D6">
              <w:rPr>
                <w:noProof/>
                <w:webHidden/>
              </w:rPr>
              <w:fldChar w:fldCharType="begin"/>
            </w:r>
            <w:r w:rsidR="004102D6">
              <w:rPr>
                <w:noProof/>
                <w:webHidden/>
              </w:rPr>
              <w:instrText xml:space="preserve"> PAGEREF _Toc170302004 \h </w:instrText>
            </w:r>
            <w:r w:rsidR="004102D6">
              <w:rPr>
                <w:noProof/>
                <w:webHidden/>
              </w:rPr>
            </w:r>
            <w:r w:rsidR="004102D6">
              <w:rPr>
                <w:noProof/>
                <w:webHidden/>
              </w:rPr>
              <w:fldChar w:fldCharType="separate"/>
            </w:r>
            <w:r w:rsidR="00C27FF4">
              <w:rPr>
                <w:noProof/>
                <w:webHidden/>
              </w:rPr>
              <w:t>17</w:t>
            </w:r>
            <w:r w:rsidR="004102D6">
              <w:rPr>
                <w:noProof/>
                <w:webHidden/>
              </w:rPr>
              <w:fldChar w:fldCharType="end"/>
            </w:r>
          </w:hyperlink>
        </w:p>
        <w:p w14:paraId="25CBE623" w14:textId="4655D5E6" w:rsidR="004102D6" w:rsidRDefault="00B349F0">
          <w:pPr>
            <w:pStyle w:val="TOC3"/>
            <w:tabs>
              <w:tab w:val="right" w:leader="dot" w:pos="8778"/>
            </w:tabs>
            <w:rPr>
              <w:rFonts w:eastAsiaTheme="minorEastAsia"/>
              <w:noProof/>
              <w:kern w:val="2"/>
              <w:sz w:val="22"/>
              <w:lang w:eastAsia="en-AU"/>
              <w14:ligatures w14:val="standardContextual"/>
            </w:rPr>
          </w:pPr>
          <w:hyperlink w:anchor="_Toc170302005" w:history="1">
            <w:r w:rsidR="004102D6" w:rsidRPr="00231F1C">
              <w:rPr>
                <w:rStyle w:val="Hyperlink"/>
                <w:noProof/>
              </w:rPr>
              <w:t>Changing the nominated goods</w:t>
            </w:r>
            <w:r w:rsidR="004102D6">
              <w:rPr>
                <w:noProof/>
                <w:webHidden/>
              </w:rPr>
              <w:tab/>
            </w:r>
            <w:r w:rsidR="004102D6">
              <w:rPr>
                <w:noProof/>
                <w:webHidden/>
              </w:rPr>
              <w:fldChar w:fldCharType="begin"/>
            </w:r>
            <w:r w:rsidR="004102D6">
              <w:rPr>
                <w:noProof/>
                <w:webHidden/>
              </w:rPr>
              <w:instrText xml:space="preserve"> PAGEREF _Toc170302005 \h </w:instrText>
            </w:r>
            <w:r w:rsidR="004102D6">
              <w:rPr>
                <w:noProof/>
                <w:webHidden/>
              </w:rPr>
            </w:r>
            <w:r w:rsidR="004102D6">
              <w:rPr>
                <w:noProof/>
                <w:webHidden/>
              </w:rPr>
              <w:fldChar w:fldCharType="separate"/>
            </w:r>
            <w:r w:rsidR="00C27FF4">
              <w:rPr>
                <w:noProof/>
                <w:webHidden/>
              </w:rPr>
              <w:t>17</w:t>
            </w:r>
            <w:r w:rsidR="004102D6">
              <w:rPr>
                <w:noProof/>
                <w:webHidden/>
              </w:rPr>
              <w:fldChar w:fldCharType="end"/>
            </w:r>
          </w:hyperlink>
        </w:p>
        <w:p w14:paraId="1A48977F" w14:textId="023452AC" w:rsidR="004102D6" w:rsidRDefault="00B349F0">
          <w:pPr>
            <w:pStyle w:val="TOC3"/>
            <w:tabs>
              <w:tab w:val="right" w:leader="dot" w:pos="8778"/>
            </w:tabs>
            <w:rPr>
              <w:rFonts w:eastAsiaTheme="minorEastAsia"/>
              <w:noProof/>
              <w:kern w:val="2"/>
              <w:sz w:val="22"/>
              <w:lang w:eastAsia="en-AU"/>
              <w14:ligatures w14:val="standardContextual"/>
            </w:rPr>
          </w:pPr>
          <w:hyperlink w:anchor="_Toc170302006" w:history="1">
            <w:r w:rsidR="004102D6" w:rsidRPr="00231F1C">
              <w:rPr>
                <w:rStyle w:val="Hyperlink"/>
                <w:noProof/>
              </w:rPr>
              <w:t>Changing names and addresses</w:t>
            </w:r>
            <w:r w:rsidR="004102D6">
              <w:rPr>
                <w:noProof/>
                <w:webHidden/>
              </w:rPr>
              <w:tab/>
            </w:r>
            <w:r w:rsidR="004102D6">
              <w:rPr>
                <w:noProof/>
                <w:webHidden/>
              </w:rPr>
              <w:fldChar w:fldCharType="begin"/>
            </w:r>
            <w:r w:rsidR="004102D6">
              <w:rPr>
                <w:noProof/>
                <w:webHidden/>
              </w:rPr>
              <w:instrText xml:space="preserve"> PAGEREF _Toc170302006 \h </w:instrText>
            </w:r>
            <w:r w:rsidR="004102D6">
              <w:rPr>
                <w:noProof/>
                <w:webHidden/>
              </w:rPr>
            </w:r>
            <w:r w:rsidR="004102D6">
              <w:rPr>
                <w:noProof/>
                <w:webHidden/>
              </w:rPr>
              <w:fldChar w:fldCharType="separate"/>
            </w:r>
            <w:r w:rsidR="00C27FF4">
              <w:rPr>
                <w:noProof/>
                <w:webHidden/>
              </w:rPr>
              <w:t>17</w:t>
            </w:r>
            <w:r w:rsidR="004102D6">
              <w:rPr>
                <w:noProof/>
                <w:webHidden/>
              </w:rPr>
              <w:fldChar w:fldCharType="end"/>
            </w:r>
          </w:hyperlink>
        </w:p>
        <w:p w14:paraId="6DE8A140" w14:textId="36E86FBE" w:rsidR="004102D6" w:rsidRDefault="00B349F0" w:rsidP="004102D6">
          <w:pPr>
            <w:pStyle w:val="TOC2"/>
            <w:rPr>
              <w:rFonts w:eastAsiaTheme="minorEastAsia"/>
              <w:noProof/>
              <w:kern w:val="2"/>
              <w:sz w:val="22"/>
              <w:lang w:eastAsia="en-AU"/>
              <w14:ligatures w14:val="standardContextual"/>
            </w:rPr>
          </w:pPr>
          <w:hyperlink w:anchor="_Toc170302007" w:history="1">
            <w:r w:rsidR="004102D6" w:rsidRPr="00231F1C">
              <w:rPr>
                <w:rStyle w:val="Hyperlink"/>
                <w:bCs/>
                <w:iCs/>
                <w:noProof/>
              </w:rPr>
              <w:t>Audit</w:t>
            </w:r>
            <w:r w:rsidR="004102D6" w:rsidRPr="00231F1C">
              <w:rPr>
                <w:rStyle w:val="Hyperlink"/>
                <w:b/>
                <w:bCs/>
                <w:noProof/>
              </w:rPr>
              <w:t xml:space="preserve"> </w:t>
            </w:r>
            <w:r w:rsidR="004102D6" w:rsidRPr="00231F1C">
              <w:rPr>
                <w:rStyle w:val="Hyperlink"/>
                <w:noProof/>
              </w:rPr>
              <w:t>reviews</w:t>
            </w:r>
            <w:r w:rsidR="004102D6">
              <w:rPr>
                <w:noProof/>
                <w:webHidden/>
              </w:rPr>
              <w:tab/>
            </w:r>
            <w:r w:rsidR="004102D6">
              <w:rPr>
                <w:noProof/>
                <w:webHidden/>
              </w:rPr>
              <w:fldChar w:fldCharType="begin"/>
            </w:r>
            <w:r w:rsidR="004102D6">
              <w:rPr>
                <w:noProof/>
                <w:webHidden/>
              </w:rPr>
              <w:instrText xml:space="preserve"> PAGEREF _Toc170302007 \h </w:instrText>
            </w:r>
            <w:r w:rsidR="004102D6">
              <w:rPr>
                <w:noProof/>
                <w:webHidden/>
              </w:rPr>
            </w:r>
            <w:r w:rsidR="004102D6">
              <w:rPr>
                <w:noProof/>
                <w:webHidden/>
              </w:rPr>
              <w:fldChar w:fldCharType="separate"/>
            </w:r>
            <w:r w:rsidR="00C27FF4">
              <w:rPr>
                <w:noProof/>
                <w:webHidden/>
              </w:rPr>
              <w:t>17</w:t>
            </w:r>
            <w:r w:rsidR="004102D6">
              <w:rPr>
                <w:noProof/>
                <w:webHidden/>
              </w:rPr>
              <w:fldChar w:fldCharType="end"/>
            </w:r>
          </w:hyperlink>
        </w:p>
        <w:p w14:paraId="107F0459" w14:textId="20C3B87F" w:rsidR="004102D6" w:rsidRDefault="00B349F0" w:rsidP="004102D6">
          <w:pPr>
            <w:pStyle w:val="TOC2"/>
            <w:rPr>
              <w:rFonts w:eastAsiaTheme="minorEastAsia"/>
              <w:noProof/>
              <w:kern w:val="2"/>
              <w:sz w:val="22"/>
              <w:lang w:eastAsia="en-AU"/>
              <w14:ligatures w14:val="standardContextual"/>
            </w:rPr>
          </w:pPr>
          <w:hyperlink w:anchor="_Toc170302008" w:history="1">
            <w:r w:rsidR="004102D6" w:rsidRPr="00231F1C">
              <w:rPr>
                <w:rStyle w:val="Hyperlink"/>
                <w:noProof/>
              </w:rPr>
              <w:t>Offences</w:t>
            </w:r>
            <w:r w:rsidR="004102D6">
              <w:rPr>
                <w:noProof/>
                <w:webHidden/>
              </w:rPr>
              <w:tab/>
            </w:r>
            <w:r w:rsidR="004102D6">
              <w:rPr>
                <w:noProof/>
                <w:webHidden/>
              </w:rPr>
              <w:fldChar w:fldCharType="begin"/>
            </w:r>
            <w:r w:rsidR="004102D6">
              <w:rPr>
                <w:noProof/>
                <w:webHidden/>
              </w:rPr>
              <w:instrText xml:space="preserve"> PAGEREF _Toc170302008 \h </w:instrText>
            </w:r>
            <w:r w:rsidR="004102D6">
              <w:rPr>
                <w:noProof/>
                <w:webHidden/>
              </w:rPr>
            </w:r>
            <w:r w:rsidR="004102D6">
              <w:rPr>
                <w:noProof/>
                <w:webHidden/>
              </w:rPr>
              <w:fldChar w:fldCharType="separate"/>
            </w:r>
            <w:r w:rsidR="00C27FF4">
              <w:rPr>
                <w:noProof/>
                <w:webHidden/>
              </w:rPr>
              <w:t>18</w:t>
            </w:r>
            <w:r w:rsidR="004102D6">
              <w:rPr>
                <w:noProof/>
                <w:webHidden/>
              </w:rPr>
              <w:fldChar w:fldCharType="end"/>
            </w:r>
          </w:hyperlink>
        </w:p>
        <w:p w14:paraId="73D6739D" w14:textId="2F0A1C04" w:rsidR="004102D6" w:rsidRDefault="00B349F0" w:rsidP="004102D6">
          <w:pPr>
            <w:pStyle w:val="TOC2"/>
            <w:rPr>
              <w:rFonts w:eastAsiaTheme="minorEastAsia"/>
              <w:noProof/>
              <w:kern w:val="2"/>
              <w:sz w:val="22"/>
              <w:lang w:eastAsia="en-AU"/>
              <w14:ligatures w14:val="standardContextual"/>
            </w:rPr>
          </w:pPr>
          <w:hyperlink w:anchor="_Toc170302009" w:history="1">
            <w:r w:rsidR="004102D6" w:rsidRPr="00231F1C">
              <w:rPr>
                <w:rStyle w:val="Hyperlink"/>
                <w:noProof/>
              </w:rPr>
              <w:t>Probity</w:t>
            </w:r>
            <w:r w:rsidR="004102D6">
              <w:rPr>
                <w:noProof/>
                <w:webHidden/>
              </w:rPr>
              <w:tab/>
            </w:r>
            <w:r w:rsidR="004102D6">
              <w:rPr>
                <w:noProof/>
                <w:webHidden/>
              </w:rPr>
              <w:fldChar w:fldCharType="begin"/>
            </w:r>
            <w:r w:rsidR="004102D6">
              <w:rPr>
                <w:noProof/>
                <w:webHidden/>
              </w:rPr>
              <w:instrText xml:space="preserve"> PAGEREF _Toc170302009 \h </w:instrText>
            </w:r>
            <w:r w:rsidR="004102D6">
              <w:rPr>
                <w:noProof/>
                <w:webHidden/>
              </w:rPr>
            </w:r>
            <w:r w:rsidR="004102D6">
              <w:rPr>
                <w:noProof/>
                <w:webHidden/>
              </w:rPr>
              <w:fldChar w:fldCharType="separate"/>
            </w:r>
            <w:r w:rsidR="00C27FF4">
              <w:rPr>
                <w:noProof/>
                <w:webHidden/>
              </w:rPr>
              <w:t>18</w:t>
            </w:r>
            <w:r w:rsidR="004102D6">
              <w:rPr>
                <w:noProof/>
                <w:webHidden/>
              </w:rPr>
              <w:fldChar w:fldCharType="end"/>
            </w:r>
          </w:hyperlink>
        </w:p>
        <w:p w14:paraId="051E5177" w14:textId="33DD3DA2" w:rsidR="004102D6" w:rsidRDefault="00B349F0">
          <w:pPr>
            <w:pStyle w:val="TOC3"/>
            <w:tabs>
              <w:tab w:val="right" w:leader="dot" w:pos="8778"/>
            </w:tabs>
            <w:rPr>
              <w:rFonts w:eastAsiaTheme="minorEastAsia"/>
              <w:noProof/>
              <w:kern w:val="2"/>
              <w:sz w:val="22"/>
              <w:lang w:eastAsia="en-AU"/>
              <w14:ligatures w14:val="standardContextual"/>
            </w:rPr>
          </w:pPr>
          <w:hyperlink w:anchor="_Toc170302010" w:history="1">
            <w:r w:rsidR="004102D6" w:rsidRPr="00231F1C">
              <w:rPr>
                <w:rStyle w:val="Hyperlink"/>
                <w:noProof/>
              </w:rPr>
              <w:t>Conflicts of interest</w:t>
            </w:r>
            <w:r w:rsidR="004102D6">
              <w:rPr>
                <w:noProof/>
                <w:webHidden/>
              </w:rPr>
              <w:tab/>
            </w:r>
            <w:r w:rsidR="004102D6">
              <w:rPr>
                <w:noProof/>
                <w:webHidden/>
              </w:rPr>
              <w:fldChar w:fldCharType="begin"/>
            </w:r>
            <w:r w:rsidR="004102D6">
              <w:rPr>
                <w:noProof/>
                <w:webHidden/>
              </w:rPr>
              <w:instrText xml:space="preserve"> PAGEREF _Toc170302010 \h </w:instrText>
            </w:r>
            <w:r w:rsidR="004102D6">
              <w:rPr>
                <w:noProof/>
                <w:webHidden/>
              </w:rPr>
            </w:r>
            <w:r w:rsidR="004102D6">
              <w:rPr>
                <w:noProof/>
                <w:webHidden/>
              </w:rPr>
              <w:fldChar w:fldCharType="separate"/>
            </w:r>
            <w:r w:rsidR="00C27FF4">
              <w:rPr>
                <w:noProof/>
                <w:webHidden/>
              </w:rPr>
              <w:t>18</w:t>
            </w:r>
            <w:r w:rsidR="004102D6">
              <w:rPr>
                <w:noProof/>
                <w:webHidden/>
              </w:rPr>
              <w:fldChar w:fldCharType="end"/>
            </w:r>
          </w:hyperlink>
        </w:p>
        <w:p w14:paraId="7727E66B" w14:textId="08170B89" w:rsidR="004102D6" w:rsidRDefault="00B349F0">
          <w:pPr>
            <w:pStyle w:val="TOC3"/>
            <w:tabs>
              <w:tab w:val="right" w:leader="dot" w:pos="8778"/>
            </w:tabs>
            <w:rPr>
              <w:rFonts w:eastAsiaTheme="minorEastAsia"/>
              <w:noProof/>
              <w:kern w:val="2"/>
              <w:sz w:val="22"/>
              <w:lang w:eastAsia="en-AU"/>
              <w14:ligatures w14:val="standardContextual"/>
            </w:rPr>
          </w:pPr>
          <w:hyperlink w:anchor="_Toc170302011" w:history="1">
            <w:r w:rsidR="004102D6" w:rsidRPr="00231F1C">
              <w:rPr>
                <w:rStyle w:val="Hyperlink"/>
                <w:noProof/>
              </w:rPr>
              <w:t>How we use your information</w:t>
            </w:r>
            <w:r w:rsidR="004102D6">
              <w:rPr>
                <w:noProof/>
                <w:webHidden/>
              </w:rPr>
              <w:tab/>
            </w:r>
            <w:r w:rsidR="004102D6">
              <w:rPr>
                <w:noProof/>
                <w:webHidden/>
              </w:rPr>
              <w:fldChar w:fldCharType="begin"/>
            </w:r>
            <w:r w:rsidR="004102D6">
              <w:rPr>
                <w:noProof/>
                <w:webHidden/>
              </w:rPr>
              <w:instrText xml:space="preserve"> PAGEREF _Toc170302011 \h </w:instrText>
            </w:r>
            <w:r w:rsidR="004102D6">
              <w:rPr>
                <w:noProof/>
                <w:webHidden/>
              </w:rPr>
            </w:r>
            <w:r w:rsidR="004102D6">
              <w:rPr>
                <w:noProof/>
                <w:webHidden/>
              </w:rPr>
              <w:fldChar w:fldCharType="separate"/>
            </w:r>
            <w:r w:rsidR="00C27FF4">
              <w:rPr>
                <w:noProof/>
                <w:webHidden/>
              </w:rPr>
              <w:t>19</w:t>
            </w:r>
            <w:r w:rsidR="004102D6">
              <w:rPr>
                <w:noProof/>
                <w:webHidden/>
              </w:rPr>
              <w:fldChar w:fldCharType="end"/>
            </w:r>
          </w:hyperlink>
        </w:p>
        <w:p w14:paraId="50BF8CCF" w14:textId="752D2B0F" w:rsidR="004102D6" w:rsidRDefault="00B349F0">
          <w:pPr>
            <w:pStyle w:val="TOC3"/>
            <w:tabs>
              <w:tab w:val="right" w:leader="dot" w:pos="8778"/>
            </w:tabs>
            <w:rPr>
              <w:rFonts w:eastAsiaTheme="minorEastAsia"/>
              <w:noProof/>
              <w:kern w:val="2"/>
              <w:sz w:val="22"/>
              <w:lang w:eastAsia="en-AU"/>
              <w14:ligatures w14:val="standardContextual"/>
            </w:rPr>
          </w:pPr>
          <w:hyperlink w:anchor="_Toc170302012" w:history="1">
            <w:r w:rsidR="004102D6" w:rsidRPr="00231F1C">
              <w:rPr>
                <w:rStyle w:val="Hyperlink"/>
                <w:noProof/>
              </w:rPr>
              <w:t>How we handle your confidential information</w:t>
            </w:r>
            <w:r w:rsidR="004102D6">
              <w:rPr>
                <w:noProof/>
                <w:webHidden/>
              </w:rPr>
              <w:tab/>
            </w:r>
            <w:r w:rsidR="004102D6">
              <w:rPr>
                <w:noProof/>
                <w:webHidden/>
              </w:rPr>
              <w:fldChar w:fldCharType="begin"/>
            </w:r>
            <w:r w:rsidR="004102D6">
              <w:rPr>
                <w:noProof/>
                <w:webHidden/>
              </w:rPr>
              <w:instrText xml:space="preserve"> PAGEREF _Toc170302012 \h </w:instrText>
            </w:r>
            <w:r w:rsidR="004102D6">
              <w:rPr>
                <w:noProof/>
                <w:webHidden/>
              </w:rPr>
            </w:r>
            <w:r w:rsidR="004102D6">
              <w:rPr>
                <w:noProof/>
                <w:webHidden/>
              </w:rPr>
              <w:fldChar w:fldCharType="separate"/>
            </w:r>
            <w:r w:rsidR="00C27FF4">
              <w:rPr>
                <w:noProof/>
                <w:webHidden/>
              </w:rPr>
              <w:t>19</w:t>
            </w:r>
            <w:r w:rsidR="004102D6">
              <w:rPr>
                <w:noProof/>
                <w:webHidden/>
              </w:rPr>
              <w:fldChar w:fldCharType="end"/>
            </w:r>
          </w:hyperlink>
        </w:p>
        <w:p w14:paraId="5F89B771" w14:textId="1F6813A0" w:rsidR="004102D6" w:rsidRDefault="00B349F0">
          <w:pPr>
            <w:pStyle w:val="TOC3"/>
            <w:tabs>
              <w:tab w:val="right" w:leader="dot" w:pos="8778"/>
            </w:tabs>
            <w:rPr>
              <w:rFonts w:eastAsiaTheme="minorEastAsia"/>
              <w:noProof/>
              <w:kern w:val="2"/>
              <w:sz w:val="22"/>
              <w:lang w:eastAsia="en-AU"/>
              <w14:ligatures w14:val="standardContextual"/>
            </w:rPr>
          </w:pPr>
          <w:hyperlink w:anchor="_Toc170302013" w:history="1">
            <w:r w:rsidR="004102D6" w:rsidRPr="00231F1C">
              <w:rPr>
                <w:rStyle w:val="Hyperlink"/>
                <w:noProof/>
              </w:rPr>
              <w:t>Enquiries and feedback</w:t>
            </w:r>
            <w:r w:rsidR="004102D6">
              <w:rPr>
                <w:noProof/>
                <w:webHidden/>
              </w:rPr>
              <w:tab/>
            </w:r>
            <w:r w:rsidR="004102D6">
              <w:rPr>
                <w:noProof/>
                <w:webHidden/>
              </w:rPr>
              <w:fldChar w:fldCharType="begin"/>
            </w:r>
            <w:r w:rsidR="004102D6">
              <w:rPr>
                <w:noProof/>
                <w:webHidden/>
              </w:rPr>
              <w:instrText xml:space="preserve"> PAGEREF _Toc170302013 \h </w:instrText>
            </w:r>
            <w:r w:rsidR="004102D6">
              <w:rPr>
                <w:noProof/>
                <w:webHidden/>
              </w:rPr>
            </w:r>
            <w:r w:rsidR="004102D6">
              <w:rPr>
                <w:noProof/>
                <w:webHidden/>
              </w:rPr>
              <w:fldChar w:fldCharType="separate"/>
            </w:r>
            <w:r w:rsidR="00C27FF4">
              <w:rPr>
                <w:noProof/>
                <w:webHidden/>
              </w:rPr>
              <w:t>20</w:t>
            </w:r>
            <w:r w:rsidR="004102D6">
              <w:rPr>
                <w:noProof/>
                <w:webHidden/>
              </w:rPr>
              <w:fldChar w:fldCharType="end"/>
            </w:r>
          </w:hyperlink>
        </w:p>
        <w:p w14:paraId="414F4683" w14:textId="19691580" w:rsidR="004102D6" w:rsidRDefault="00B349F0" w:rsidP="004102D6">
          <w:pPr>
            <w:pStyle w:val="TOC2"/>
            <w:rPr>
              <w:rFonts w:eastAsiaTheme="minorEastAsia"/>
              <w:noProof/>
              <w:kern w:val="2"/>
              <w:sz w:val="22"/>
              <w:lang w:eastAsia="en-AU"/>
              <w14:ligatures w14:val="standardContextual"/>
            </w:rPr>
          </w:pPr>
          <w:hyperlink w:anchor="_Toc170302014" w:history="1">
            <w:r w:rsidR="004102D6" w:rsidRPr="00231F1C">
              <w:rPr>
                <w:rStyle w:val="Hyperlink"/>
                <w:noProof/>
              </w:rPr>
              <w:t>Glossary</w:t>
            </w:r>
            <w:r w:rsidR="004102D6">
              <w:rPr>
                <w:noProof/>
                <w:webHidden/>
              </w:rPr>
              <w:tab/>
            </w:r>
            <w:r w:rsidR="004102D6">
              <w:rPr>
                <w:noProof/>
                <w:webHidden/>
              </w:rPr>
              <w:fldChar w:fldCharType="begin"/>
            </w:r>
            <w:r w:rsidR="004102D6">
              <w:rPr>
                <w:noProof/>
                <w:webHidden/>
              </w:rPr>
              <w:instrText xml:space="preserve"> PAGEREF _Toc170302014 \h </w:instrText>
            </w:r>
            <w:r w:rsidR="004102D6">
              <w:rPr>
                <w:noProof/>
                <w:webHidden/>
              </w:rPr>
            </w:r>
            <w:r w:rsidR="004102D6">
              <w:rPr>
                <w:noProof/>
                <w:webHidden/>
              </w:rPr>
              <w:fldChar w:fldCharType="separate"/>
            </w:r>
            <w:r w:rsidR="00C27FF4">
              <w:rPr>
                <w:noProof/>
                <w:webHidden/>
              </w:rPr>
              <w:t>21</w:t>
            </w:r>
            <w:r w:rsidR="004102D6">
              <w:rPr>
                <w:noProof/>
                <w:webHidden/>
              </w:rPr>
              <w:fldChar w:fldCharType="end"/>
            </w:r>
          </w:hyperlink>
        </w:p>
        <w:p w14:paraId="7017C678" w14:textId="1950EEFA" w:rsidR="00CB7523" w:rsidRDefault="00E35AAE">
          <w:r>
            <w:rPr>
              <w:rFonts w:cstheme="minorHAnsi"/>
              <w:b/>
              <w:bCs/>
              <w:i/>
              <w:sz w:val="24"/>
            </w:rPr>
            <w:fldChar w:fldCharType="end"/>
          </w:r>
        </w:p>
      </w:sdtContent>
    </w:sdt>
    <w:p w14:paraId="4B84BA97" w14:textId="6861E0BA" w:rsidR="00B22B0C" w:rsidRPr="00CB7523" w:rsidRDefault="00B22B0C" w:rsidP="00CB7523">
      <w:pPr>
        <w:spacing w:before="0" w:after="0"/>
        <w:rPr>
          <w:rFonts w:cstheme="minorHAnsi"/>
        </w:rPr>
      </w:pPr>
      <w:r w:rsidRPr="00A211C2">
        <w:br w:type="page"/>
      </w:r>
    </w:p>
    <w:p w14:paraId="3DF7074D" w14:textId="45749827" w:rsidR="00716610" w:rsidRPr="00A211C2" w:rsidRDefault="00351C75" w:rsidP="004C1281">
      <w:pPr>
        <w:pStyle w:val="Heading2"/>
      </w:pPr>
      <w:bookmarkStart w:id="17" w:name="_Toc170301969"/>
      <w:r w:rsidRPr="00A211C2">
        <w:lastRenderedPageBreak/>
        <w:t xml:space="preserve">About the </w:t>
      </w:r>
      <w:r w:rsidR="008B247E" w:rsidRPr="00A211C2">
        <w:t>s</w:t>
      </w:r>
      <w:r w:rsidRPr="00A211C2">
        <w:t>cheme</w:t>
      </w:r>
      <w:bookmarkEnd w:id="17"/>
    </w:p>
    <w:p w14:paraId="00D230FC" w14:textId="05B067AA" w:rsidR="00DE7520" w:rsidRDefault="00716610" w:rsidP="00C12DE9">
      <w:r w:rsidRPr="00681BE4">
        <w:t xml:space="preserve">The </w:t>
      </w:r>
      <w:r w:rsidR="000E504C">
        <w:t>aim</w:t>
      </w:r>
      <w:r w:rsidR="001F5DD9">
        <w:t xml:space="preserve"> of the </w:t>
      </w:r>
      <w:r w:rsidRPr="00681BE4">
        <w:t xml:space="preserve">Tradex Scheme </w:t>
      </w:r>
      <w:r w:rsidR="001F5DD9">
        <w:t xml:space="preserve">is </w:t>
      </w:r>
      <w:r w:rsidRPr="00681BE4">
        <w:t xml:space="preserve">to </w:t>
      </w:r>
      <w:r w:rsidR="00351C75">
        <w:t xml:space="preserve">strengthen </w:t>
      </w:r>
      <w:r w:rsidR="00017209">
        <w:t>Australia’s</w:t>
      </w:r>
      <w:r w:rsidRPr="00681BE4">
        <w:t xml:space="preserve"> international competitiveness</w:t>
      </w:r>
      <w:r w:rsidR="00DE7520">
        <w:t xml:space="preserve"> </w:t>
      </w:r>
      <w:r w:rsidR="00017209">
        <w:t>as a trading nation.</w:t>
      </w:r>
    </w:p>
    <w:p w14:paraId="7E739692" w14:textId="79C6B5E4" w:rsidR="00DE7520" w:rsidRPr="00147B96" w:rsidRDefault="00FC5BB9" w:rsidP="00C12DE9">
      <w:r>
        <w:t>T</w:t>
      </w:r>
      <w:r w:rsidR="00DE7520">
        <w:t xml:space="preserve">he Tradex </w:t>
      </w:r>
      <w:r>
        <w:t xml:space="preserve">Scheme </w:t>
      </w:r>
      <w:r w:rsidR="00BF7F8D">
        <w:t>gives</w:t>
      </w:r>
      <w:r>
        <w:t xml:space="preserve"> a cash flow benefit for importers on eligible imported goods</w:t>
      </w:r>
      <w:r w:rsidR="00A863E6">
        <w:t>,</w:t>
      </w:r>
      <w:r>
        <w:t xml:space="preserve"> which </w:t>
      </w:r>
      <w:r w:rsidR="00AD4921">
        <w:t xml:space="preserve">they </w:t>
      </w:r>
      <w:r w:rsidR="00644AC1">
        <w:t xml:space="preserve">or a third party </w:t>
      </w:r>
      <w:r w:rsidR="00AD4921">
        <w:t xml:space="preserve">intend to </w:t>
      </w:r>
      <w:r>
        <w:t>export. It give</w:t>
      </w:r>
      <w:r w:rsidR="00A35C50">
        <w:t>s</w:t>
      </w:r>
      <w:r>
        <w:t xml:space="preserve"> an upfront exemption from customs</w:t>
      </w:r>
      <w:r w:rsidR="00DE7520">
        <w:t xml:space="preserve"> duty and </w:t>
      </w:r>
      <w:r>
        <w:t>goods and services tax (</w:t>
      </w:r>
      <w:r w:rsidR="00DE7520">
        <w:t>GST</w:t>
      </w:r>
      <w:r>
        <w:t>).</w:t>
      </w:r>
      <w:r w:rsidR="00A35C50">
        <w:t xml:space="preserve"> </w:t>
      </w:r>
      <w:r w:rsidR="00DE7520" w:rsidRPr="00DE7520">
        <w:t>For</w:t>
      </w:r>
      <w:r w:rsidR="009830FF">
        <w:t xml:space="preserve"> </w:t>
      </w:r>
      <w:r w:rsidR="00DE7520" w:rsidRPr="00DE7520">
        <w:t xml:space="preserve">example, if goods attract 5% customs duty and 10% GST, having a </w:t>
      </w:r>
      <w:r w:rsidR="00B53C39">
        <w:t>T</w:t>
      </w:r>
      <w:r w:rsidR="00DE7520" w:rsidRPr="00DE7520">
        <w:t xml:space="preserve">radex order gives </w:t>
      </w:r>
      <w:r w:rsidR="00644AC1">
        <w:t>importers</w:t>
      </w:r>
      <w:r w:rsidR="00DE7520" w:rsidRPr="00DE7520">
        <w:t xml:space="preserve"> an up-front saving of 15% on the value of the imported goods when they first arrive in Australia</w:t>
      </w:r>
      <w:r w:rsidR="00A35C50">
        <w:t>.</w:t>
      </w:r>
    </w:p>
    <w:p w14:paraId="73A1EF2E" w14:textId="23782432" w:rsidR="000C256F" w:rsidRDefault="001F5DD9" w:rsidP="00C12DE9">
      <w:r>
        <w:t>Th</w:t>
      </w:r>
      <w:r w:rsidR="000C256F">
        <w:t>ese</w:t>
      </w:r>
      <w:r w:rsidR="008B247E">
        <w:t xml:space="preserve"> guidelines </w:t>
      </w:r>
      <w:r w:rsidR="000C256F">
        <w:t xml:space="preserve">are intended to </w:t>
      </w:r>
      <w:r w:rsidR="00160118">
        <w:t xml:space="preserve">supplement the Tradex legislation and </w:t>
      </w:r>
      <w:r w:rsidR="000C256F">
        <w:t>help you understand how the Tradex Scheme works</w:t>
      </w:r>
      <w:r w:rsidR="00AD38EF">
        <w:t xml:space="preserve"> and</w:t>
      </w:r>
      <w:r w:rsidR="00A8286A">
        <w:t xml:space="preserve"> how </w:t>
      </w:r>
      <w:r w:rsidR="009E0F11">
        <w:t xml:space="preserve">we process </w:t>
      </w:r>
      <w:r w:rsidR="00A8286A">
        <w:t>application</w:t>
      </w:r>
      <w:r w:rsidR="00285FD0">
        <w:t>s</w:t>
      </w:r>
      <w:r w:rsidR="00A8286A">
        <w:t xml:space="preserve">. </w:t>
      </w:r>
    </w:p>
    <w:p w14:paraId="4B6F93ED" w14:textId="77777777" w:rsidR="000C256F" w:rsidRDefault="000C256F" w:rsidP="00C12DE9">
      <w:r>
        <w:t xml:space="preserve">The Department of Industry, Science and Resources (the department) administers the Tradex Scheme. </w:t>
      </w:r>
      <w:r w:rsidRPr="003F7389">
        <w:t xml:space="preserve">The Australian Taxation Office (ATO) </w:t>
      </w:r>
      <w:r>
        <w:t>administers</w:t>
      </w:r>
      <w:r w:rsidRPr="003F7389">
        <w:t xml:space="preserve"> </w:t>
      </w:r>
      <w:r>
        <w:t xml:space="preserve">the </w:t>
      </w:r>
      <w:r w:rsidRPr="003F7389">
        <w:t>GST</w:t>
      </w:r>
      <w:r>
        <w:t>.</w:t>
      </w:r>
    </w:p>
    <w:p w14:paraId="128AD14E" w14:textId="2BA92D87" w:rsidR="000C256F" w:rsidRDefault="000C256F" w:rsidP="00C12DE9">
      <w:r>
        <w:t>T</w:t>
      </w:r>
      <w:r w:rsidRPr="003F7389">
        <w:t>he Department of Home Affairs (Home Affairs)</w:t>
      </w:r>
      <w:r>
        <w:t xml:space="preserve"> through</w:t>
      </w:r>
      <w:r w:rsidRPr="003F7389">
        <w:t xml:space="preserve"> its operational arm, the Australian Border Force (ABF)</w:t>
      </w:r>
      <w:r>
        <w:t>, calculates and collects customs duties and GST when</w:t>
      </w:r>
      <w:r w:rsidR="00AD38EF">
        <w:t xml:space="preserve"> goods are</w:t>
      </w:r>
      <w:r>
        <w:t xml:space="preserve"> import</w:t>
      </w:r>
      <w:r w:rsidR="00AD38EF">
        <w:t>ed</w:t>
      </w:r>
      <w:r>
        <w:t>.</w:t>
      </w:r>
    </w:p>
    <w:p w14:paraId="504E42DE" w14:textId="606311DF" w:rsidR="000C256F" w:rsidRPr="000E227B" w:rsidRDefault="000C256F" w:rsidP="00C12DE9">
      <w:pPr>
        <w:pStyle w:val="Heading3"/>
      </w:pPr>
      <w:bookmarkStart w:id="18" w:name="_Toc170301970"/>
      <w:r w:rsidRPr="00C12DE9">
        <w:t>Legislation</w:t>
      </w:r>
      <w:bookmarkEnd w:id="18"/>
    </w:p>
    <w:p w14:paraId="0D7F51DC" w14:textId="7110ADA5" w:rsidR="000C256F" w:rsidRPr="00285FD0" w:rsidRDefault="009E0F11" w:rsidP="00C12DE9">
      <w:r w:rsidRPr="00285FD0">
        <w:t>T</w:t>
      </w:r>
      <w:r w:rsidR="000C256F" w:rsidRPr="00285FD0">
        <w:t>he following legislation</w:t>
      </w:r>
      <w:r w:rsidRPr="00285FD0">
        <w:t xml:space="preserve"> governs the Tradex Scheme</w:t>
      </w:r>
      <w:r w:rsidR="000C256F" w:rsidRPr="00285FD0">
        <w:t>:</w:t>
      </w:r>
    </w:p>
    <w:p w14:paraId="2B4E73E2" w14:textId="79D661EF" w:rsidR="000C256F" w:rsidRPr="00C12DE9" w:rsidRDefault="00B349F0" w:rsidP="00C12DE9">
      <w:pPr>
        <w:pStyle w:val="ListParagraph"/>
        <w:rPr>
          <w:rStyle w:val="Hyperlink"/>
          <w:rFonts w:cstheme="minorHAnsi"/>
          <w:color w:val="auto"/>
          <w:szCs w:val="20"/>
        </w:rPr>
      </w:pPr>
      <w:hyperlink r:id="rId17" w:history="1">
        <w:r w:rsidR="00036F32" w:rsidRPr="00C12DE9">
          <w:rPr>
            <w:rStyle w:val="Hyperlink"/>
            <w:rFonts w:cstheme="minorHAnsi"/>
            <w:i/>
            <w:szCs w:val="20"/>
          </w:rPr>
          <w:t>Tradex Scheme Act</w:t>
        </w:r>
        <w:r w:rsidR="00036F32" w:rsidRPr="00C12DE9">
          <w:rPr>
            <w:rStyle w:val="Hyperlink"/>
            <w:rFonts w:cstheme="minorHAnsi"/>
            <w:szCs w:val="20"/>
          </w:rPr>
          <w:t xml:space="preserve"> 1999</w:t>
        </w:r>
      </w:hyperlink>
      <w:r w:rsidR="00436361" w:rsidRPr="00C12DE9">
        <w:rPr>
          <w:rStyle w:val="Hyperlink"/>
          <w:rFonts w:cstheme="minorHAnsi"/>
          <w:szCs w:val="20"/>
          <w:u w:val="none"/>
        </w:rPr>
        <w:t xml:space="preserve"> </w:t>
      </w:r>
      <w:r w:rsidR="00436361" w:rsidRPr="00C12DE9">
        <w:rPr>
          <w:rStyle w:val="Hyperlink"/>
          <w:rFonts w:cstheme="minorHAnsi"/>
          <w:color w:val="auto"/>
          <w:szCs w:val="20"/>
          <w:u w:val="none"/>
        </w:rPr>
        <w:t xml:space="preserve">(Tradex </w:t>
      </w:r>
      <w:r w:rsidR="003C139A" w:rsidRPr="00C12DE9">
        <w:rPr>
          <w:rStyle w:val="Hyperlink"/>
          <w:rFonts w:cstheme="minorHAnsi"/>
          <w:color w:val="auto"/>
          <w:szCs w:val="20"/>
          <w:u w:val="none"/>
        </w:rPr>
        <w:t xml:space="preserve">Scheme </w:t>
      </w:r>
      <w:r w:rsidR="00436361" w:rsidRPr="00C12DE9">
        <w:rPr>
          <w:rStyle w:val="Hyperlink"/>
          <w:rFonts w:cstheme="minorHAnsi"/>
          <w:color w:val="auto"/>
          <w:szCs w:val="20"/>
          <w:u w:val="none"/>
        </w:rPr>
        <w:t>Act)</w:t>
      </w:r>
    </w:p>
    <w:p w14:paraId="48DFE3A6" w14:textId="6B74B649" w:rsidR="00483E9F" w:rsidRPr="00C12DE9" w:rsidRDefault="00B349F0" w:rsidP="00C12DE9">
      <w:pPr>
        <w:pStyle w:val="ListParagraph"/>
        <w:rPr>
          <w:rFonts w:cstheme="minorHAnsi"/>
        </w:rPr>
      </w:pPr>
      <w:hyperlink r:id="rId18" w:history="1">
        <w:r w:rsidR="00832E81" w:rsidRPr="00C12DE9">
          <w:rPr>
            <w:rStyle w:val="Hyperlink"/>
            <w:rFonts w:cstheme="minorHAnsi"/>
            <w:i/>
            <w:spacing w:val="-4"/>
            <w:szCs w:val="20"/>
            <w:lang w:val="en" w:eastAsia="en-AU"/>
          </w:rPr>
          <w:t>Tradex Regulations 2018</w:t>
        </w:r>
      </w:hyperlink>
      <w:r w:rsidR="00436361" w:rsidRPr="00C12DE9">
        <w:rPr>
          <w:rStyle w:val="Hyperlink"/>
          <w:rFonts w:cstheme="minorHAnsi"/>
          <w:i/>
          <w:spacing w:val="-4"/>
          <w:szCs w:val="20"/>
          <w:lang w:val="en" w:eastAsia="en-AU"/>
        </w:rPr>
        <w:t xml:space="preserve"> </w:t>
      </w:r>
      <w:r w:rsidR="00436361" w:rsidRPr="00C12DE9">
        <w:t>(Tradex Regulations).</w:t>
      </w:r>
    </w:p>
    <w:p w14:paraId="137FF3DB" w14:textId="76A13FC2" w:rsidR="001F5DD9" w:rsidRPr="00147B96" w:rsidRDefault="00351C75" w:rsidP="004C1281">
      <w:pPr>
        <w:pStyle w:val="Heading3"/>
      </w:pPr>
      <w:bookmarkStart w:id="19" w:name="_Toc170301971"/>
      <w:r w:rsidRPr="00147B96">
        <w:t>Background</w:t>
      </w:r>
      <w:bookmarkEnd w:id="19"/>
    </w:p>
    <w:p w14:paraId="79BA4741" w14:textId="69997439" w:rsidR="00147B96" w:rsidRDefault="00953AE4" w:rsidP="00C12DE9">
      <w:r w:rsidRPr="00147B96">
        <w:t xml:space="preserve">Schedule 3 to the </w:t>
      </w:r>
      <w:r w:rsidRPr="00147B96">
        <w:rPr>
          <w:i/>
        </w:rPr>
        <w:t>Customs Tariff Act 1995</w:t>
      </w:r>
      <w:r w:rsidRPr="00147B96">
        <w:t xml:space="preserve"> (Tariff Act) </w:t>
      </w:r>
      <w:r w:rsidR="00BF7F8D" w:rsidRPr="00147B96">
        <w:t xml:space="preserve">sets </w:t>
      </w:r>
      <w:r w:rsidR="00B82EA0">
        <w:t>out</w:t>
      </w:r>
      <w:r w:rsidRPr="00147B96">
        <w:t xml:space="preserve"> the rate</w:t>
      </w:r>
      <w:r w:rsidR="00B82EA0">
        <w:t>s</w:t>
      </w:r>
      <w:r w:rsidRPr="00147B96">
        <w:t xml:space="preserve"> of </w:t>
      </w:r>
      <w:r w:rsidR="00644AC1">
        <w:t xml:space="preserve">customs </w:t>
      </w:r>
      <w:r w:rsidRPr="00147B96">
        <w:t xml:space="preserve">duty </w:t>
      </w:r>
      <w:r w:rsidR="003F7389">
        <w:t>payable</w:t>
      </w:r>
      <w:r w:rsidRPr="00147B96">
        <w:t xml:space="preserve"> on goods imported into Australia. </w:t>
      </w:r>
    </w:p>
    <w:p w14:paraId="15A18773" w14:textId="58AC929C" w:rsidR="00596141" w:rsidRPr="00147B96" w:rsidRDefault="00953AE4" w:rsidP="00C12DE9">
      <w:r w:rsidRPr="00147B96">
        <w:t>The</w:t>
      </w:r>
      <w:r w:rsidR="00C7533A">
        <w:t xml:space="preserve"> </w:t>
      </w:r>
      <w:r w:rsidRPr="00147B96">
        <w:t xml:space="preserve">items in Schedule 4 </w:t>
      </w:r>
      <w:r w:rsidR="00460002">
        <w:t>of the Tariff Act provide</w:t>
      </w:r>
      <w:r w:rsidRPr="00147B96">
        <w:t xml:space="preserve"> </w:t>
      </w:r>
      <w:r w:rsidR="00460002">
        <w:t xml:space="preserve">for lower rates of duty on </w:t>
      </w:r>
      <w:r w:rsidRPr="00147B96">
        <w:t>certain imported goods in prescribed circumstances.</w:t>
      </w:r>
      <w:r w:rsidR="005434F6">
        <w:t xml:space="preserve"> Specifically, Schedule 4 prescribes the concessional rate of duty for goods that are to be exported from Australia.</w:t>
      </w:r>
      <w:r w:rsidR="00C7533A">
        <w:t xml:space="preserve"> </w:t>
      </w:r>
      <w:r w:rsidRPr="00147B96">
        <w:t xml:space="preserve">Item 21A provides </w:t>
      </w:r>
      <w:r w:rsidR="005434F6">
        <w:t>that the</w:t>
      </w:r>
      <w:r w:rsidRPr="00147B96">
        <w:t xml:space="preserve"> rate </w:t>
      </w:r>
      <w:r w:rsidR="005434F6">
        <w:t>of duty will be</w:t>
      </w:r>
      <w:r w:rsidRPr="00147B96">
        <w:t xml:space="preserve"> free </w:t>
      </w:r>
      <w:r w:rsidR="001E6CA5">
        <w:t xml:space="preserve">for </w:t>
      </w:r>
      <w:r w:rsidRPr="00147B96">
        <w:t xml:space="preserve">goods </w:t>
      </w:r>
      <w:r w:rsidR="005434F6">
        <w:t>that are specified in a Tradex Order in</w:t>
      </w:r>
      <w:r w:rsidR="001E6CA5">
        <w:t xml:space="preserve"> </w:t>
      </w:r>
      <w:r w:rsidR="005434F6">
        <w:t>force under the</w:t>
      </w:r>
      <w:r w:rsidR="001E6CA5">
        <w:t xml:space="preserve"> </w:t>
      </w:r>
      <w:r w:rsidRPr="00147B96">
        <w:rPr>
          <w:i/>
        </w:rPr>
        <w:t>Tradex Scheme Act</w:t>
      </w:r>
      <w:r w:rsidR="001228B4" w:rsidRPr="00147B96">
        <w:rPr>
          <w:i/>
        </w:rPr>
        <w:t xml:space="preserve"> 1999</w:t>
      </w:r>
      <w:r w:rsidR="00BF684A">
        <w:rPr>
          <w:i/>
        </w:rPr>
        <w:t xml:space="preserve"> </w:t>
      </w:r>
      <w:r w:rsidR="005434F6">
        <w:t>and are imported by the holder of that order.</w:t>
      </w:r>
    </w:p>
    <w:p w14:paraId="5D87BE1D" w14:textId="25C80467" w:rsidR="00596141" w:rsidRPr="00147B96" w:rsidRDefault="00596141" w:rsidP="00C12DE9">
      <w:r w:rsidRPr="00147B96">
        <w:t>Good</w:t>
      </w:r>
      <w:r w:rsidR="00767911">
        <w:t>s</w:t>
      </w:r>
      <w:r w:rsidRPr="00147B96">
        <w:t xml:space="preserve"> entered under </w:t>
      </w:r>
      <w:r w:rsidR="00C4775C">
        <w:t xml:space="preserve">item </w:t>
      </w:r>
      <w:r w:rsidRPr="00147B96">
        <w:t>21A are also exempt from the GST as a ‘non-taxable importation</w:t>
      </w:r>
      <w:r w:rsidR="009830FF">
        <w:t>’</w:t>
      </w:r>
      <w:r w:rsidRPr="00147B96">
        <w:t xml:space="preserve"> under sub-section 45-5(1) of </w:t>
      </w:r>
      <w:r w:rsidR="00C4775C">
        <w:t xml:space="preserve">the </w:t>
      </w:r>
      <w:r w:rsidRPr="00147B96">
        <w:rPr>
          <w:i/>
        </w:rPr>
        <w:t>A New Tax System (Goods and Services Tax) Act 1999.</w:t>
      </w:r>
    </w:p>
    <w:p w14:paraId="6DE3D1B0" w14:textId="0D7BD312" w:rsidR="009E4493" w:rsidRPr="000E227B" w:rsidRDefault="00902CAE" w:rsidP="00C12DE9">
      <w:r w:rsidRPr="000E227B">
        <w:t>T</w:t>
      </w:r>
      <w:r w:rsidR="0063118E" w:rsidRPr="000E227B">
        <w:t xml:space="preserve">he </w:t>
      </w:r>
      <w:r w:rsidR="009E4493" w:rsidRPr="000E227B">
        <w:t xml:space="preserve">Tradex </w:t>
      </w:r>
      <w:r w:rsidR="0063118E" w:rsidRPr="000E227B">
        <w:t xml:space="preserve">Scheme </w:t>
      </w:r>
      <w:r w:rsidRPr="000E227B">
        <w:t>covers</w:t>
      </w:r>
      <w:r w:rsidR="00644AC1" w:rsidRPr="000E227B">
        <w:t xml:space="preserve"> </w:t>
      </w:r>
      <w:r w:rsidRPr="000E227B">
        <w:t xml:space="preserve">imported </w:t>
      </w:r>
      <w:r w:rsidR="0063118E" w:rsidRPr="000E227B">
        <w:t>goods</w:t>
      </w:r>
      <w:r w:rsidR="00644AC1" w:rsidRPr="000E227B">
        <w:t xml:space="preserve"> </w:t>
      </w:r>
      <w:r w:rsidR="009E4493" w:rsidRPr="000E227B">
        <w:t>that are:</w:t>
      </w:r>
    </w:p>
    <w:p w14:paraId="57F0462C" w14:textId="5DF36975" w:rsidR="009E4493" w:rsidRPr="000E227B" w:rsidRDefault="00644AC1" w:rsidP="00C12DE9">
      <w:pPr>
        <w:pStyle w:val="ListParagraph"/>
      </w:pPr>
      <w:r w:rsidRPr="000E227B">
        <w:t>e</w:t>
      </w:r>
      <w:r w:rsidR="009E4493" w:rsidRPr="000E227B">
        <w:t>xported in the same condition</w:t>
      </w:r>
    </w:p>
    <w:p w14:paraId="37C0DBEE" w14:textId="2A855747" w:rsidR="009E4493" w:rsidRPr="000E227B" w:rsidRDefault="009E4493" w:rsidP="00C12DE9">
      <w:pPr>
        <w:pStyle w:val="ListParagraph"/>
      </w:pPr>
      <w:r w:rsidRPr="000E227B">
        <w:t>mixed with other goods and/or processed and/or treated</w:t>
      </w:r>
      <w:r w:rsidR="00767911">
        <w:t>,</w:t>
      </w:r>
      <w:r w:rsidRPr="000E227B">
        <w:t xml:space="preserve"> then exported</w:t>
      </w:r>
    </w:p>
    <w:p w14:paraId="7CC1FA0C" w14:textId="77777777" w:rsidR="009E4493" w:rsidRPr="000E227B" w:rsidRDefault="009E4493" w:rsidP="00C12DE9">
      <w:pPr>
        <w:pStyle w:val="ListParagraph"/>
      </w:pPr>
      <w:r w:rsidRPr="000E227B">
        <w:t>incorporated in other goods then exported.</w:t>
      </w:r>
    </w:p>
    <w:p w14:paraId="5CEF239F" w14:textId="2F9F0AD3" w:rsidR="00EA265A" w:rsidRDefault="005434F6" w:rsidP="00C12DE9">
      <w:r>
        <w:t>A holder of a Tradex order m</w:t>
      </w:r>
      <w:r w:rsidR="00BF3640">
        <w:t xml:space="preserve">ust export the </w:t>
      </w:r>
      <w:r w:rsidR="00436361">
        <w:t>T</w:t>
      </w:r>
      <w:r w:rsidR="00BF684A">
        <w:t xml:space="preserve">radex order </w:t>
      </w:r>
      <w:r w:rsidR="00BF3640">
        <w:t>g</w:t>
      </w:r>
      <w:r w:rsidR="00EA265A" w:rsidRPr="000E227B">
        <w:t>oods within</w:t>
      </w:r>
      <w:r>
        <w:t xml:space="preserve"> one year after their entry for home consumption</w:t>
      </w:r>
      <w:r w:rsidR="00EA265A" w:rsidRPr="000E227B">
        <w:t xml:space="preserve"> </w:t>
      </w:r>
      <w:r w:rsidR="00EA265A" w:rsidRPr="00ED614E">
        <w:t>unless the department has agreed to extend the time</w:t>
      </w:r>
      <w:r w:rsidR="00A863E6" w:rsidRPr="00ED614E">
        <w:t xml:space="preserve"> permitted for export</w:t>
      </w:r>
      <w:r w:rsidR="00EA265A" w:rsidRPr="00ED614E">
        <w:t>.</w:t>
      </w:r>
    </w:p>
    <w:p w14:paraId="4F8E3B51" w14:textId="2EB5A6D9" w:rsidR="00C12DE9" w:rsidRDefault="003C139A" w:rsidP="00C12DE9">
      <w:r>
        <w:t>The Sc</w:t>
      </w:r>
      <w:r w:rsidR="005434F6">
        <w:t>heme aims to r</w:t>
      </w:r>
      <w:r w:rsidR="009830FF">
        <w:t>e</w:t>
      </w:r>
      <w:r w:rsidR="005434F6">
        <w:t>duce costs to business and industry.</w:t>
      </w:r>
      <w:r w:rsidR="005434F6" w:rsidDel="005434F6">
        <w:t xml:space="preserve"> </w:t>
      </w:r>
      <w:r w:rsidR="009830FF">
        <w:t>I</w:t>
      </w:r>
      <w:r>
        <w:t>t relies on self-assessment of your entitlement to access the Scheme</w:t>
      </w:r>
      <w:r w:rsidR="00C4775C">
        <w:t>. Y</w:t>
      </w:r>
      <w:r>
        <w:t xml:space="preserve">ou will also be required to self-assess any liability for payment of Tradex duty. </w:t>
      </w:r>
      <w:r w:rsidR="00850661">
        <w:t>The use of Tradex is subject to monitoring by the department and the ABF.</w:t>
      </w:r>
    </w:p>
    <w:p w14:paraId="09CEA495" w14:textId="77777777" w:rsidR="00C12DE9" w:rsidRDefault="00C12DE9">
      <w:pPr>
        <w:spacing w:before="0" w:after="0"/>
      </w:pPr>
      <w:r>
        <w:br w:type="page"/>
      </w:r>
    </w:p>
    <w:p w14:paraId="4DCBA34A" w14:textId="77777777" w:rsidR="00EA265A" w:rsidRDefault="00EA265A" w:rsidP="00C12DE9">
      <w:pPr>
        <w:pStyle w:val="Heading2"/>
      </w:pPr>
      <w:bookmarkStart w:id="20" w:name="_Toc116479096"/>
      <w:bookmarkStart w:id="21" w:name="_Toc142318749"/>
      <w:bookmarkStart w:id="22" w:name="_Toc170301972"/>
      <w:r>
        <w:lastRenderedPageBreak/>
        <w:t xml:space="preserve">Concessional amount and </w:t>
      </w:r>
      <w:r w:rsidRPr="00C12DE9">
        <w:t>duration</w:t>
      </w:r>
      <w:bookmarkEnd w:id="20"/>
      <w:bookmarkEnd w:id="21"/>
      <w:bookmarkEnd w:id="22"/>
    </w:p>
    <w:p w14:paraId="7B06C409" w14:textId="18BA8C5F" w:rsidR="00EA265A" w:rsidRDefault="00EA265A" w:rsidP="00C12DE9">
      <w:r w:rsidRPr="00EA265A">
        <w:t>The</w:t>
      </w:r>
      <w:r w:rsidR="00A863E6">
        <w:t xml:space="preserve"> Tradex Scheme</w:t>
      </w:r>
      <w:r w:rsidRPr="00EA265A">
        <w:t xml:space="preserve"> concession</w:t>
      </w:r>
      <w:r w:rsidR="00767911">
        <w:t xml:space="preserve"> provides for</w:t>
      </w:r>
      <w:r>
        <w:t xml:space="preserve"> </w:t>
      </w:r>
      <w:r w:rsidRPr="00EA265A">
        <w:t xml:space="preserve">duty </w:t>
      </w:r>
      <w:r w:rsidR="00902CAE">
        <w:t xml:space="preserve">free </w:t>
      </w:r>
      <w:r>
        <w:t xml:space="preserve">and GST </w:t>
      </w:r>
      <w:r w:rsidR="00902CAE">
        <w:t>exempt</w:t>
      </w:r>
      <w:r w:rsidRPr="00EA265A">
        <w:t xml:space="preserve"> entry of goods. </w:t>
      </w:r>
      <w:r w:rsidR="00647F00" w:rsidRPr="00647F00">
        <w:t>The Tradex order does not expire and remains in force unless and until suspended or revoked</w:t>
      </w:r>
      <w:r w:rsidR="00647F00">
        <w:t xml:space="preserve">. </w:t>
      </w:r>
    </w:p>
    <w:p w14:paraId="09DE6595" w14:textId="19E7585C" w:rsidR="00FE1EA8" w:rsidRPr="00FE1EA8" w:rsidRDefault="00FE1EA8" w:rsidP="00C12DE9">
      <w:r w:rsidRPr="00FE1EA8">
        <w:t xml:space="preserve">The department can suspend or revoke your </w:t>
      </w:r>
      <w:r w:rsidR="00436361">
        <w:t>T</w:t>
      </w:r>
      <w:r w:rsidRPr="00FE1EA8">
        <w:t xml:space="preserve">radex </w:t>
      </w:r>
      <w:r w:rsidR="00A504F8">
        <w:t>O</w:t>
      </w:r>
      <w:r w:rsidRPr="00FE1EA8">
        <w:t>rder under</w:t>
      </w:r>
      <w:r w:rsidR="00A863E6">
        <w:t xml:space="preserve"> any of</w:t>
      </w:r>
      <w:r w:rsidRPr="00FE1EA8">
        <w:t xml:space="preserve"> the following circumstances:</w:t>
      </w:r>
    </w:p>
    <w:p w14:paraId="33EBC891" w14:textId="063CC2BC" w:rsidR="00FE1EA8" w:rsidRPr="00C12DE9" w:rsidRDefault="00FE1EA8" w:rsidP="00C12DE9">
      <w:pPr>
        <w:pStyle w:val="ListParagraph"/>
      </w:pPr>
      <w:r w:rsidRPr="00C12DE9">
        <w:t>requested by you</w:t>
      </w:r>
      <w:r w:rsidR="00A863E6" w:rsidRPr="00C12DE9">
        <w:t>;</w:t>
      </w:r>
    </w:p>
    <w:p w14:paraId="777A286E" w14:textId="650780A3" w:rsidR="00FE1EA8" w:rsidRPr="00C12DE9" w:rsidRDefault="00BF7F8D" w:rsidP="00C12DE9">
      <w:pPr>
        <w:pStyle w:val="ListParagraph"/>
      </w:pPr>
      <w:r w:rsidRPr="00C12DE9">
        <w:t>in case of</w:t>
      </w:r>
      <w:r w:rsidR="00FE1EA8" w:rsidRPr="00C12DE9">
        <w:t xml:space="preserve"> death or, in the case of a registered body corporate or incorporated association, you are deregistered or dissolved</w:t>
      </w:r>
      <w:r w:rsidR="00A863E6" w:rsidRPr="00C12DE9">
        <w:t>;</w:t>
      </w:r>
    </w:p>
    <w:p w14:paraId="246E0849" w14:textId="0209D2F6" w:rsidR="00FE1EA8" w:rsidRPr="00C12DE9" w:rsidRDefault="00FE1EA8" w:rsidP="00C12DE9">
      <w:pPr>
        <w:pStyle w:val="ListParagraph"/>
      </w:pPr>
      <w:r w:rsidRPr="00C12DE9">
        <w:t xml:space="preserve">you have not met or no longer meet the criteria for holding a </w:t>
      </w:r>
      <w:r w:rsidR="00362B94" w:rsidRPr="00C12DE9">
        <w:t>Tradex</w:t>
      </w:r>
      <w:r w:rsidRPr="00C12DE9">
        <w:t xml:space="preserve"> order</w:t>
      </w:r>
      <w:r w:rsidR="00A863E6" w:rsidRPr="00C12DE9">
        <w:t>;</w:t>
      </w:r>
    </w:p>
    <w:p w14:paraId="2C40A9F8" w14:textId="1C09D7BD" w:rsidR="00FE1EA8" w:rsidRPr="00C12DE9" w:rsidRDefault="00FE1EA8" w:rsidP="00C12DE9">
      <w:pPr>
        <w:pStyle w:val="ListParagraph"/>
      </w:pPr>
      <w:r w:rsidRPr="00C12DE9">
        <w:t>you give false or misleading information</w:t>
      </w:r>
      <w:r w:rsidR="00A863E6" w:rsidRPr="00C12DE9">
        <w:t>;</w:t>
      </w:r>
      <w:r w:rsidR="00645529">
        <w:t xml:space="preserve"> or</w:t>
      </w:r>
    </w:p>
    <w:p w14:paraId="47C55394" w14:textId="17651D35" w:rsidR="00FE1EA8" w:rsidRPr="00C12DE9" w:rsidRDefault="00FE1EA8" w:rsidP="00C12DE9">
      <w:pPr>
        <w:pStyle w:val="ListParagraph"/>
      </w:pPr>
      <w:r w:rsidRPr="00C12DE9">
        <w:t xml:space="preserve">you have failed to pay </w:t>
      </w:r>
      <w:r w:rsidR="00362B94" w:rsidRPr="00C12DE9">
        <w:t>Tradex</w:t>
      </w:r>
      <w:r w:rsidRPr="00C12DE9">
        <w:t xml:space="preserve"> duty</w:t>
      </w:r>
      <w:r w:rsidR="00D80ADF" w:rsidRPr="00C12DE9">
        <w:t xml:space="preserve"> </w:t>
      </w:r>
      <w:r w:rsidR="00850661" w:rsidRPr="00C12DE9">
        <w:t>when due</w:t>
      </w:r>
      <w:r w:rsidR="00A863E6" w:rsidRPr="00C12DE9">
        <w:t>;</w:t>
      </w:r>
    </w:p>
    <w:p w14:paraId="78242F5A" w14:textId="47A7C4DE" w:rsidR="00FE1EA8" w:rsidRPr="00C12DE9" w:rsidRDefault="00A863E6" w:rsidP="00C12DE9">
      <w:pPr>
        <w:pStyle w:val="ListParagraph"/>
      </w:pPr>
      <w:r w:rsidRPr="00C12DE9">
        <w:t xml:space="preserve">as determined via the </w:t>
      </w:r>
      <w:r w:rsidR="00FE1EA8" w:rsidRPr="00C12DE9">
        <w:t xml:space="preserve">outcome of </w:t>
      </w:r>
      <w:r w:rsidR="00850661" w:rsidRPr="00C12DE9">
        <w:t xml:space="preserve">a compliance check or </w:t>
      </w:r>
      <w:r w:rsidR="00FE1EA8" w:rsidRPr="00C12DE9">
        <w:t>audit process</w:t>
      </w:r>
      <w:r w:rsidR="00645529">
        <w:t>.</w:t>
      </w:r>
    </w:p>
    <w:p w14:paraId="1F3980B1" w14:textId="69C1859A" w:rsidR="00FE1EA8" w:rsidRPr="00FE1EA8" w:rsidRDefault="00FE1EA8" w:rsidP="00C12DE9">
      <w:r w:rsidRPr="00FE1EA8">
        <w:t xml:space="preserve">The department will </w:t>
      </w:r>
      <w:r w:rsidR="001F2B70">
        <w:t>contact</w:t>
      </w:r>
      <w:r w:rsidR="000E504C" w:rsidRPr="00FE1EA8">
        <w:t xml:space="preserve"> you </w:t>
      </w:r>
      <w:r w:rsidRPr="00FE1EA8">
        <w:t>if it intends to suspend or revoke your order.</w:t>
      </w:r>
    </w:p>
    <w:p w14:paraId="7F9B71C8" w14:textId="61109731" w:rsidR="00DE7520" w:rsidRDefault="00132AA6" w:rsidP="004C1281">
      <w:pPr>
        <w:pStyle w:val="Heading2"/>
      </w:pPr>
      <w:bookmarkStart w:id="23" w:name="_Toc27122577"/>
      <w:bookmarkStart w:id="24" w:name="_Toc27122638"/>
      <w:bookmarkStart w:id="25" w:name="_Eligibility_criteria"/>
      <w:bookmarkStart w:id="26" w:name="_Toc27122578"/>
      <w:bookmarkStart w:id="27" w:name="_Toc27122639"/>
      <w:bookmarkStart w:id="28" w:name="_Toc170301973"/>
      <w:bookmarkEnd w:id="23"/>
      <w:bookmarkEnd w:id="24"/>
      <w:bookmarkEnd w:id="25"/>
      <w:bookmarkEnd w:id="26"/>
      <w:bookmarkEnd w:id="27"/>
      <w:r>
        <w:t>Eligibility</w:t>
      </w:r>
      <w:r w:rsidR="00DE7520">
        <w:t xml:space="preserve"> criteria</w:t>
      </w:r>
      <w:bookmarkEnd w:id="28"/>
    </w:p>
    <w:p w14:paraId="0E368C95" w14:textId="303E1CAA" w:rsidR="00AE7886" w:rsidRPr="000E227B" w:rsidRDefault="00AE7886" w:rsidP="00C12DE9">
      <w:r w:rsidRPr="000E227B">
        <w:t xml:space="preserve">An individual, an incorporated company, a partnership, an incorporated </w:t>
      </w:r>
      <w:r w:rsidR="00320293" w:rsidRPr="00320293">
        <w:t>association,</w:t>
      </w:r>
      <w:r w:rsidRPr="000E227B">
        <w:t xml:space="preserve"> or entity can apply for a Tradex order. </w:t>
      </w:r>
    </w:p>
    <w:p w14:paraId="0C8851D1" w14:textId="69899263" w:rsidR="00AE7886" w:rsidRPr="00681BE4" w:rsidRDefault="00AE7886" w:rsidP="00C12DE9">
      <w:pPr>
        <w:rPr>
          <w:lang w:val="en" w:eastAsia="en-AU"/>
        </w:rPr>
      </w:pPr>
      <w:r w:rsidRPr="00681BE4">
        <w:rPr>
          <w:lang w:val="en" w:eastAsia="en-AU"/>
        </w:rPr>
        <w:t>To be eligible for Tradex, you must:</w:t>
      </w:r>
    </w:p>
    <w:p w14:paraId="517CC153" w14:textId="77777777" w:rsidR="001523AD" w:rsidRPr="009C7227" w:rsidRDefault="001523AD" w:rsidP="00C12DE9">
      <w:pPr>
        <w:pStyle w:val="ListParagraph"/>
        <w:rPr>
          <w:sz w:val="18"/>
          <w:szCs w:val="20"/>
        </w:rPr>
      </w:pPr>
      <w:r w:rsidRPr="009C7227">
        <w:rPr>
          <w:rStyle w:val="cf01"/>
          <w:rFonts w:asciiTheme="minorHAnsi" w:hAnsiTheme="minorHAnsi" w:cstheme="minorHAnsi"/>
          <w:sz w:val="20"/>
          <w:szCs w:val="20"/>
        </w:rPr>
        <w:t xml:space="preserve">meet the requirements of the </w:t>
      </w:r>
      <w:r w:rsidRPr="009C7227">
        <w:rPr>
          <w:rStyle w:val="cf01"/>
          <w:rFonts w:asciiTheme="minorHAnsi" w:hAnsiTheme="minorHAnsi" w:cstheme="minorHAnsi"/>
          <w:i/>
          <w:sz w:val="20"/>
          <w:szCs w:val="20"/>
        </w:rPr>
        <w:t>Tradex Scheme Act 1999</w:t>
      </w:r>
      <w:r w:rsidRPr="009C7227">
        <w:rPr>
          <w:rStyle w:val="cf01"/>
          <w:rFonts w:asciiTheme="minorHAnsi" w:hAnsiTheme="minorHAnsi" w:cstheme="minorHAnsi"/>
          <w:sz w:val="20"/>
          <w:szCs w:val="20"/>
        </w:rPr>
        <w:t xml:space="preserve"> and Tradex Regulations 2018</w:t>
      </w:r>
    </w:p>
    <w:p w14:paraId="3A1168CA" w14:textId="77777777" w:rsidR="001523AD" w:rsidRPr="009C7227" w:rsidRDefault="001523AD" w:rsidP="00C12DE9">
      <w:pPr>
        <w:pStyle w:val="ListParagraph"/>
        <w:rPr>
          <w:sz w:val="18"/>
          <w:szCs w:val="20"/>
        </w:rPr>
      </w:pPr>
      <w:r w:rsidRPr="009C7227">
        <w:rPr>
          <w:rStyle w:val="cf11"/>
          <w:rFonts w:asciiTheme="minorHAnsi" w:hAnsiTheme="minorHAnsi" w:cstheme="minorHAnsi"/>
          <w:sz w:val="20"/>
          <w:szCs w:val="20"/>
        </w:rPr>
        <w:t xml:space="preserve">declare that imported nominated goods are intended for export </w:t>
      </w:r>
    </w:p>
    <w:p w14:paraId="48EDECD7" w14:textId="77777777" w:rsidR="001523AD" w:rsidRPr="009C7227" w:rsidRDefault="001523AD" w:rsidP="00C12DE9">
      <w:pPr>
        <w:pStyle w:val="ListParagraph"/>
        <w:rPr>
          <w:sz w:val="18"/>
          <w:szCs w:val="20"/>
        </w:rPr>
      </w:pPr>
      <w:r w:rsidRPr="009C7227">
        <w:rPr>
          <w:rStyle w:val="cf01"/>
          <w:rFonts w:asciiTheme="minorHAnsi" w:hAnsiTheme="minorHAnsi" w:cstheme="minorHAnsi"/>
          <w:sz w:val="20"/>
          <w:szCs w:val="20"/>
        </w:rPr>
        <w:t>export</w:t>
      </w:r>
      <w:r w:rsidRPr="009C7227">
        <w:rPr>
          <w:rStyle w:val="cf11"/>
          <w:rFonts w:asciiTheme="minorHAnsi" w:hAnsiTheme="minorHAnsi" w:cstheme="minorHAnsi"/>
          <w:sz w:val="20"/>
          <w:szCs w:val="20"/>
        </w:rPr>
        <w:t xml:space="preserve"> the nominated goods within one year after their entry for home consumption, </w:t>
      </w:r>
      <w:r w:rsidRPr="009C7227">
        <w:rPr>
          <w:rStyle w:val="cf01"/>
          <w:rFonts w:asciiTheme="minorHAnsi" w:hAnsiTheme="minorHAnsi" w:cstheme="minorHAnsi"/>
          <w:sz w:val="20"/>
          <w:szCs w:val="20"/>
        </w:rPr>
        <w:t>unless an extension is otherwise approved by the Tradex team, and</w:t>
      </w:r>
    </w:p>
    <w:p w14:paraId="6AA3DDAD" w14:textId="28CD49D4" w:rsidR="001523AD" w:rsidRPr="009C7227" w:rsidRDefault="001523AD" w:rsidP="00C12DE9">
      <w:pPr>
        <w:pStyle w:val="ListParagraph"/>
        <w:rPr>
          <w:sz w:val="18"/>
          <w:szCs w:val="20"/>
        </w:rPr>
      </w:pPr>
      <w:r w:rsidRPr="009C7227">
        <w:rPr>
          <w:rStyle w:val="cf01"/>
          <w:rFonts w:asciiTheme="minorHAnsi" w:hAnsiTheme="minorHAnsi" w:cstheme="minorHAnsi"/>
          <w:sz w:val="20"/>
          <w:szCs w:val="20"/>
        </w:rPr>
        <w:t xml:space="preserve">have adequate record keeping and accounting systems in place in respect of nominated goods until they are exported. </w:t>
      </w:r>
    </w:p>
    <w:p w14:paraId="3D23378C" w14:textId="3F3BF96A" w:rsidR="009E4493" w:rsidRPr="000E227B" w:rsidRDefault="009E4493" w:rsidP="00C12DE9">
      <w:r w:rsidRPr="000E227B">
        <w:t xml:space="preserve">You </w:t>
      </w:r>
      <w:r w:rsidR="00AE7886" w:rsidRPr="000E227B">
        <w:t>are not eligible to</w:t>
      </w:r>
      <w:r w:rsidRPr="000E227B">
        <w:t xml:space="preserve"> apply for or hold a Tradex order if you are:</w:t>
      </w:r>
    </w:p>
    <w:p w14:paraId="0B16CDD5" w14:textId="77777777" w:rsidR="009E4493" w:rsidRPr="00C12DE9" w:rsidRDefault="009E4493" w:rsidP="00C12DE9">
      <w:pPr>
        <w:pStyle w:val="ListParagraph"/>
      </w:pPr>
      <w:r w:rsidRPr="00C12DE9">
        <w:t>an unincorporated entity</w:t>
      </w:r>
    </w:p>
    <w:p w14:paraId="04E311F0" w14:textId="27D0A6E8" w:rsidR="009E4493" w:rsidRPr="00C12DE9" w:rsidRDefault="009E4493" w:rsidP="00C12DE9">
      <w:pPr>
        <w:pStyle w:val="ListParagraph"/>
      </w:pPr>
      <w:r w:rsidRPr="00C12DE9">
        <w:t>an individual who is an insolvent</w:t>
      </w:r>
      <w:r w:rsidR="00AE7886" w:rsidRPr="00C12DE9">
        <w:t xml:space="preserve"> </w:t>
      </w:r>
      <w:r w:rsidRPr="00C12DE9">
        <w:t>under administration</w:t>
      </w:r>
    </w:p>
    <w:p w14:paraId="1633E873" w14:textId="6CDEF2A4" w:rsidR="009E4493" w:rsidRPr="00C12DE9" w:rsidRDefault="009E4493" w:rsidP="00C12DE9">
      <w:pPr>
        <w:pStyle w:val="ListParagraph"/>
      </w:pPr>
      <w:r w:rsidRPr="00C12DE9">
        <w:t xml:space="preserve">an </w:t>
      </w:r>
      <w:r w:rsidR="00132AA6" w:rsidRPr="00C12DE9">
        <w:t>externally administered</w:t>
      </w:r>
      <w:r w:rsidRPr="00C12DE9">
        <w:t xml:space="preserve"> body corporate</w:t>
      </w:r>
    </w:p>
    <w:p w14:paraId="60694976" w14:textId="041C8938" w:rsidR="009E4493" w:rsidRPr="00C12DE9" w:rsidRDefault="009E4493" w:rsidP="00C12DE9">
      <w:pPr>
        <w:pStyle w:val="ListParagraph"/>
      </w:pPr>
      <w:r w:rsidRPr="00C12DE9">
        <w:t>a partnership where any of the partners is an insolvent under administration</w:t>
      </w:r>
      <w:r w:rsidR="003620E0" w:rsidRPr="00C12DE9">
        <w:t>.</w:t>
      </w:r>
    </w:p>
    <w:p w14:paraId="2C115C64" w14:textId="4C7FA53F" w:rsidR="00DE7520" w:rsidRPr="003620E0" w:rsidRDefault="007014CE" w:rsidP="00C12DE9">
      <w:pPr>
        <w:pStyle w:val="Heading3"/>
      </w:pPr>
      <w:bookmarkStart w:id="29" w:name="_Toc170301974"/>
      <w:r w:rsidRPr="00C12DE9">
        <w:t>Eligible</w:t>
      </w:r>
      <w:r w:rsidRPr="003620E0">
        <w:t xml:space="preserve"> goods</w:t>
      </w:r>
      <w:bookmarkEnd w:id="29"/>
    </w:p>
    <w:p w14:paraId="22A0465A" w14:textId="06A5A3ED" w:rsidR="005664ED" w:rsidRDefault="00B659C2" w:rsidP="00C12DE9">
      <w:r>
        <w:t>Goods are not eligible if they are</w:t>
      </w:r>
      <w:r w:rsidR="005664ED">
        <w:t>:</w:t>
      </w:r>
    </w:p>
    <w:p w14:paraId="1903B6AE" w14:textId="62288D5F" w:rsidR="005664ED" w:rsidRPr="00C12DE9" w:rsidRDefault="005664ED" w:rsidP="00C12DE9">
      <w:pPr>
        <w:pStyle w:val="ListParagraph"/>
        <w:numPr>
          <w:ilvl w:val="0"/>
          <w:numId w:val="36"/>
        </w:numPr>
      </w:pPr>
      <w:r w:rsidRPr="00C12DE9">
        <w:t>intended for sale in an establishment that offers goods for sale free of duties of customs and other taxes; and</w:t>
      </w:r>
    </w:p>
    <w:p w14:paraId="1FB4BBC7" w14:textId="53B9E912" w:rsidR="005664ED" w:rsidRPr="00C12DE9" w:rsidRDefault="005664ED" w:rsidP="00C12DE9">
      <w:pPr>
        <w:pStyle w:val="ListParagraph"/>
        <w:numPr>
          <w:ilvl w:val="0"/>
          <w:numId w:val="36"/>
        </w:numPr>
      </w:pPr>
      <w:r w:rsidRPr="00C12DE9">
        <w:t>goods which, if they were produced in Australia, would be subject to duties of excise</w:t>
      </w:r>
    </w:p>
    <w:p w14:paraId="441CCE2F" w14:textId="66AEC7E9" w:rsidR="00C12DE9" w:rsidRDefault="00B659C2" w:rsidP="00C12DE9">
      <w:pPr>
        <w:pStyle w:val="ListParagraph"/>
        <w:numPr>
          <w:ilvl w:val="0"/>
          <w:numId w:val="36"/>
        </w:numPr>
      </w:pPr>
      <w:r w:rsidRPr="00C12DE9">
        <w:t>intended for sale, consumption or use in Australia</w:t>
      </w:r>
      <w:r w:rsidR="002E5938" w:rsidRPr="00C12DE9">
        <w:t>.</w:t>
      </w:r>
    </w:p>
    <w:p w14:paraId="5A382FB4" w14:textId="77777777" w:rsidR="00C12DE9" w:rsidRDefault="00C12DE9">
      <w:pPr>
        <w:spacing w:before="0" w:after="0"/>
      </w:pPr>
      <w:r>
        <w:br w:type="page"/>
      </w:r>
    </w:p>
    <w:p w14:paraId="0F80FCDD" w14:textId="11190FBB" w:rsidR="00406ADF" w:rsidRPr="000E227B" w:rsidRDefault="00406ADF" w:rsidP="00C12DE9">
      <w:r w:rsidRPr="000E227B">
        <w:lastRenderedPageBreak/>
        <w:t>You</w:t>
      </w:r>
      <w:r w:rsidR="00B659C2">
        <w:t>r nominated goods can be exported:</w:t>
      </w:r>
    </w:p>
    <w:p w14:paraId="62716746" w14:textId="77777777" w:rsidR="00406ADF" w:rsidRPr="000E227B" w:rsidRDefault="00406ADF" w:rsidP="00C12DE9">
      <w:pPr>
        <w:pStyle w:val="ListParagraph"/>
      </w:pPr>
      <w:r w:rsidRPr="000E227B">
        <w:t xml:space="preserve">in the same condition you </w:t>
      </w:r>
      <w:r w:rsidRPr="00C12DE9">
        <w:t>imported</w:t>
      </w:r>
      <w:r w:rsidRPr="000E227B">
        <w:t xml:space="preserve"> them</w:t>
      </w:r>
    </w:p>
    <w:p w14:paraId="3393E317" w14:textId="77777777" w:rsidR="00406ADF" w:rsidRPr="00C12DE9" w:rsidRDefault="00406ADF" w:rsidP="00C12DE9">
      <w:pPr>
        <w:pStyle w:val="ListParagraph"/>
      </w:pPr>
      <w:r w:rsidRPr="00C12DE9">
        <w:t>after you process or treat the goods</w:t>
      </w:r>
    </w:p>
    <w:p w14:paraId="4B7BAA18" w14:textId="77777777" w:rsidR="00406ADF" w:rsidRPr="00C12DE9" w:rsidRDefault="00406ADF" w:rsidP="00C12DE9">
      <w:pPr>
        <w:pStyle w:val="ListParagraph"/>
      </w:pPr>
      <w:r w:rsidRPr="00C12DE9">
        <w:t>after you incorporate them into other goods.</w:t>
      </w:r>
    </w:p>
    <w:p w14:paraId="08AE3C2D" w14:textId="7D7A05CB" w:rsidR="00EB28A3" w:rsidRDefault="00EB28A3" w:rsidP="00C12DE9">
      <w:r>
        <w:t>If you are unsure of the eligibility of your nominated goods, contact the Tradex Team to discuss eligibility.</w:t>
      </w:r>
    </w:p>
    <w:p w14:paraId="4D3D36E1" w14:textId="2E29BEC7" w:rsidR="001523AD" w:rsidRDefault="001523AD" w:rsidP="004C1281">
      <w:pPr>
        <w:pStyle w:val="Heading2"/>
      </w:pPr>
      <w:bookmarkStart w:id="30" w:name="_Toc170301975"/>
      <w:r>
        <w:t>Special Considerations for Certain Eligible Goods</w:t>
      </w:r>
      <w:bookmarkEnd w:id="30"/>
    </w:p>
    <w:p w14:paraId="5247B549" w14:textId="77777777" w:rsidR="005643BC" w:rsidRPr="000E227B" w:rsidRDefault="005643BC" w:rsidP="004C1281">
      <w:pPr>
        <w:pStyle w:val="Heading3"/>
      </w:pPr>
      <w:bookmarkStart w:id="31" w:name="_Toc170301976"/>
      <w:r w:rsidRPr="000E227B">
        <w:t>Packaging materials and containers</w:t>
      </w:r>
      <w:bookmarkEnd w:id="31"/>
    </w:p>
    <w:p w14:paraId="24029E8B" w14:textId="65FE6270" w:rsidR="005643BC" w:rsidRPr="00681BE4" w:rsidRDefault="005643BC" w:rsidP="00C12DE9">
      <w:r>
        <w:t>If you import p</w:t>
      </w:r>
      <w:r w:rsidRPr="00681BE4">
        <w:t xml:space="preserve">ackaging materials and containers </w:t>
      </w:r>
      <w:r>
        <w:t xml:space="preserve">and do </w:t>
      </w:r>
      <w:r w:rsidRPr="008E1C2E">
        <w:t>not use</w:t>
      </w:r>
      <w:r>
        <w:t xml:space="preserve"> them</w:t>
      </w:r>
      <w:r w:rsidRPr="008E1C2E">
        <w:t xml:space="preserve"> in Australia before export</w:t>
      </w:r>
      <w:r w:rsidR="002E5938">
        <w:t>,</w:t>
      </w:r>
      <w:r w:rsidRPr="008E1C2E">
        <w:t xml:space="preserve"> </w:t>
      </w:r>
      <w:r>
        <w:t xml:space="preserve">they </w:t>
      </w:r>
      <w:r w:rsidRPr="00681BE4">
        <w:t xml:space="preserve">may be eligible goods under Tradex. </w:t>
      </w:r>
      <w:bookmarkStart w:id="32" w:name="_Hlk157087735"/>
      <w:r w:rsidRPr="00681BE4">
        <w:t xml:space="preserve">For example, </w:t>
      </w:r>
      <w:r>
        <w:t xml:space="preserve">if you import </w:t>
      </w:r>
      <w:r w:rsidRPr="00681BE4">
        <w:t>empty kegs</w:t>
      </w:r>
      <w:r>
        <w:t>,</w:t>
      </w:r>
      <w:r w:rsidRPr="00681BE4">
        <w:t xml:space="preserve"> fill </w:t>
      </w:r>
      <w:r>
        <w:t>them w</w:t>
      </w:r>
      <w:r w:rsidRPr="00681BE4">
        <w:t xml:space="preserve">ith beer </w:t>
      </w:r>
      <w:r>
        <w:t xml:space="preserve">and </w:t>
      </w:r>
      <w:r w:rsidRPr="00681BE4">
        <w:t>then export for overseas consumption</w:t>
      </w:r>
      <w:r w:rsidR="00F33FC9">
        <w:t>, and</w:t>
      </w:r>
      <w:bookmarkEnd w:id="32"/>
      <w:r w:rsidR="00F33FC9">
        <w:t xml:space="preserve"> </w:t>
      </w:r>
      <w:r>
        <w:t xml:space="preserve">meet </w:t>
      </w:r>
      <w:r w:rsidRPr="00681BE4">
        <w:t>all the requirements of Tradex</w:t>
      </w:r>
      <w:r w:rsidR="00F33FC9">
        <w:t>,</w:t>
      </w:r>
      <w:r w:rsidRPr="00681BE4">
        <w:t xml:space="preserve"> </w:t>
      </w:r>
      <w:r>
        <w:t xml:space="preserve">then </w:t>
      </w:r>
      <w:r w:rsidRPr="00681BE4">
        <w:t>Tradex duty</w:t>
      </w:r>
      <w:r>
        <w:t xml:space="preserve"> will not be payable.</w:t>
      </w:r>
      <w:r w:rsidRPr="00681BE4">
        <w:t xml:space="preserve"> </w:t>
      </w:r>
      <w:r>
        <w:t>I</w:t>
      </w:r>
      <w:r w:rsidRPr="00681BE4">
        <w:t xml:space="preserve">f </w:t>
      </w:r>
      <w:r>
        <w:t xml:space="preserve">you import </w:t>
      </w:r>
      <w:r w:rsidRPr="00681BE4">
        <w:t>empty kegs, fill</w:t>
      </w:r>
      <w:r>
        <w:t xml:space="preserve"> </w:t>
      </w:r>
      <w:r w:rsidR="002E5938">
        <w:t xml:space="preserve">them </w:t>
      </w:r>
      <w:r>
        <w:t xml:space="preserve">with beer and </w:t>
      </w:r>
      <w:r w:rsidRPr="00681BE4">
        <w:t xml:space="preserve">the contents </w:t>
      </w:r>
      <w:r>
        <w:t xml:space="preserve">are </w:t>
      </w:r>
      <w:r w:rsidRPr="00681BE4">
        <w:t xml:space="preserve">consumed in Australia before being refilled and exported, Tradex duty will be payable. </w:t>
      </w:r>
    </w:p>
    <w:p w14:paraId="5B5673BE" w14:textId="77777777" w:rsidR="005643BC" w:rsidRPr="00D97543" w:rsidRDefault="005643BC" w:rsidP="004C1281">
      <w:pPr>
        <w:pStyle w:val="Heading3"/>
      </w:pPr>
      <w:bookmarkStart w:id="33" w:name="_Toc170301977"/>
      <w:r w:rsidRPr="00D97543">
        <w:t>Oak goods for use in producing oaked wine for export</w:t>
      </w:r>
      <w:bookmarkEnd w:id="33"/>
    </w:p>
    <w:p w14:paraId="1EA317FE" w14:textId="2FEAE9EA" w:rsidR="005643BC" w:rsidRPr="00C12DE9" w:rsidRDefault="005643BC" w:rsidP="00C12DE9">
      <w:pPr>
        <w:rPr>
          <w:szCs w:val="20"/>
        </w:rPr>
      </w:pPr>
      <w:r w:rsidRPr="00C12DE9">
        <w:rPr>
          <w:szCs w:val="20"/>
        </w:rPr>
        <w:t xml:space="preserve">If you intend </w:t>
      </w:r>
      <w:r w:rsidR="002E5938" w:rsidRPr="00C12DE9">
        <w:rPr>
          <w:szCs w:val="20"/>
        </w:rPr>
        <w:t xml:space="preserve">to </w:t>
      </w:r>
      <w:r w:rsidRPr="00C12DE9">
        <w:rPr>
          <w:szCs w:val="20"/>
        </w:rPr>
        <w:t xml:space="preserve">import oak goods for use in producing oaked wine for export, email </w:t>
      </w:r>
      <w:hyperlink r:id="rId19" w:history="1">
        <w:r w:rsidRPr="00C12DE9">
          <w:rPr>
            <w:rStyle w:val="Hyperlink"/>
            <w:rFonts w:cstheme="minorHAnsi"/>
            <w:szCs w:val="20"/>
          </w:rPr>
          <w:t>tradex@industry.gov.au</w:t>
        </w:r>
      </w:hyperlink>
      <w:r w:rsidR="00C12DE9" w:rsidRPr="00C12DE9">
        <w:rPr>
          <w:szCs w:val="20"/>
        </w:rPr>
        <w:t>.</w:t>
      </w:r>
      <w:r w:rsidRPr="00C12DE9">
        <w:rPr>
          <w:szCs w:val="20"/>
        </w:rPr>
        <w:t>We will send you information on the Intent to Export Test and the Tradex Import Factor arrangement that applies to these goods.</w:t>
      </w:r>
    </w:p>
    <w:p w14:paraId="184FAC8C" w14:textId="77777777" w:rsidR="00B2495A" w:rsidRPr="00D70DD2" w:rsidRDefault="00B2495A" w:rsidP="004C1281">
      <w:pPr>
        <w:pStyle w:val="Heading3"/>
      </w:pPr>
      <w:bookmarkStart w:id="34" w:name="_Toc170301978"/>
      <w:r>
        <w:t>S</w:t>
      </w:r>
      <w:r w:rsidRPr="00D70DD2">
        <w:t>uperyacht</w:t>
      </w:r>
      <w:r>
        <w:t>s</w:t>
      </w:r>
      <w:r w:rsidRPr="00D70DD2">
        <w:t xml:space="preserve"> </w:t>
      </w:r>
      <w:r>
        <w:t>undertaking repairs</w:t>
      </w:r>
      <w:bookmarkEnd w:id="34"/>
    </w:p>
    <w:p w14:paraId="439B3C51" w14:textId="30A23F55" w:rsidR="00B2495A" w:rsidRPr="00D70DD2" w:rsidRDefault="00B2495A" w:rsidP="00C12DE9">
      <w:r w:rsidRPr="00E47E25">
        <w:t>I</w:t>
      </w:r>
      <w:r w:rsidRPr="00D70DD2">
        <w:t xml:space="preserve">f </w:t>
      </w:r>
      <w:r w:rsidRPr="00E47E25">
        <w:t xml:space="preserve">you import </w:t>
      </w:r>
      <w:r w:rsidRPr="00D70DD2">
        <w:t xml:space="preserve">goods </w:t>
      </w:r>
      <w:r w:rsidRPr="00E47E25">
        <w:t xml:space="preserve">under Tradex </w:t>
      </w:r>
      <w:r>
        <w:t>for</w:t>
      </w:r>
      <w:r w:rsidRPr="00D70DD2">
        <w:t xml:space="preserve"> use in the repair and alteration of </w:t>
      </w:r>
      <w:r w:rsidR="00F33FC9">
        <w:t xml:space="preserve">a </w:t>
      </w:r>
      <w:r w:rsidRPr="00D70DD2">
        <w:t>superyacht</w:t>
      </w:r>
      <w:r w:rsidR="00F33FC9">
        <w:t>, and the superyacht</w:t>
      </w:r>
      <w:r w:rsidRPr="00D70DD2">
        <w:t xml:space="preserve"> </w:t>
      </w:r>
      <w:r w:rsidR="00F33FC9">
        <w:t>is</w:t>
      </w:r>
      <w:r w:rsidRPr="00E47E25">
        <w:t xml:space="preserve"> subsequently </w:t>
      </w:r>
      <w:r w:rsidR="00F33FC9">
        <w:t xml:space="preserve">used or </w:t>
      </w:r>
      <w:r w:rsidRPr="00E47E25">
        <w:t>consumed in Australia</w:t>
      </w:r>
      <w:r w:rsidR="00F33FC9">
        <w:t>,</w:t>
      </w:r>
      <w:r w:rsidRPr="00E47E25">
        <w:t xml:space="preserve"> you will be liable to pay Tradex duty. </w:t>
      </w:r>
      <w:r w:rsidRPr="00D70DD2">
        <w:t>By conducting private cruising or chartering after undertaking repair</w:t>
      </w:r>
      <w:r w:rsidR="002E5938">
        <w:t>s</w:t>
      </w:r>
      <w:r w:rsidRPr="00D70DD2">
        <w:t xml:space="preserve"> or alterations</w:t>
      </w:r>
      <w:r w:rsidRPr="00E47E25">
        <w:t>,</w:t>
      </w:r>
      <w:r w:rsidRPr="00D70DD2">
        <w:t xml:space="preserve"> </w:t>
      </w:r>
      <w:r w:rsidR="00F33FC9">
        <w:t xml:space="preserve">you are </w:t>
      </w:r>
      <w:r w:rsidRPr="00D70DD2">
        <w:t xml:space="preserve">using </w:t>
      </w:r>
      <w:r w:rsidR="00F33FC9">
        <w:t>the</w:t>
      </w:r>
      <w:r w:rsidRPr="00D70DD2">
        <w:t xml:space="preserve"> goods imported under the Tradex </w:t>
      </w:r>
      <w:r w:rsidR="009830FF" w:rsidRPr="00D70DD2">
        <w:t>Scheme and</w:t>
      </w:r>
      <w:r w:rsidR="00F33FC9">
        <w:t xml:space="preserve"> </w:t>
      </w:r>
      <w:r w:rsidRPr="00D70DD2">
        <w:t>may no longer meet the legislative requirements of the Tradex Scheme</w:t>
      </w:r>
      <w:r w:rsidRPr="00E47E25">
        <w:t>.</w:t>
      </w:r>
    </w:p>
    <w:p w14:paraId="1F178E29" w14:textId="441F521D" w:rsidR="00B2495A" w:rsidRPr="00C12DE9" w:rsidRDefault="00B2495A" w:rsidP="00C12DE9">
      <w:pPr>
        <w:rPr>
          <w:szCs w:val="20"/>
        </w:rPr>
      </w:pPr>
      <w:r w:rsidRPr="00C12DE9">
        <w:rPr>
          <w:szCs w:val="20"/>
        </w:rPr>
        <w:t xml:space="preserve">The Australian Border Force published information about other superyacht by-laws in </w:t>
      </w:r>
      <w:hyperlink r:id="rId20" w:history="1">
        <w:r w:rsidRPr="00C12DE9">
          <w:rPr>
            <w:rStyle w:val="Hyperlink"/>
            <w:rFonts w:cstheme="minorHAnsi"/>
            <w:szCs w:val="20"/>
          </w:rPr>
          <w:t>Australian Customs Notice No. 2021/20</w:t>
        </w:r>
      </w:hyperlink>
      <w:r w:rsidR="002E5938" w:rsidRPr="00C12DE9">
        <w:rPr>
          <w:rStyle w:val="Hyperlink"/>
          <w:rFonts w:cstheme="minorHAnsi"/>
          <w:szCs w:val="20"/>
        </w:rPr>
        <w:t>.</w:t>
      </w:r>
    </w:p>
    <w:p w14:paraId="44F193F9" w14:textId="68EAB1D2" w:rsidR="00DE7520" w:rsidRDefault="00DE7520" w:rsidP="004C1281">
      <w:pPr>
        <w:pStyle w:val="Heading2"/>
        <w:rPr>
          <w:b/>
          <w:bCs/>
        </w:rPr>
      </w:pPr>
      <w:bookmarkStart w:id="35" w:name="_Toc170301979"/>
      <w:r w:rsidRPr="00EA265A">
        <w:t>How to apply</w:t>
      </w:r>
      <w:bookmarkEnd w:id="35"/>
    </w:p>
    <w:p w14:paraId="6B29C6F0" w14:textId="3473E97F" w:rsidR="00AD3B72" w:rsidRDefault="00AD3B72" w:rsidP="00C12DE9">
      <w:r>
        <w:t xml:space="preserve">Applications for </w:t>
      </w:r>
      <w:r w:rsidR="002E5938">
        <w:t>a</w:t>
      </w:r>
      <w:r>
        <w:t xml:space="preserve"> Tradex </w:t>
      </w:r>
      <w:r w:rsidR="002E5938">
        <w:t xml:space="preserve">order </w:t>
      </w:r>
      <w:r>
        <w:t xml:space="preserve">should be made by, or on behalf of, the importer of the </w:t>
      </w:r>
      <w:r w:rsidR="00B53C39">
        <w:t>nominated</w:t>
      </w:r>
      <w:r>
        <w:t xml:space="preserve"> materials or goods.</w:t>
      </w:r>
    </w:p>
    <w:p w14:paraId="45235D0E" w14:textId="70C619D3" w:rsidR="00AD3B72" w:rsidRDefault="00AD3B72" w:rsidP="00C12DE9">
      <w:r>
        <w:t xml:space="preserve">Before applying you should read and understand these guidelines and the governing legislation. Applicants should read all eligibility criteria and </w:t>
      </w:r>
      <w:r w:rsidR="00767911">
        <w:t xml:space="preserve">familiarise themselves with </w:t>
      </w:r>
      <w:r>
        <w:t>the assessment process</w:t>
      </w:r>
      <w:r w:rsidR="00767911">
        <w:t>.</w:t>
      </w:r>
      <w:r>
        <w:t xml:space="preserve"> </w:t>
      </w:r>
      <w:r w:rsidR="00767911">
        <w:t xml:space="preserve">Applicants should </w:t>
      </w:r>
      <w:r>
        <w:t>attach detailed evidence that supports the application. You should also read and understand the requirements and obligations of the Tradex Scheme.</w:t>
      </w:r>
    </w:p>
    <w:p w14:paraId="49917933" w14:textId="177A2D2A" w:rsidR="00D94682" w:rsidRPr="000E227B" w:rsidRDefault="00D94682" w:rsidP="00C12DE9">
      <w:r w:rsidRPr="000E227B">
        <w:t>To apply, you must:</w:t>
      </w:r>
    </w:p>
    <w:p w14:paraId="58CDAADB" w14:textId="22A39FC1" w:rsidR="00D94682" w:rsidRPr="00C12DE9" w:rsidRDefault="00D94682" w:rsidP="00C12DE9">
      <w:pPr>
        <w:pStyle w:val="ListParagraph"/>
      </w:pPr>
      <w:r w:rsidRPr="00C12DE9">
        <w:t>complete an application on the approved form</w:t>
      </w:r>
    </w:p>
    <w:p w14:paraId="5FBF3D3B" w14:textId="5ADBD3DF" w:rsidR="00D94682" w:rsidRPr="00C12DE9" w:rsidRDefault="00D27DD7" w:rsidP="00C12DE9">
      <w:pPr>
        <w:pStyle w:val="ListParagraph"/>
      </w:pPr>
      <w:r w:rsidRPr="00C12DE9">
        <w:t>attach detailed evidence that supports your application.</w:t>
      </w:r>
    </w:p>
    <w:p w14:paraId="6B7A33F9" w14:textId="77777777" w:rsidR="009E5B5F" w:rsidRDefault="00B53C39" w:rsidP="00C12DE9">
      <w:r>
        <w:lastRenderedPageBreak/>
        <w:t>It is your responsibility to</w:t>
      </w:r>
      <w:r w:rsidR="00AD3B72" w:rsidRPr="000E227B">
        <w:t xml:space="preserve"> mak</w:t>
      </w:r>
      <w:r>
        <w:t>e</w:t>
      </w:r>
      <w:r w:rsidR="00AD3B72" w:rsidRPr="000E227B">
        <w:t xml:space="preserve"> sure your application is complete and accurate. </w:t>
      </w:r>
    </w:p>
    <w:p w14:paraId="1394CA07" w14:textId="43C03F5F" w:rsidR="00AD3B72" w:rsidRDefault="00AD3B72" w:rsidP="00C12DE9">
      <w:r w:rsidRPr="000E227B">
        <w:t>Giving false or misleading information is a</w:t>
      </w:r>
      <w:r w:rsidR="0093405D">
        <w:t xml:space="preserve">n offence under section 32 of the </w:t>
      </w:r>
      <w:r w:rsidR="0093405D">
        <w:rPr>
          <w:i/>
        </w:rPr>
        <w:t xml:space="preserve">Tradex Scheme Act 1999 </w:t>
      </w:r>
      <w:r w:rsidR="0093405D" w:rsidRPr="00756788">
        <w:t>(Cth)</w:t>
      </w:r>
      <w:r w:rsidR="002E5938">
        <w:t>.</w:t>
      </w:r>
      <w:r w:rsidRPr="000E227B">
        <w:t xml:space="preserve"> If we consider that you have supplied false or misleading information, we may not progress your application. If you find an error in your application after sending it, you should call us at once on 13</w:t>
      </w:r>
      <w:r w:rsidR="00C12DE9">
        <w:t> </w:t>
      </w:r>
      <w:r w:rsidRPr="000E227B">
        <w:t>28</w:t>
      </w:r>
      <w:r w:rsidR="00C12DE9">
        <w:t> </w:t>
      </w:r>
      <w:r w:rsidRPr="000E227B">
        <w:t>46</w:t>
      </w:r>
      <w:r w:rsidR="00767911">
        <w:t xml:space="preserve"> and email the corrected application to </w:t>
      </w:r>
      <w:hyperlink r:id="rId21" w:history="1">
        <w:r w:rsidR="00017209" w:rsidRPr="00A67EF1">
          <w:rPr>
            <w:rStyle w:val="Hyperlink"/>
          </w:rPr>
          <w:t>tradex@industry.gov.au</w:t>
        </w:r>
      </w:hyperlink>
      <w:r>
        <w:t>.</w:t>
      </w:r>
      <w:r w:rsidR="00017209">
        <w:t xml:space="preserve"> </w:t>
      </w:r>
    </w:p>
    <w:p w14:paraId="392B9CD9" w14:textId="22D7F422" w:rsidR="00AD3B72" w:rsidRPr="000E227B" w:rsidRDefault="00AD3B72" w:rsidP="00C12DE9">
      <w:r>
        <w:t xml:space="preserve">After submitting your application, we </w:t>
      </w:r>
      <w:r w:rsidR="009C7227">
        <w:t xml:space="preserve">will contact you to confirm receipt or to </w:t>
      </w:r>
      <w:r>
        <w:t>clarif</w:t>
      </w:r>
      <w:r w:rsidR="009C7227">
        <w:t>y</w:t>
      </w:r>
      <w:r>
        <w:t xml:space="preserve"> any error, or any missing information, including evidence that supports your eligibility. </w:t>
      </w:r>
    </w:p>
    <w:p w14:paraId="3D428436" w14:textId="77777777" w:rsidR="00C12DE9" w:rsidRDefault="00C12DE9" w:rsidP="00C12DE9">
      <w:pPr>
        <w:pStyle w:val="Heading3"/>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spacing w:after="0"/>
      </w:pPr>
      <w:bookmarkStart w:id="36" w:name="_Toc170301980"/>
      <w:r w:rsidRPr="005B6AF5">
        <w:t>Practical tips</w:t>
      </w:r>
      <w:bookmarkEnd w:id="36"/>
    </w:p>
    <w:p w14:paraId="3BD6EEBF" w14:textId="77777777" w:rsidR="00C12DE9" w:rsidRPr="005B6AF5" w:rsidRDefault="00C12DE9" w:rsidP="00C12DE9">
      <w:pPr>
        <w:pStyle w:val="Calloutbox"/>
        <w:spacing w:before="0"/>
      </w:pPr>
      <w:r w:rsidRPr="005B6AF5">
        <w:t xml:space="preserve">If granted, </w:t>
      </w:r>
      <w:r>
        <w:t xml:space="preserve">we send your </w:t>
      </w:r>
      <w:r w:rsidRPr="005B6AF5">
        <w:t>Tradex order details</w:t>
      </w:r>
      <w:r>
        <w:t xml:space="preserve"> to the ABF. T</w:t>
      </w:r>
      <w:r w:rsidRPr="005B6AF5">
        <w:t>he Integrated Cargo System (ICS) link</w:t>
      </w:r>
      <w:r>
        <w:t xml:space="preserve">s these details </w:t>
      </w:r>
      <w:r w:rsidRPr="005B6AF5">
        <w:t>to:</w:t>
      </w:r>
    </w:p>
    <w:p w14:paraId="3F91FB24" w14:textId="77777777" w:rsidR="00C12DE9" w:rsidRPr="005B6AF5" w:rsidRDefault="00C12DE9" w:rsidP="00C12DE9">
      <w:pPr>
        <w:pStyle w:val="Calloutbox"/>
        <w:numPr>
          <w:ilvl w:val="0"/>
          <w:numId w:val="37"/>
        </w:numPr>
        <w:spacing w:before="0"/>
      </w:pPr>
      <w:r w:rsidRPr="005B6AF5">
        <w:t xml:space="preserve">your </w:t>
      </w:r>
      <w:r w:rsidRPr="00365EBE">
        <w:t xml:space="preserve">Australian Business Number (ABN), if you do not have an ABN then the </w:t>
      </w:r>
      <w:r w:rsidRPr="005B6AF5">
        <w:t>Customs Client Identifier (CCID), as nominated in your application form</w:t>
      </w:r>
    </w:p>
    <w:p w14:paraId="5E5C612E" w14:textId="77777777" w:rsidR="00C12DE9" w:rsidRPr="005B6AF5" w:rsidRDefault="00C12DE9" w:rsidP="00C12DE9">
      <w:pPr>
        <w:pStyle w:val="Calloutbox"/>
        <w:numPr>
          <w:ilvl w:val="0"/>
          <w:numId w:val="37"/>
        </w:numPr>
        <w:spacing w:before="0"/>
      </w:pPr>
      <w:r w:rsidRPr="005B6AF5">
        <w:t xml:space="preserve">the approved </w:t>
      </w:r>
      <w:hyperlink r:id="rId22" w:history="1">
        <w:r w:rsidRPr="00C12DE9">
          <w:rPr>
            <w:rStyle w:val="Hyperlink"/>
            <w:rFonts w:eastAsiaTheme="majorEastAsia" w:cstheme="minorHAnsi"/>
            <w:szCs w:val="20"/>
          </w:rPr>
          <w:t>4 digit tariff chapter and goods description</w:t>
        </w:r>
      </w:hyperlink>
      <w:r w:rsidRPr="00C12DE9">
        <w:rPr>
          <w:szCs w:val="20"/>
        </w:rPr>
        <w:t>s from your application form.</w:t>
      </w:r>
    </w:p>
    <w:p w14:paraId="1908F808" w14:textId="77777777" w:rsidR="00C12DE9" w:rsidRDefault="00C12DE9" w:rsidP="00C12DE9">
      <w:pPr>
        <w:pStyle w:val="Calloutbox"/>
      </w:pPr>
      <w:r w:rsidRPr="005B6AF5">
        <w:t>If you</w:t>
      </w:r>
      <w:r>
        <w:t xml:space="preserve"> are not registered in the ICS or</w:t>
      </w:r>
      <w:r w:rsidRPr="005B6AF5">
        <w:t xml:space="preserve"> you are not sure which Tariff classification applies</w:t>
      </w:r>
      <w:r>
        <w:t xml:space="preserve"> to your goods</w:t>
      </w:r>
      <w:r w:rsidRPr="005B6AF5">
        <w:t xml:space="preserve">, </w:t>
      </w:r>
      <w:r>
        <w:t xml:space="preserve">before lodging your application form, </w:t>
      </w:r>
      <w:r w:rsidRPr="005B6AF5">
        <w:t xml:space="preserve">please </w:t>
      </w:r>
      <w:r>
        <w:t>seek this information from</w:t>
      </w:r>
      <w:r w:rsidRPr="005B6AF5">
        <w:t xml:space="preserve"> your licensed customs broker or </w:t>
      </w:r>
      <w:r>
        <w:t xml:space="preserve">contact </w:t>
      </w:r>
      <w:r w:rsidRPr="005B6AF5">
        <w:t xml:space="preserve">the ABF on phone 131 881 or </w:t>
      </w:r>
      <w:r>
        <w:t xml:space="preserve">through their </w:t>
      </w:r>
      <w:r w:rsidRPr="005B6AF5">
        <w:t xml:space="preserve">website  </w:t>
      </w:r>
      <w:hyperlink r:id="rId23" w:history="1">
        <w:r w:rsidRPr="005B6AF5">
          <w:rPr>
            <w:rStyle w:val="Hyperlink"/>
            <w:rFonts w:eastAsiaTheme="majorEastAsia" w:cstheme="minorHAnsi"/>
            <w:sz w:val="22"/>
          </w:rPr>
          <w:t>https://www.abf.gov.au</w:t>
        </w:r>
      </w:hyperlink>
      <w:r>
        <w:rPr>
          <w:rStyle w:val="Hyperlink"/>
          <w:rFonts w:eastAsiaTheme="majorEastAsia" w:cstheme="minorHAnsi"/>
          <w:sz w:val="22"/>
        </w:rPr>
        <w:t>.</w:t>
      </w:r>
    </w:p>
    <w:p w14:paraId="7140714D" w14:textId="77777777" w:rsidR="009E4493" w:rsidRPr="002D10F8" w:rsidRDefault="009E4493" w:rsidP="004C1281">
      <w:pPr>
        <w:pStyle w:val="Heading3"/>
      </w:pPr>
      <w:bookmarkStart w:id="37" w:name="_Toc142318755"/>
      <w:bookmarkStart w:id="38" w:name="_Toc170301981"/>
      <w:r w:rsidRPr="002D10F8">
        <w:t>Confidential information</w:t>
      </w:r>
      <w:bookmarkEnd w:id="37"/>
      <w:bookmarkEnd w:id="38"/>
    </w:p>
    <w:p w14:paraId="504787AA" w14:textId="77777777" w:rsidR="009E4493" w:rsidRPr="000E227B" w:rsidRDefault="009E4493" w:rsidP="00C12DE9">
      <w:r w:rsidRPr="000E227B">
        <w:t>Applicants are requested to specifically identify:</w:t>
      </w:r>
    </w:p>
    <w:p w14:paraId="3949D8D7" w14:textId="654E060C" w:rsidR="009E4493" w:rsidRPr="00C12DE9" w:rsidRDefault="009E4493" w:rsidP="00C12DE9">
      <w:pPr>
        <w:pStyle w:val="ListParagraph"/>
      </w:pPr>
      <w:r w:rsidRPr="00C12DE9">
        <w:t>any information contained in an application that they wish to remain confidential (Confidential Information) and do not wish to be disclosed to specified people or bodies.</w:t>
      </w:r>
    </w:p>
    <w:p w14:paraId="779754BC" w14:textId="6D2DC1E4" w:rsidR="00E35AAE" w:rsidRPr="00E35AAE" w:rsidRDefault="00126BF8" w:rsidP="00C12DE9">
      <w:r w:rsidRPr="00E35AAE">
        <w:t>We will endeavour to maintain the confidentiality of all identified Confidential Information to the extent applicable by law or as required in assessing your application</w:t>
      </w:r>
      <w:r w:rsidR="002E5938">
        <w:t>.</w:t>
      </w:r>
    </w:p>
    <w:p w14:paraId="06ED0B08" w14:textId="7A750D97" w:rsidR="00D94682" w:rsidRPr="002D10F8" w:rsidRDefault="00D94682" w:rsidP="004C1281">
      <w:pPr>
        <w:pStyle w:val="Heading3"/>
      </w:pPr>
      <w:bookmarkStart w:id="39" w:name="_Toc170301982"/>
      <w:r w:rsidRPr="002D10F8">
        <w:t>Where to submit the application</w:t>
      </w:r>
      <w:bookmarkEnd w:id="39"/>
    </w:p>
    <w:p w14:paraId="762D2D4D" w14:textId="7017612D" w:rsidR="00D94682" w:rsidRPr="000E227B" w:rsidRDefault="00D94682" w:rsidP="00C12DE9">
      <w:r w:rsidRPr="000E227B">
        <w:t>Post :</w:t>
      </w:r>
    </w:p>
    <w:p w14:paraId="3E2FDA8F" w14:textId="646E6084" w:rsidR="00D94682" w:rsidRPr="00C12DE9" w:rsidRDefault="00D94682" w:rsidP="00C12DE9">
      <w:pPr>
        <w:spacing w:before="0" w:after="0"/>
        <w:rPr>
          <w:rFonts w:cstheme="minorHAnsi"/>
          <w:szCs w:val="20"/>
        </w:rPr>
      </w:pPr>
      <w:r w:rsidRPr="00C12DE9">
        <w:rPr>
          <w:rFonts w:cstheme="minorHAnsi"/>
          <w:szCs w:val="20"/>
        </w:rPr>
        <w:t>Program Manager, Tradex</w:t>
      </w:r>
    </w:p>
    <w:p w14:paraId="4CE075E4" w14:textId="77777777" w:rsidR="00D94682" w:rsidRPr="00C12DE9" w:rsidRDefault="00D94682" w:rsidP="00C12DE9">
      <w:pPr>
        <w:spacing w:before="0" w:after="0"/>
        <w:rPr>
          <w:rFonts w:cstheme="minorHAnsi"/>
          <w:szCs w:val="20"/>
        </w:rPr>
      </w:pPr>
      <w:r w:rsidRPr="00C12DE9">
        <w:rPr>
          <w:rFonts w:cstheme="minorHAnsi"/>
          <w:szCs w:val="20"/>
        </w:rPr>
        <w:t>Trade and International Branch</w:t>
      </w:r>
    </w:p>
    <w:p w14:paraId="5A1792C7" w14:textId="77777777" w:rsidR="00D94682" w:rsidRPr="00C12DE9" w:rsidRDefault="00D94682" w:rsidP="00C12DE9">
      <w:pPr>
        <w:spacing w:before="0" w:after="0"/>
        <w:rPr>
          <w:rFonts w:cstheme="minorHAnsi"/>
          <w:szCs w:val="20"/>
        </w:rPr>
      </w:pPr>
      <w:r w:rsidRPr="00C12DE9">
        <w:rPr>
          <w:rFonts w:cstheme="minorHAnsi"/>
          <w:szCs w:val="20"/>
        </w:rPr>
        <w:t>Department of Industry, Science and Resources</w:t>
      </w:r>
    </w:p>
    <w:p w14:paraId="5566CC29" w14:textId="77777777" w:rsidR="00D94682" w:rsidRPr="00C12DE9" w:rsidRDefault="00D94682" w:rsidP="00C12DE9">
      <w:pPr>
        <w:spacing w:before="0" w:after="0"/>
        <w:rPr>
          <w:rFonts w:cstheme="minorHAnsi"/>
          <w:szCs w:val="20"/>
        </w:rPr>
      </w:pPr>
      <w:r w:rsidRPr="00C12DE9">
        <w:rPr>
          <w:rFonts w:cstheme="minorHAnsi"/>
          <w:szCs w:val="20"/>
        </w:rPr>
        <w:t>GPO Box 2013</w:t>
      </w:r>
    </w:p>
    <w:p w14:paraId="63B32200" w14:textId="77777777" w:rsidR="00D94682" w:rsidRPr="00C12DE9" w:rsidRDefault="00D94682" w:rsidP="00C12DE9">
      <w:pPr>
        <w:spacing w:before="0" w:after="0"/>
        <w:rPr>
          <w:rFonts w:cstheme="minorHAnsi"/>
          <w:szCs w:val="20"/>
        </w:rPr>
      </w:pPr>
      <w:r w:rsidRPr="00C12DE9">
        <w:rPr>
          <w:rFonts w:cstheme="minorHAnsi"/>
          <w:szCs w:val="20"/>
        </w:rPr>
        <w:t>Canberra  ACT  2601</w:t>
      </w:r>
    </w:p>
    <w:p w14:paraId="300B3CE6" w14:textId="42FA4C14" w:rsidR="00B56007" w:rsidRPr="00C12DE9" w:rsidRDefault="00B56007" w:rsidP="00C12DE9">
      <w:pPr>
        <w:rPr>
          <w:szCs w:val="20"/>
        </w:rPr>
      </w:pPr>
      <w:r w:rsidRPr="00C12DE9">
        <w:rPr>
          <w:szCs w:val="20"/>
        </w:rPr>
        <w:t>Email:</w:t>
      </w:r>
    </w:p>
    <w:p w14:paraId="6091203E" w14:textId="59A52863" w:rsidR="00EB28A3" w:rsidRPr="00C12DE9" w:rsidRDefault="00EB28A3" w:rsidP="00C12DE9">
      <w:pPr>
        <w:spacing w:before="0" w:after="0"/>
        <w:rPr>
          <w:szCs w:val="20"/>
        </w:rPr>
      </w:pPr>
      <w:r w:rsidRPr="00C12DE9">
        <w:rPr>
          <w:szCs w:val="20"/>
        </w:rPr>
        <w:t>Tradex Team</w:t>
      </w:r>
    </w:p>
    <w:p w14:paraId="3F2375E1" w14:textId="6F87F339" w:rsidR="00D94682" w:rsidRPr="00C12DE9" w:rsidRDefault="00D94682" w:rsidP="00C12DE9">
      <w:pPr>
        <w:spacing w:before="0" w:after="0"/>
        <w:rPr>
          <w:szCs w:val="20"/>
        </w:rPr>
      </w:pPr>
      <w:r w:rsidRPr="00C12DE9">
        <w:rPr>
          <w:szCs w:val="20"/>
        </w:rPr>
        <w:t xml:space="preserve">Email: </w:t>
      </w:r>
      <w:hyperlink r:id="rId24" w:history="1">
        <w:r w:rsidRPr="00C12DE9">
          <w:rPr>
            <w:rStyle w:val="Hyperlink"/>
            <w:rFonts w:cstheme="minorHAnsi"/>
            <w:szCs w:val="20"/>
          </w:rPr>
          <w:t>tradex@industry.gov.au</w:t>
        </w:r>
      </w:hyperlink>
    </w:p>
    <w:p w14:paraId="3B02F6AD" w14:textId="5EE55BF6" w:rsidR="00F076E4" w:rsidRPr="00C12DE9" w:rsidRDefault="00F076E4" w:rsidP="00C12DE9">
      <w:pPr>
        <w:rPr>
          <w:szCs w:val="20"/>
        </w:rPr>
      </w:pPr>
      <w:r w:rsidRPr="00C12DE9">
        <w:rPr>
          <w:szCs w:val="20"/>
        </w:rPr>
        <w:t xml:space="preserve">We will acknowledge receipt of an application for </w:t>
      </w:r>
      <w:r w:rsidR="00845908" w:rsidRPr="00C12DE9">
        <w:rPr>
          <w:szCs w:val="20"/>
        </w:rPr>
        <w:t>a Tradex Order</w:t>
      </w:r>
      <w:r w:rsidRPr="00C12DE9">
        <w:rPr>
          <w:szCs w:val="20"/>
        </w:rPr>
        <w:t xml:space="preserve"> within </w:t>
      </w:r>
      <w:r w:rsidR="00C12DE9">
        <w:rPr>
          <w:szCs w:val="20"/>
        </w:rPr>
        <w:t>5</w:t>
      </w:r>
      <w:r w:rsidRPr="00C12DE9">
        <w:rPr>
          <w:szCs w:val="20"/>
        </w:rPr>
        <w:t xml:space="preserve"> business days</w:t>
      </w:r>
      <w:r w:rsidR="00BB3936" w:rsidRPr="00C12DE9">
        <w:rPr>
          <w:szCs w:val="20"/>
        </w:rPr>
        <w:t xml:space="preserve"> of receipt of your application.</w:t>
      </w:r>
    </w:p>
    <w:p w14:paraId="37BC298E" w14:textId="2B12EC9D" w:rsidR="00D94682" w:rsidRPr="002D10F8" w:rsidRDefault="00D94682" w:rsidP="004C1281">
      <w:pPr>
        <w:pStyle w:val="Heading3"/>
      </w:pPr>
      <w:bookmarkStart w:id="40" w:name="_Toc116479105"/>
      <w:bookmarkStart w:id="41" w:name="_Toc142318758"/>
      <w:bookmarkStart w:id="42" w:name="_Toc170301983"/>
      <w:r w:rsidRPr="002D10F8">
        <w:t xml:space="preserve">Application </w:t>
      </w:r>
      <w:r w:rsidR="008B247E">
        <w:t>a</w:t>
      </w:r>
      <w:r w:rsidRPr="002D10F8">
        <w:t>dvice</w:t>
      </w:r>
      <w:bookmarkEnd w:id="40"/>
      <w:bookmarkEnd w:id="41"/>
      <w:bookmarkEnd w:id="42"/>
    </w:p>
    <w:p w14:paraId="4892F916" w14:textId="2940E155" w:rsidR="00D94682" w:rsidRPr="00C12DE9" w:rsidRDefault="00D94682" w:rsidP="00C12DE9">
      <w:pPr>
        <w:rPr>
          <w:szCs w:val="20"/>
        </w:rPr>
      </w:pPr>
      <w:r w:rsidRPr="00C12DE9">
        <w:rPr>
          <w:szCs w:val="20"/>
        </w:rPr>
        <w:t xml:space="preserve">If you are uncertain of the requirements or would like more information on concession options visit business.gov.au, call 13 28 46 or email </w:t>
      </w:r>
      <w:hyperlink r:id="rId25" w:history="1">
        <w:r w:rsidR="007828BD" w:rsidRPr="00C12DE9">
          <w:rPr>
            <w:rStyle w:val="Hyperlink"/>
            <w:rFonts w:cstheme="minorHAnsi"/>
            <w:szCs w:val="20"/>
          </w:rPr>
          <w:t>tradex</w:t>
        </w:r>
        <w:r w:rsidRPr="00C12DE9">
          <w:rPr>
            <w:rStyle w:val="Hyperlink"/>
            <w:rFonts w:cstheme="minorHAnsi"/>
            <w:szCs w:val="20"/>
          </w:rPr>
          <w:t>@industry.gov.au</w:t>
        </w:r>
      </w:hyperlink>
      <w:r w:rsidRPr="00C12DE9">
        <w:rPr>
          <w:szCs w:val="20"/>
        </w:rPr>
        <w:t>.</w:t>
      </w:r>
    </w:p>
    <w:p w14:paraId="496AAC4A" w14:textId="0542A8D0" w:rsidR="00D94682" w:rsidRPr="00C12DE9" w:rsidRDefault="00D94682" w:rsidP="00C12DE9">
      <w:pPr>
        <w:rPr>
          <w:szCs w:val="20"/>
        </w:rPr>
      </w:pPr>
      <w:r w:rsidRPr="00C12DE9">
        <w:rPr>
          <w:szCs w:val="20"/>
        </w:rPr>
        <w:t>Any guidance or advice we offer before receipt of an application does not determine the outcome of an application.</w:t>
      </w:r>
    </w:p>
    <w:p w14:paraId="4BCD6CBE" w14:textId="39113D3D" w:rsidR="00D94682" w:rsidRDefault="00A8286A" w:rsidP="004C1281">
      <w:pPr>
        <w:pStyle w:val="Heading2"/>
      </w:pPr>
      <w:bookmarkStart w:id="43" w:name="_Toc170301984"/>
      <w:r>
        <w:lastRenderedPageBreak/>
        <w:t>Application assessment p</w:t>
      </w:r>
      <w:r w:rsidR="00D94682" w:rsidRPr="00EA265A">
        <w:t>rocess</w:t>
      </w:r>
      <w:bookmarkEnd w:id="43"/>
    </w:p>
    <w:p w14:paraId="5A22638D" w14:textId="5EDFF821" w:rsidR="00AD3B72" w:rsidRPr="00096034" w:rsidRDefault="00AD3B72" w:rsidP="00C12DE9">
      <w:r>
        <w:t>We will conduct a</w:t>
      </w:r>
      <w:r w:rsidR="009E5B5F">
        <w:t>n</w:t>
      </w:r>
      <w:r>
        <w:t xml:space="preserve"> assessment and</w:t>
      </w:r>
      <w:r w:rsidR="009E5B5F">
        <w:t xml:space="preserve">, as required, </w:t>
      </w:r>
      <w:r>
        <w:t xml:space="preserve">consult with other businesses, </w:t>
      </w:r>
      <w:r w:rsidR="00096034">
        <w:t xml:space="preserve">representative </w:t>
      </w:r>
      <w:r>
        <w:t xml:space="preserve">industry </w:t>
      </w:r>
      <w:r w:rsidR="00096034">
        <w:t>groups</w:t>
      </w:r>
      <w:r>
        <w:t xml:space="preserve"> and </w:t>
      </w:r>
      <w:r w:rsidR="00096034">
        <w:t xml:space="preserve">other </w:t>
      </w:r>
      <w:r>
        <w:t>agencies to clarify and validate technical issues</w:t>
      </w:r>
      <w:r w:rsidR="00096034">
        <w:t xml:space="preserve"> and claims about record keeping</w:t>
      </w:r>
      <w:r w:rsidR="00850661">
        <w:t xml:space="preserve"> in your application</w:t>
      </w:r>
      <w:r w:rsidR="00096034">
        <w:t>.</w:t>
      </w:r>
      <w:r w:rsidR="009E5B5F">
        <w:t xml:space="preserve"> </w:t>
      </w:r>
      <w:r w:rsidR="00B53C39">
        <w:t>Sometimes</w:t>
      </w:r>
      <w:r w:rsidRPr="00096034">
        <w:t xml:space="preserve"> we might need </w:t>
      </w:r>
      <w:r w:rsidR="00767911">
        <w:t xml:space="preserve">to hold </w:t>
      </w:r>
      <w:r w:rsidRPr="00096034">
        <w:t>meetings or</w:t>
      </w:r>
      <w:r w:rsidR="00767911">
        <w:t xml:space="preserve"> conduct</w:t>
      </w:r>
      <w:r w:rsidRPr="00096034">
        <w:t xml:space="preserve"> site inspections. </w:t>
      </w:r>
    </w:p>
    <w:p w14:paraId="74520A43" w14:textId="2400BB25" w:rsidR="00AD3B72" w:rsidRDefault="00F77B6E" w:rsidP="00C12DE9">
      <w:r w:rsidRPr="000E227B">
        <w:t xml:space="preserve">The department has up to 40 days to assess the application </w:t>
      </w:r>
      <w:r>
        <w:t xml:space="preserve">from the time </w:t>
      </w:r>
      <w:r w:rsidRPr="000E227B">
        <w:t xml:space="preserve">you have provided all the required information. </w:t>
      </w:r>
      <w:r w:rsidR="00AD3B72" w:rsidRPr="000E227B">
        <w:t>To ensure that the assessment process is transparent, fair, and equitable the following assessment procedures apply.</w:t>
      </w:r>
    </w:p>
    <w:p w14:paraId="6CC7172B" w14:textId="494B20F8" w:rsidR="00533E95" w:rsidRPr="005B6AF5" w:rsidRDefault="00E56DE3" w:rsidP="00C12DE9">
      <w:r>
        <w:t xml:space="preserve">The following are the </w:t>
      </w:r>
      <w:r w:rsidR="000C256F">
        <w:t>processes</w:t>
      </w:r>
      <w:r w:rsidR="00B66704">
        <w:t xml:space="preserve"> </w:t>
      </w:r>
      <w:r>
        <w:t xml:space="preserve">the </w:t>
      </w:r>
      <w:r w:rsidR="002E5938">
        <w:t>de</w:t>
      </w:r>
      <w:r w:rsidR="00AA414E">
        <w:t>partment</w:t>
      </w:r>
      <w:r>
        <w:t xml:space="preserve"> will follow to determine an </w:t>
      </w:r>
      <w:r w:rsidR="00C744F2">
        <w:t>applicant’s</w:t>
      </w:r>
      <w:r>
        <w:t xml:space="preserve"> eligibility for a</w:t>
      </w:r>
      <w:r w:rsidR="00533E95" w:rsidRPr="005B6AF5">
        <w:t xml:space="preserve"> </w:t>
      </w:r>
      <w:r w:rsidR="0058677A">
        <w:t>T</w:t>
      </w:r>
      <w:r w:rsidR="00533E95" w:rsidRPr="005B6AF5">
        <w:t xml:space="preserve">radex </w:t>
      </w:r>
      <w:r w:rsidR="0058677A">
        <w:t>O</w:t>
      </w:r>
      <w:r w:rsidR="00533E95" w:rsidRPr="005B6AF5">
        <w:t>rder:</w:t>
      </w:r>
    </w:p>
    <w:p w14:paraId="2CD0C615" w14:textId="623C9804" w:rsidR="00533E95" w:rsidRPr="005B6AF5" w:rsidRDefault="002E5938" w:rsidP="00C12DE9">
      <w:pPr>
        <w:pStyle w:val="ListParagraph"/>
      </w:pPr>
      <w:r>
        <w:t>We will review whether t</w:t>
      </w:r>
      <w:r w:rsidR="00C744F2">
        <w:t xml:space="preserve">he </w:t>
      </w:r>
      <w:r w:rsidR="00533E95" w:rsidRPr="005B6AF5">
        <w:t xml:space="preserve">submitted application form is complete and includes </w:t>
      </w:r>
      <w:r w:rsidR="00533E95">
        <w:t>all</w:t>
      </w:r>
      <w:r w:rsidR="00533E95" w:rsidRPr="005B6AF5">
        <w:t xml:space="preserve"> the following:</w:t>
      </w:r>
    </w:p>
    <w:p w14:paraId="604BD809" w14:textId="5B1EC735" w:rsidR="00533E95" w:rsidRPr="005B6AF5" w:rsidRDefault="00533E95" w:rsidP="00C12DE9">
      <w:pPr>
        <w:pStyle w:val="ListParagraph"/>
        <w:numPr>
          <w:ilvl w:val="1"/>
          <w:numId w:val="13"/>
        </w:numPr>
      </w:pPr>
      <w:r w:rsidRPr="005B6AF5">
        <w:t>eligible entity</w:t>
      </w:r>
    </w:p>
    <w:p w14:paraId="58ABCB40" w14:textId="77777777" w:rsidR="00533E95" w:rsidRPr="005B6AF5" w:rsidRDefault="00533E95" w:rsidP="00C12DE9">
      <w:pPr>
        <w:pStyle w:val="ListParagraph"/>
        <w:numPr>
          <w:ilvl w:val="1"/>
          <w:numId w:val="13"/>
        </w:numPr>
      </w:pPr>
      <w:r w:rsidRPr="005B6AF5">
        <w:t>eligible goods</w:t>
      </w:r>
    </w:p>
    <w:p w14:paraId="1D1FEE66" w14:textId="49A0CE0F" w:rsidR="000C256F" w:rsidRPr="000C256F" w:rsidRDefault="00850661" w:rsidP="00C12DE9">
      <w:pPr>
        <w:pStyle w:val="ListParagraph"/>
        <w:numPr>
          <w:ilvl w:val="1"/>
          <w:numId w:val="13"/>
        </w:numPr>
      </w:pPr>
      <w:r>
        <w:t>detailed information</w:t>
      </w:r>
      <w:r w:rsidR="00566361">
        <w:t xml:space="preserve"> on how you </w:t>
      </w:r>
      <w:r w:rsidR="00533E95" w:rsidRPr="000C256F">
        <w:t xml:space="preserve">maintain </w:t>
      </w:r>
      <w:r w:rsidR="006A06EA">
        <w:t xml:space="preserve">adequate </w:t>
      </w:r>
      <w:r w:rsidR="00533E95" w:rsidRPr="000C256F">
        <w:t>records.</w:t>
      </w:r>
    </w:p>
    <w:p w14:paraId="624FE1AA" w14:textId="390DF1E9" w:rsidR="00096034" w:rsidRPr="001523AD" w:rsidRDefault="00096034" w:rsidP="00C12DE9">
      <w:pPr>
        <w:pStyle w:val="ListParagraph"/>
      </w:pPr>
      <w:r w:rsidRPr="001523AD">
        <w:t xml:space="preserve">If </w:t>
      </w:r>
      <w:r w:rsidR="002E5938">
        <w:t xml:space="preserve">we </w:t>
      </w:r>
      <w:r w:rsidR="00C744F2">
        <w:t>determine</w:t>
      </w:r>
      <w:r w:rsidRPr="001523AD">
        <w:t xml:space="preserve"> that additional information is required to support the </w:t>
      </w:r>
      <w:r w:rsidR="009E0F11" w:rsidRPr="001523AD">
        <w:t>application,</w:t>
      </w:r>
      <w:r w:rsidRPr="001523AD">
        <w:t xml:space="preserve"> we will seek further details and advise the applicant of a time limit for providing the requested information. If the information is not received within this </w:t>
      </w:r>
      <w:r w:rsidR="009E0F11" w:rsidRPr="001523AD">
        <w:t>period,</w:t>
      </w:r>
      <w:r w:rsidRPr="001523AD">
        <w:t xml:space="preserve"> we may assess the application</w:t>
      </w:r>
      <w:r w:rsidR="00C33001" w:rsidRPr="001523AD">
        <w:t xml:space="preserve"> without it, and</w:t>
      </w:r>
      <w:r w:rsidRPr="001523AD">
        <w:t xml:space="preserve"> on the basis </w:t>
      </w:r>
      <w:r w:rsidR="00C33001" w:rsidRPr="001523AD">
        <w:t xml:space="preserve">of </w:t>
      </w:r>
      <w:r w:rsidRPr="001523AD">
        <w:t xml:space="preserve">the information submitted as at the date we acknowledged receipt of the application. </w:t>
      </w:r>
    </w:p>
    <w:p w14:paraId="6728D67F" w14:textId="2EA8CFC3" w:rsidR="00096034" w:rsidRPr="001523AD" w:rsidRDefault="00096034" w:rsidP="00C12DE9">
      <w:pPr>
        <w:pStyle w:val="ListParagraph"/>
      </w:pPr>
      <w:r w:rsidRPr="001523AD">
        <w:t xml:space="preserve">We will </w:t>
      </w:r>
      <w:r w:rsidR="00B53C39" w:rsidRPr="001523AD">
        <w:t>collaborate</w:t>
      </w:r>
      <w:r w:rsidRPr="001523AD">
        <w:t xml:space="preserve"> with applicants and inform them if applications are not eligible for the Tradex Scheme.</w:t>
      </w:r>
    </w:p>
    <w:p w14:paraId="213B8EA7" w14:textId="24CD00C9" w:rsidR="00096034" w:rsidRPr="001523AD" w:rsidRDefault="00096034" w:rsidP="00C12DE9">
      <w:pPr>
        <w:pStyle w:val="ListParagraph"/>
      </w:pPr>
      <w:r w:rsidRPr="001523AD">
        <w:t xml:space="preserve">We may consult with manufacturers, exporters, representative industry groups and other agencies to validate claims about record keeping, manufacturing processes and industry standards for imported goods that </w:t>
      </w:r>
      <w:r w:rsidR="00665E3C" w:rsidRPr="001523AD">
        <w:t xml:space="preserve">you are </w:t>
      </w:r>
      <w:r w:rsidRPr="001523AD">
        <w:t>convert</w:t>
      </w:r>
      <w:r w:rsidR="00665E3C" w:rsidRPr="001523AD">
        <w:t>ing</w:t>
      </w:r>
      <w:r w:rsidRPr="001523AD">
        <w:t xml:space="preserve"> to goods for export.</w:t>
      </w:r>
    </w:p>
    <w:p w14:paraId="21DD8AEB" w14:textId="35CC9EC1" w:rsidR="00F77B6E" w:rsidRDefault="00AA414E" w:rsidP="00C12DE9">
      <w:pPr>
        <w:pStyle w:val="ListParagraph"/>
      </w:pPr>
      <w:r>
        <w:t>The delegate will d</w:t>
      </w:r>
      <w:r w:rsidR="00F77B6E" w:rsidRPr="001523AD">
        <w:t xml:space="preserve">ecide whether </w:t>
      </w:r>
      <w:r w:rsidR="00126BF8">
        <w:t>the information in the application form</w:t>
      </w:r>
      <w:r w:rsidR="00F77B6E" w:rsidRPr="001523AD">
        <w:t xml:space="preserve"> satisfies the legal terms and conditions of a Tradex order. </w:t>
      </w:r>
    </w:p>
    <w:p w14:paraId="7B34A97C" w14:textId="069BA173" w:rsidR="00C12DE9" w:rsidRDefault="00C12DE9" w:rsidP="00187A4E">
      <w:pPr>
        <w:pStyle w:val="Heading3"/>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shd w:val="clear" w:color="auto" w:fill="E7E6E6" w:themeFill="background2"/>
        <w:spacing w:after="0"/>
      </w:pPr>
      <w:bookmarkStart w:id="44" w:name="_Toc170301985"/>
      <w:r w:rsidRPr="005B6AF5">
        <w:t>Practical tips</w:t>
      </w:r>
      <w:bookmarkEnd w:id="44"/>
    </w:p>
    <w:p w14:paraId="2E56EBCA" w14:textId="5D53A16D" w:rsidR="00C12DE9" w:rsidRPr="000C256F" w:rsidRDefault="00C12DE9" w:rsidP="00187A4E">
      <w:pPr>
        <w:pStyle w:val="Calloutbox"/>
        <w:spacing w:before="0"/>
      </w:pPr>
      <w:r w:rsidRPr="005B6AF5">
        <w:t xml:space="preserve">You </w:t>
      </w:r>
      <w:r w:rsidRPr="000C256F">
        <w:t>can fast track the assessment process of your application</w:t>
      </w:r>
      <w:r w:rsidRPr="005B6AF5">
        <w:t xml:space="preserve"> by</w:t>
      </w:r>
      <w:r w:rsidRPr="000C256F">
        <w:t xml:space="preserve">: </w:t>
      </w:r>
    </w:p>
    <w:p w14:paraId="57A07408" w14:textId="1B8D7DA4" w:rsidR="00C12DE9" w:rsidRDefault="00D536BE" w:rsidP="00187A4E">
      <w:pPr>
        <w:pStyle w:val="Calloutbox"/>
        <w:numPr>
          <w:ilvl w:val="0"/>
          <w:numId w:val="38"/>
        </w:numPr>
        <w:spacing w:before="0" w:after="0"/>
      </w:pPr>
      <w:r>
        <w:rPr>
          <w:noProof/>
        </w:rPr>
        <mc:AlternateContent>
          <mc:Choice Requires="wps">
            <w:drawing>
              <wp:anchor distT="0" distB="0" distL="114300" distR="114300" simplePos="0" relativeHeight="251659264" behindDoc="1" locked="0" layoutInCell="1" allowOverlap="1" wp14:anchorId="3FEF0C92" wp14:editId="512F413E">
                <wp:simplePos x="0" y="0"/>
                <wp:positionH relativeFrom="margin">
                  <wp:posOffset>-80009</wp:posOffset>
                </wp:positionH>
                <wp:positionV relativeFrom="paragraph">
                  <wp:posOffset>191135</wp:posOffset>
                </wp:positionV>
                <wp:extent cx="1076324" cy="923925"/>
                <wp:effectExtent l="0" t="0" r="0" b="95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6324" cy="92392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263B" id="Rectangle 2" o:spid="_x0000_s1026" alt="&quot;&quot;" style="position:absolute;margin-left:-6.3pt;margin-top:15.05pt;width:84.75pt;height:7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0SfAIAAF4FAAAOAAAAZHJzL2Uyb0RvYy54bWysVE1PGzEQvVfqf7B8L/tBgBKxQVFQqkoI&#10;EFBxdrx21pLX49pONumv79i72QBFPVS9eG3PzJuZt298db1rNdkK5xWYihYnOSXCcKiVWVf0x/Py&#10;y1dKfGCmZhqMqOheeHo9+/zpqrNTUUIDuhaOIIjx085WtAnBTrPM80a0zJ+AFQaNElzLAh7dOqsd&#10;6xC91VmZ5+dZB662DrjwHm9veiOdJXwpBQ/3UnoRiK4o1hbS6tK6ims2u2LTtWO2UXwog/1DFS1T&#10;BpOOUDcsMLJx6g+oVnEHHmQ44dBmIKXiIvWA3RT5u26eGmZF6gXJ8Xakyf8/WH63fbIPDmnorJ96&#10;3MYudtK18Yv1kV0iaz+SJXaBcLws8ovz03JCCUfbZXl6WZ5FNrNjtHU+fBPQkripqMOfkThi21sf&#10;eteDS0zmQat6qbROhygAsdCObBn+utW6HMDfeGkTfQ3EqB4w3mTHVtIu7LWIfto8CklUjcWXqZCk&#10;smMSxrkwoehNDatFn7s4y/MkFGxtjEiNJsCILDH/iD0AvG3ggN1XOfjHUJFEOgbnfyusDx4jUmYw&#10;YQxulQH3EYDGrobMvf+BpJ6ayNIK6v2DIw76EfGWLxX+tlvmwwNzOBM4PTjn4R4XqaGrKAw7Shpw&#10;vz66j/4oVbRS0uGMVdT/3DAnKNHfDYr4sphM4lCmw+TsosSDe21ZvbaYTbsA1EKBL4rlaRv9gz5s&#10;pYP2BZ+DecyKJmY45q4oD+5wWIR+9vFB4WI+T244iJaFW/NkeQSPrEZZPu9emLODdgOq/g4O88im&#10;7yTc+8ZIA/NNAKmSvo+8DnzjECfhDA9OfCVen5PX8Vmc/QYAAP//AwBQSwMEFAAGAAgAAAAhAG6F&#10;W/vfAAAACgEAAA8AAABkcnMvZG93bnJldi54bWxMj8FOwzAMhu9IvENkJG5b2qKFrTSdJgQHLkgM&#10;NO2YNm4b0ThVkm3l7clOcLPlT7+/v9rOdmRn9ME4kpAvM2BIrdOGeglfn6+LNbAQFWk1OkIJPxhg&#10;W9/eVKrU7kIfeN7HnqUQCqWSMMQ4lZyHdkCrwtJNSOnWOW9VTKvvufbqksLtyIssE9wqQ+nDoCZ8&#10;HrD93p+sBOrexMaY9y743cEeXoru2PRcyvu7efcELOIc/2C46id1qJNT406kAxslLPJCJFTCQ5YD&#10;uwIrsQHWpOFxJYDXFf9fof4FAAD//wMAUEsBAi0AFAAGAAgAAAAhALaDOJL+AAAA4QEAABMAAAAA&#10;AAAAAAAAAAAAAAAAAFtDb250ZW50X1R5cGVzXS54bWxQSwECLQAUAAYACAAAACEAOP0h/9YAAACU&#10;AQAACwAAAAAAAAAAAAAAAAAvAQAAX3JlbHMvLnJlbHNQSwECLQAUAAYACAAAACEALB3tEnwCAABe&#10;BQAADgAAAAAAAAAAAAAAAAAuAgAAZHJzL2Uyb0RvYy54bWxQSwECLQAUAAYACAAAACEAboVb+98A&#10;AAAKAQAADwAAAAAAAAAAAAAAAADWBAAAZHJzL2Rvd25yZXYueG1sUEsFBgAAAAAEAAQA8wAAAOIF&#10;AAAAAA==&#10;" fillcolor="#e7e6e6 [3214]" stroked="f" strokeweight="2pt">
                <w10:wrap anchorx="margin"/>
              </v:rect>
            </w:pict>
          </mc:Fallback>
        </mc:AlternateContent>
      </w:r>
      <w:r w:rsidR="00C12DE9" w:rsidRPr="005B6AF5">
        <w:t xml:space="preserve">completing </w:t>
      </w:r>
      <w:r w:rsidR="00C12DE9" w:rsidRPr="000C256F">
        <w:t>all required sections of the application form</w:t>
      </w:r>
      <w:r w:rsidR="00C12DE9">
        <w:t>, including detailed information about:</w:t>
      </w:r>
    </w:p>
    <w:p w14:paraId="419033F8" w14:textId="46D01ADD" w:rsidR="00C12DE9" w:rsidRPr="005B6AF5" w:rsidRDefault="00C12DE9" w:rsidP="00C27FF4">
      <w:pPr>
        <w:pStyle w:val="Calloutbox"/>
        <w:numPr>
          <w:ilvl w:val="1"/>
          <w:numId w:val="41"/>
        </w:numPr>
        <w:spacing w:before="0"/>
      </w:pPr>
      <w:r w:rsidRPr="005B6AF5">
        <w:t xml:space="preserve">your </w:t>
      </w:r>
      <w:r w:rsidRPr="000C256F">
        <w:t>importing and exporting activities</w:t>
      </w:r>
    </w:p>
    <w:p w14:paraId="54267B7F" w14:textId="1B52F411" w:rsidR="00C12DE9" w:rsidRPr="005B6AF5" w:rsidRDefault="00C12DE9" w:rsidP="00C27FF4">
      <w:pPr>
        <w:pStyle w:val="Calloutbox"/>
        <w:numPr>
          <w:ilvl w:val="1"/>
          <w:numId w:val="41"/>
        </w:numPr>
        <w:spacing w:before="0"/>
      </w:pPr>
      <w:r w:rsidRPr="005B6AF5">
        <w:t xml:space="preserve">your </w:t>
      </w:r>
      <w:r w:rsidRPr="000C256F">
        <w:t>record keeping systems</w:t>
      </w:r>
    </w:p>
    <w:p w14:paraId="635C9F23" w14:textId="1C1333CA" w:rsidR="00C12DE9" w:rsidRPr="000C256F" w:rsidRDefault="00C12DE9" w:rsidP="00C27FF4">
      <w:pPr>
        <w:pStyle w:val="Calloutbox"/>
        <w:numPr>
          <w:ilvl w:val="1"/>
          <w:numId w:val="41"/>
        </w:numPr>
        <w:spacing w:before="0" w:after="0"/>
      </w:pPr>
      <w:r w:rsidRPr="000C256F">
        <w:t>how you intend to check your use of the Tradex order against your imports</w:t>
      </w:r>
      <w:r>
        <w:t>.</w:t>
      </w:r>
    </w:p>
    <w:p w14:paraId="7351E00C" w14:textId="20AC5572" w:rsidR="00C12DE9" w:rsidRPr="005B6AF5" w:rsidRDefault="00C12DE9" w:rsidP="00187A4E">
      <w:pPr>
        <w:pStyle w:val="Calloutbox"/>
        <w:numPr>
          <w:ilvl w:val="0"/>
          <w:numId w:val="38"/>
        </w:numPr>
        <w:spacing w:before="0"/>
      </w:pPr>
      <w:r w:rsidRPr="005B6AF5">
        <w:t>confirming you have registered your entity name and ABN (if applicable) with the ABF ICS</w:t>
      </w:r>
      <w:r>
        <w:t>.</w:t>
      </w:r>
    </w:p>
    <w:p w14:paraId="270D2080" w14:textId="77777777" w:rsidR="00C12DE9" w:rsidRPr="005B6AF5" w:rsidRDefault="00C12DE9" w:rsidP="00187A4E">
      <w:pPr>
        <w:pStyle w:val="Calloutbox"/>
        <w:numPr>
          <w:ilvl w:val="0"/>
          <w:numId w:val="38"/>
        </w:numPr>
        <w:spacing w:before="0"/>
      </w:pPr>
      <w:r w:rsidRPr="005B6AF5">
        <w:t>if you do not have an ABN that you have a CCID</w:t>
      </w:r>
      <w:r>
        <w:t>.</w:t>
      </w:r>
    </w:p>
    <w:p w14:paraId="3DA496F5" w14:textId="77777777" w:rsidR="00C12DE9" w:rsidRPr="005B6AF5" w:rsidRDefault="00C12DE9" w:rsidP="00187A4E">
      <w:pPr>
        <w:pStyle w:val="Calloutbox"/>
        <w:numPr>
          <w:ilvl w:val="0"/>
          <w:numId w:val="38"/>
        </w:numPr>
        <w:spacing w:before="0"/>
      </w:pPr>
      <w:r w:rsidRPr="005B6AF5">
        <w:t>ensuring the entity name and ABN, or if applicable the CCID, entered on your Tradex order application form matches the details registered with the ABF</w:t>
      </w:r>
      <w:r>
        <w:t>.</w:t>
      </w:r>
    </w:p>
    <w:p w14:paraId="6E400147" w14:textId="77777777" w:rsidR="00C12DE9" w:rsidRDefault="00C12DE9" w:rsidP="00187A4E">
      <w:pPr>
        <w:pStyle w:val="Calloutbox"/>
        <w:numPr>
          <w:ilvl w:val="0"/>
          <w:numId w:val="38"/>
        </w:numPr>
        <w:spacing w:before="0"/>
      </w:pPr>
      <w:r w:rsidRPr="00A8286A">
        <w:t>responding promptly to email and phone enquiries from the Tradex team</w:t>
      </w:r>
      <w:r>
        <w:t>.</w:t>
      </w:r>
    </w:p>
    <w:p w14:paraId="23666410" w14:textId="77777777" w:rsidR="009830FF" w:rsidRDefault="009830FF" w:rsidP="00187A4E">
      <w:bookmarkStart w:id="45" w:name="_Toc142318763"/>
      <w:r>
        <w:br w:type="page"/>
      </w:r>
    </w:p>
    <w:p w14:paraId="52EB4808" w14:textId="4A9A7AD0" w:rsidR="00D94682" w:rsidRPr="00EA265A" w:rsidRDefault="00D94682" w:rsidP="004C1281">
      <w:pPr>
        <w:pStyle w:val="Heading2"/>
      </w:pPr>
      <w:bookmarkStart w:id="46" w:name="_Toc170301986"/>
      <w:r w:rsidRPr="00EA265A">
        <w:lastRenderedPageBreak/>
        <w:t>Notification of outcome</w:t>
      </w:r>
      <w:bookmarkEnd w:id="45"/>
      <w:bookmarkEnd w:id="46"/>
    </w:p>
    <w:p w14:paraId="27374203" w14:textId="1C2D15A4" w:rsidR="00D94682" w:rsidRPr="000E227B" w:rsidRDefault="00D94682" w:rsidP="00187A4E">
      <w:r w:rsidRPr="000E227B">
        <w:t xml:space="preserve">We will </w:t>
      </w:r>
      <w:r w:rsidR="00472FEC" w:rsidRPr="00472FEC">
        <w:t>tell</w:t>
      </w:r>
      <w:r w:rsidRPr="000E227B">
        <w:t xml:space="preserve"> you the outcome of your application in </w:t>
      </w:r>
      <w:r w:rsidR="00132AA6" w:rsidRPr="00132AA6">
        <w:t>writing</w:t>
      </w:r>
      <w:r w:rsidR="00C33001">
        <w:t xml:space="preserve"> withing 40 days of your application</w:t>
      </w:r>
      <w:r w:rsidR="00132AA6" w:rsidRPr="00132AA6">
        <w:t>.</w:t>
      </w:r>
      <w:r w:rsidRPr="000E227B">
        <w:t xml:space="preserve"> </w:t>
      </w:r>
    </w:p>
    <w:p w14:paraId="0DEC352D" w14:textId="77777777" w:rsidR="00D94682" w:rsidRPr="002D10F8" w:rsidRDefault="00D94682" w:rsidP="004C1281">
      <w:pPr>
        <w:pStyle w:val="Heading3"/>
      </w:pPr>
      <w:bookmarkStart w:id="47" w:name="_Toc116479111"/>
      <w:bookmarkStart w:id="48" w:name="_Toc142318764"/>
      <w:bookmarkStart w:id="49" w:name="_Toc170301987"/>
      <w:r w:rsidRPr="002D10F8">
        <w:t>Successful applications</w:t>
      </w:r>
      <w:bookmarkEnd w:id="47"/>
      <w:bookmarkEnd w:id="48"/>
      <w:bookmarkEnd w:id="49"/>
    </w:p>
    <w:p w14:paraId="11C2F364" w14:textId="6FE46B25" w:rsidR="00DA6458" w:rsidRPr="000E227B" w:rsidRDefault="00D94682" w:rsidP="00187A4E">
      <w:r w:rsidRPr="000E227B">
        <w:t xml:space="preserve">If </w:t>
      </w:r>
      <w:r w:rsidR="005A2965" w:rsidRPr="000E227B">
        <w:t xml:space="preserve">your application is </w:t>
      </w:r>
      <w:r w:rsidRPr="000E227B">
        <w:t xml:space="preserve">successful a </w:t>
      </w:r>
      <w:r w:rsidR="00436361">
        <w:t>T</w:t>
      </w:r>
      <w:r w:rsidR="00F076E4" w:rsidRPr="000E227B">
        <w:t xml:space="preserve">radex order will </w:t>
      </w:r>
      <w:r w:rsidRPr="000E227B">
        <w:t>be issued</w:t>
      </w:r>
      <w:r w:rsidR="00DA6458" w:rsidRPr="000E227B">
        <w:t>.</w:t>
      </w:r>
      <w:r w:rsidRPr="000E227B">
        <w:t xml:space="preserve"> </w:t>
      </w:r>
      <w:r w:rsidR="00DA6458" w:rsidRPr="000E227B">
        <w:t>You will receive a notice that includes:</w:t>
      </w:r>
    </w:p>
    <w:p w14:paraId="7F0004BD" w14:textId="02F687F0" w:rsidR="00DA6458" w:rsidRPr="000E227B" w:rsidRDefault="00DA6458" w:rsidP="00187A4E">
      <w:pPr>
        <w:pStyle w:val="ListParagraph"/>
      </w:pPr>
      <w:r w:rsidRPr="000E227B">
        <w:t xml:space="preserve">your </w:t>
      </w:r>
      <w:r w:rsidR="00436361">
        <w:t>T</w:t>
      </w:r>
      <w:r w:rsidRPr="000E227B">
        <w:t xml:space="preserve">radex </w:t>
      </w:r>
      <w:r w:rsidR="00423DC3">
        <w:t>O</w:t>
      </w:r>
      <w:r w:rsidRPr="000E227B">
        <w:t>rder number</w:t>
      </w:r>
    </w:p>
    <w:p w14:paraId="3EC2B674" w14:textId="5502C6E3" w:rsidR="00DA6458" w:rsidRPr="000E227B" w:rsidRDefault="00DA6458" w:rsidP="00187A4E">
      <w:pPr>
        <w:pStyle w:val="ListParagraph"/>
      </w:pPr>
      <w:r w:rsidRPr="000E227B">
        <w:t xml:space="preserve">the Instrument number to be used on customs import </w:t>
      </w:r>
      <w:r w:rsidR="0012715C" w:rsidRPr="000E227B">
        <w:t>declaration</w:t>
      </w:r>
      <w:r w:rsidR="00AA414E">
        <w:t>s</w:t>
      </w:r>
      <w:r w:rsidR="0012715C">
        <w:t xml:space="preserve"> </w:t>
      </w:r>
    </w:p>
    <w:p w14:paraId="4EDE5A47" w14:textId="46C9A70D" w:rsidR="00DA6458" w:rsidRPr="000E227B" w:rsidRDefault="00DA6458" w:rsidP="00187A4E">
      <w:pPr>
        <w:pStyle w:val="ListParagraph"/>
      </w:pPr>
      <w:r w:rsidRPr="000E227B">
        <w:t xml:space="preserve">the date on which your </w:t>
      </w:r>
      <w:r w:rsidR="00436361">
        <w:t>T</w:t>
      </w:r>
      <w:r w:rsidRPr="000E227B">
        <w:t>radex order comes into force</w:t>
      </w:r>
    </w:p>
    <w:p w14:paraId="433A4357" w14:textId="31861FAD" w:rsidR="00DA6458" w:rsidRPr="000E227B" w:rsidRDefault="00DA6458" w:rsidP="00187A4E">
      <w:pPr>
        <w:pStyle w:val="ListParagraph"/>
      </w:pPr>
      <w:r w:rsidRPr="000E227B">
        <w:t xml:space="preserve">a description of the </w:t>
      </w:r>
      <w:r w:rsidR="005A2965" w:rsidRPr="000E227B">
        <w:t xml:space="preserve">nominated </w:t>
      </w:r>
      <w:r w:rsidRPr="000E227B">
        <w:t xml:space="preserve">goods and the </w:t>
      </w:r>
      <w:r w:rsidR="00132AA6" w:rsidRPr="000E227B">
        <w:t>four-digit</w:t>
      </w:r>
      <w:r w:rsidRPr="000E227B">
        <w:t xml:space="preserve"> tariff classifications covered by the </w:t>
      </w:r>
      <w:r w:rsidR="00436361">
        <w:t>T</w:t>
      </w:r>
      <w:r w:rsidRPr="000E227B">
        <w:t xml:space="preserve">radex </w:t>
      </w:r>
      <w:r w:rsidR="00423DC3">
        <w:t>O</w:t>
      </w:r>
      <w:r w:rsidRPr="000E227B">
        <w:t>rder</w:t>
      </w:r>
    </w:p>
    <w:p w14:paraId="2D362983" w14:textId="253E141D" w:rsidR="00DA6458" w:rsidRDefault="00C33001" w:rsidP="00187A4E">
      <w:pPr>
        <w:pStyle w:val="ListParagraph"/>
      </w:pPr>
      <w:r>
        <w:t xml:space="preserve">other </w:t>
      </w:r>
      <w:r w:rsidR="00DA6458" w:rsidRPr="000E227B">
        <w:t xml:space="preserve">information about using your </w:t>
      </w:r>
      <w:r w:rsidR="00436361">
        <w:t>T</w:t>
      </w:r>
      <w:r w:rsidR="00DA6458" w:rsidRPr="000E227B">
        <w:t xml:space="preserve">radex </w:t>
      </w:r>
      <w:r w:rsidR="00423DC3">
        <w:t>O</w:t>
      </w:r>
      <w:r w:rsidR="00DA6458" w:rsidRPr="000E227B">
        <w:t>rder.</w:t>
      </w:r>
    </w:p>
    <w:p w14:paraId="2C70CB87" w14:textId="3FC22AB9" w:rsidR="00AA014A" w:rsidRDefault="00AA014A" w:rsidP="004102D6">
      <w:r w:rsidRPr="00681BE4" w:rsidDel="005643BC">
        <w:t>Your Tradex order is only valid for use with the ABN or</w:t>
      </w:r>
      <w:r w:rsidR="00AA414E">
        <w:t>,</w:t>
      </w:r>
      <w:r w:rsidRPr="00681BE4" w:rsidDel="005643BC">
        <w:t xml:space="preserve"> where applicable, the</w:t>
      </w:r>
      <w:r w:rsidR="00AA414E">
        <w:t xml:space="preserve"> </w:t>
      </w:r>
      <w:r w:rsidRPr="00D65C05" w:rsidDel="005643BC">
        <w:t>CCID, quoted in your application.</w:t>
      </w:r>
    </w:p>
    <w:p w14:paraId="715246F1" w14:textId="42B4D975" w:rsidR="00AA014A" w:rsidRPr="001523AD" w:rsidRDefault="00AA014A" w:rsidP="00187A4E">
      <w:r w:rsidRPr="00681BE4" w:rsidDel="005643BC">
        <w:t xml:space="preserve">If you intend to sell or use part of an import consignment in Australia, you can arrange to ‘split lines’ on the </w:t>
      </w:r>
      <w:r w:rsidDel="005643BC">
        <w:t>C</w:t>
      </w:r>
      <w:r w:rsidRPr="00681BE4" w:rsidDel="005643BC">
        <w:t xml:space="preserve">ustoms </w:t>
      </w:r>
      <w:r w:rsidDel="005643BC">
        <w:t>i</w:t>
      </w:r>
      <w:r w:rsidRPr="00681BE4" w:rsidDel="005643BC">
        <w:t xml:space="preserve">mport </w:t>
      </w:r>
      <w:r w:rsidR="00141F51" w:rsidDel="005643BC">
        <w:t>d</w:t>
      </w:r>
      <w:r w:rsidR="00141F51" w:rsidRPr="00681BE4" w:rsidDel="005643BC">
        <w:t>eclaration</w:t>
      </w:r>
      <w:r w:rsidR="00141F51">
        <w:t>. For</w:t>
      </w:r>
      <w:r w:rsidRPr="00681BE4" w:rsidDel="005643BC">
        <w:t xml:space="preserve"> example, if you are importing </w:t>
      </w:r>
      <w:r w:rsidDel="005643BC">
        <w:t>1,000</w:t>
      </w:r>
      <w:r w:rsidRPr="00681BE4" w:rsidDel="005643BC">
        <w:t xml:space="preserve"> units of goods, </w:t>
      </w:r>
      <w:r w:rsidDel="005643BC">
        <w:t>500</w:t>
      </w:r>
      <w:r w:rsidRPr="00681BE4" w:rsidDel="005643BC">
        <w:t xml:space="preserve"> units of which will be for domestic consumption</w:t>
      </w:r>
      <w:r w:rsidDel="005643BC">
        <w:t>,</w:t>
      </w:r>
      <w:r w:rsidRPr="00681BE4" w:rsidDel="005643BC">
        <w:t xml:space="preserve"> </w:t>
      </w:r>
      <w:r w:rsidDel="005643BC">
        <w:t>y</w:t>
      </w:r>
      <w:r w:rsidRPr="00681BE4" w:rsidDel="005643BC">
        <w:t xml:space="preserve">ou can split the lines and import </w:t>
      </w:r>
      <w:r w:rsidDel="005643BC">
        <w:t>500</w:t>
      </w:r>
      <w:r w:rsidRPr="00681BE4" w:rsidDel="005643BC">
        <w:t xml:space="preserve"> units duty and GST exempt under Tradex and </w:t>
      </w:r>
      <w:r w:rsidDel="005643BC">
        <w:t>500</w:t>
      </w:r>
      <w:r w:rsidRPr="00681BE4" w:rsidDel="005643BC">
        <w:t xml:space="preserve"> units</w:t>
      </w:r>
      <w:r w:rsidDel="005643BC">
        <w:t xml:space="preserve"> for domestic consumption</w:t>
      </w:r>
      <w:r w:rsidRPr="00681BE4" w:rsidDel="005643BC">
        <w:t xml:space="preserve"> with duty and GST </w:t>
      </w:r>
      <w:r w:rsidDel="005643BC">
        <w:t>collected by</w:t>
      </w:r>
      <w:r w:rsidRPr="00681BE4" w:rsidDel="005643BC">
        <w:t xml:space="preserve"> ABF on importation.</w:t>
      </w:r>
    </w:p>
    <w:p w14:paraId="43B84E31" w14:textId="7903A6C9" w:rsidR="00D94682" w:rsidRPr="002D10F8" w:rsidRDefault="00D94682" w:rsidP="004C1281">
      <w:pPr>
        <w:pStyle w:val="Heading3"/>
      </w:pPr>
      <w:bookmarkStart w:id="50" w:name="_Toc116479112"/>
      <w:bookmarkStart w:id="51" w:name="_Toc142318765"/>
      <w:bookmarkStart w:id="52" w:name="_Toc170301988"/>
      <w:r w:rsidRPr="002D10F8">
        <w:t>Decision to refuse</w:t>
      </w:r>
      <w:bookmarkEnd w:id="50"/>
      <w:bookmarkEnd w:id="51"/>
      <w:bookmarkEnd w:id="52"/>
      <w:r w:rsidR="00FA6948">
        <w:t xml:space="preserve"> </w:t>
      </w:r>
    </w:p>
    <w:p w14:paraId="4FD3755E" w14:textId="49A50538" w:rsidR="00FE1EA8" w:rsidRPr="00187A4E" w:rsidRDefault="00FE1EA8" w:rsidP="00187A4E">
      <w:pPr>
        <w:rPr>
          <w:szCs w:val="20"/>
        </w:rPr>
      </w:pPr>
      <w:r w:rsidRPr="00187A4E">
        <w:rPr>
          <w:szCs w:val="20"/>
        </w:rPr>
        <w:t xml:space="preserve">If </w:t>
      </w:r>
      <w:r w:rsidR="00C5694E" w:rsidRPr="00187A4E">
        <w:rPr>
          <w:szCs w:val="20"/>
        </w:rPr>
        <w:t xml:space="preserve">the department refuses </w:t>
      </w:r>
      <w:r w:rsidRPr="00187A4E">
        <w:rPr>
          <w:szCs w:val="20"/>
        </w:rPr>
        <w:t>your application in full or in part</w:t>
      </w:r>
      <w:r w:rsidR="005A2965" w:rsidRPr="00187A4E">
        <w:rPr>
          <w:szCs w:val="20"/>
        </w:rPr>
        <w:t>,</w:t>
      </w:r>
      <w:r w:rsidR="000C256F" w:rsidRPr="00187A4E">
        <w:rPr>
          <w:szCs w:val="20"/>
        </w:rPr>
        <w:t xml:space="preserve"> we will send you</w:t>
      </w:r>
      <w:r w:rsidRPr="00187A4E">
        <w:rPr>
          <w:szCs w:val="20"/>
        </w:rPr>
        <w:t xml:space="preserve"> </w:t>
      </w:r>
      <w:r w:rsidR="005A2965" w:rsidRPr="00187A4E">
        <w:rPr>
          <w:szCs w:val="20"/>
        </w:rPr>
        <w:t xml:space="preserve">the reasons for the refusal. If </w:t>
      </w:r>
      <w:r w:rsidRPr="00187A4E">
        <w:rPr>
          <w:szCs w:val="20"/>
        </w:rPr>
        <w:t>you are not satisfied with the decision</w:t>
      </w:r>
      <w:r w:rsidR="00C5694E" w:rsidRPr="00187A4E">
        <w:rPr>
          <w:szCs w:val="20"/>
        </w:rPr>
        <w:t xml:space="preserve"> to refuse</w:t>
      </w:r>
      <w:r w:rsidRPr="00187A4E">
        <w:rPr>
          <w:szCs w:val="20"/>
        </w:rPr>
        <w:t xml:space="preserve">, you can ask the </w:t>
      </w:r>
      <w:r w:rsidR="00C5694E" w:rsidRPr="00187A4E">
        <w:rPr>
          <w:szCs w:val="20"/>
        </w:rPr>
        <w:t xml:space="preserve">department to </w:t>
      </w:r>
      <w:r w:rsidR="005923AA" w:rsidRPr="00187A4E">
        <w:rPr>
          <w:szCs w:val="20"/>
        </w:rPr>
        <w:t>perform an internal review of its decision</w:t>
      </w:r>
      <w:r w:rsidR="00AA414E" w:rsidRPr="00187A4E">
        <w:rPr>
          <w:szCs w:val="20"/>
        </w:rPr>
        <w:t>.</w:t>
      </w:r>
    </w:p>
    <w:p w14:paraId="7E4A898F" w14:textId="74D06EC0" w:rsidR="00FE1EA8" w:rsidRPr="00187A4E" w:rsidRDefault="00FE1EA8" w:rsidP="00187A4E">
      <w:pPr>
        <w:rPr>
          <w:rStyle w:val="Hyperlink"/>
          <w:rFonts w:cstheme="minorHAnsi"/>
          <w:szCs w:val="20"/>
        </w:rPr>
      </w:pPr>
      <w:r w:rsidRPr="00187A4E">
        <w:rPr>
          <w:szCs w:val="20"/>
        </w:rPr>
        <w:t xml:space="preserve">You will need to complete the </w:t>
      </w:r>
      <w:hyperlink r:id="rId26" w:history="1">
        <w:r w:rsidRPr="009A5BAF">
          <w:rPr>
            <w:rStyle w:val="Hyperlink"/>
            <w:szCs w:val="20"/>
          </w:rPr>
          <w:t xml:space="preserve">Reconsideration of </w:t>
        </w:r>
        <w:r w:rsidR="006E4580" w:rsidRPr="009A5BAF">
          <w:rPr>
            <w:rStyle w:val="Hyperlink"/>
            <w:szCs w:val="20"/>
          </w:rPr>
          <w:t>D</w:t>
        </w:r>
        <w:r w:rsidRPr="009A5BAF">
          <w:rPr>
            <w:rStyle w:val="Hyperlink"/>
            <w:szCs w:val="20"/>
          </w:rPr>
          <w:t>ecision form</w:t>
        </w:r>
      </w:hyperlink>
      <w:r w:rsidRPr="00187A4E">
        <w:rPr>
          <w:szCs w:val="20"/>
        </w:rPr>
        <w:t xml:space="preserve"> explaining your disagreement with the </w:t>
      </w:r>
      <w:r w:rsidR="00472FEC" w:rsidRPr="00187A4E">
        <w:rPr>
          <w:szCs w:val="20"/>
        </w:rPr>
        <w:t>first</w:t>
      </w:r>
      <w:r w:rsidRPr="00187A4E">
        <w:rPr>
          <w:szCs w:val="20"/>
        </w:rPr>
        <w:t xml:space="preserve"> decision.</w:t>
      </w:r>
    </w:p>
    <w:p w14:paraId="7ED57F32" w14:textId="5245A606" w:rsidR="00FE1EA8" w:rsidRPr="00187A4E" w:rsidRDefault="00FE1EA8" w:rsidP="00187A4E">
      <w:pPr>
        <w:rPr>
          <w:szCs w:val="20"/>
        </w:rPr>
      </w:pPr>
      <w:r w:rsidRPr="00187A4E">
        <w:rPr>
          <w:szCs w:val="20"/>
        </w:rPr>
        <w:t>The department will conduct an internal review</w:t>
      </w:r>
      <w:r w:rsidR="00566361" w:rsidRPr="00187A4E">
        <w:rPr>
          <w:szCs w:val="20"/>
        </w:rPr>
        <w:t>, by someone independent to the initial assessment,</w:t>
      </w:r>
      <w:r w:rsidRPr="00187A4E">
        <w:rPr>
          <w:szCs w:val="20"/>
        </w:rPr>
        <w:t xml:space="preserve"> and </w:t>
      </w:r>
      <w:r w:rsidR="00472FEC" w:rsidRPr="00187A4E">
        <w:rPr>
          <w:szCs w:val="20"/>
        </w:rPr>
        <w:t>tell</w:t>
      </w:r>
      <w:r w:rsidRPr="00187A4E">
        <w:rPr>
          <w:szCs w:val="20"/>
        </w:rPr>
        <w:t xml:space="preserve"> you of the outcome. If you are still not satisfied with the outcome, you can apply to the Administrative </w:t>
      </w:r>
      <w:r w:rsidR="00DF43EB">
        <w:rPr>
          <w:szCs w:val="20"/>
        </w:rPr>
        <w:t>Review</w:t>
      </w:r>
      <w:r w:rsidR="00566361" w:rsidRPr="00187A4E">
        <w:rPr>
          <w:szCs w:val="20"/>
        </w:rPr>
        <w:t xml:space="preserve"> </w:t>
      </w:r>
      <w:r w:rsidRPr="00187A4E">
        <w:rPr>
          <w:szCs w:val="20"/>
        </w:rPr>
        <w:t>Tribunal (A</w:t>
      </w:r>
      <w:r w:rsidR="00DF43EB">
        <w:rPr>
          <w:szCs w:val="20"/>
        </w:rPr>
        <w:t>R</w:t>
      </w:r>
      <w:r w:rsidRPr="00187A4E">
        <w:rPr>
          <w:szCs w:val="20"/>
        </w:rPr>
        <w:t>T) for a review. Information about the A</w:t>
      </w:r>
      <w:r w:rsidR="00DF43EB">
        <w:rPr>
          <w:szCs w:val="20"/>
        </w:rPr>
        <w:t>R</w:t>
      </w:r>
      <w:r w:rsidRPr="00187A4E">
        <w:rPr>
          <w:szCs w:val="20"/>
        </w:rPr>
        <w:t xml:space="preserve">T </w:t>
      </w:r>
      <w:r w:rsidR="00C5694E" w:rsidRPr="00187A4E">
        <w:rPr>
          <w:szCs w:val="20"/>
        </w:rPr>
        <w:t>is at</w:t>
      </w:r>
      <w:r w:rsidRPr="00187A4E">
        <w:rPr>
          <w:szCs w:val="20"/>
        </w:rPr>
        <w:t xml:space="preserve"> </w:t>
      </w:r>
      <w:hyperlink r:id="rId27" w:history="1">
        <w:r w:rsidR="00DF43EB" w:rsidRPr="00504717">
          <w:rPr>
            <w:rStyle w:val="Hyperlink"/>
            <w:rFonts w:cstheme="minorHAnsi"/>
            <w:szCs w:val="20"/>
          </w:rPr>
          <w:t>https://www.art.gov.au/</w:t>
        </w:r>
      </w:hyperlink>
      <w:r w:rsidR="00AA414E" w:rsidRPr="00187A4E">
        <w:rPr>
          <w:rStyle w:val="Hyperlink"/>
          <w:rFonts w:cstheme="minorHAnsi"/>
          <w:szCs w:val="20"/>
        </w:rPr>
        <w:t>.</w:t>
      </w:r>
    </w:p>
    <w:p w14:paraId="54D0DF6D" w14:textId="77777777" w:rsidR="00715533" w:rsidRDefault="00715533" w:rsidP="00187A4E">
      <w:bookmarkStart w:id="53" w:name="_Toc142318766"/>
      <w:r>
        <w:br w:type="page"/>
      </w:r>
    </w:p>
    <w:p w14:paraId="27AD842A" w14:textId="3E83794A" w:rsidR="00020451" w:rsidRPr="00490F9A" w:rsidRDefault="00020451" w:rsidP="004C1281">
      <w:pPr>
        <w:pStyle w:val="Heading2"/>
      </w:pPr>
      <w:bookmarkStart w:id="54" w:name="_Toc170301989"/>
      <w:r>
        <w:lastRenderedPageBreak/>
        <w:t>Tradex Order</w:t>
      </w:r>
      <w:r w:rsidR="0058677A">
        <w:t xml:space="preserve"> Holder Obligations</w:t>
      </w:r>
      <w:bookmarkEnd w:id="54"/>
    </w:p>
    <w:p w14:paraId="5A1D2974" w14:textId="15B2E881" w:rsidR="00020451" w:rsidRPr="001523AD" w:rsidRDefault="00451FBC" w:rsidP="00187A4E">
      <w:r>
        <w:t xml:space="preserve">You must </w:t>
      </w:r>
      <w:r w:rsidR="00020451" w:rsidRPr="001523AD">
        <w:t xml:space="preserve">ensure that the goods imported under </w:t>
      </w:r>
      <w:r w:rsidR="009A5BAF">
        <w:t>your</w:t>
      </w:r>
      <w:r w:rsidR="00020451" w:rsidRPr="001523AD">
        <w:t xml:space="preserve"> Tradex Order </w:t>
      </w:r>
      <w:r>
        <w:t xml:space="preserve">comply with the </w:t>
      </w:r>
      <w:r w:rsidR="00020451" w:rsidRPr="001523AD">
        <w:t xml:space="preserve">Tradex Scheme Act and </w:t>
      </w:r>
      <w:r w:rsidR="00526B3C">
        <w:t xml:space="preserve">Tradex </w:t>
      </w:r>
      <w:r w:rsidR="00020451" w:rsidRPr="001523AD">
        <w:t>Regulations</w:t>
      </w:r>
      <w:r>
        <w:t>. This includes</w:t>
      </w:r>
      <w:r w:rsidR="00ED35B6">
        <w:t xml:space="preserve"> </w:t>
      </w:r>
      <w:r w:rsidR="00020451" w:rsidRPr="001523AD">
        <w:t>maintain</w:t>
      </w:r>
      <w:r w:rsidR="00ED35B6">
        <w:t>ing</w:t>
      </w:r>
      <w:r w:rsidR="00020451" w:rsidRPr="001523AD">
        <w:t xml:space="preserve"> </w:t>
      </w:r>
      <w:r>
        <w:t>adequate</w:t>
      </w:r>
      <w:r w:rsidRPr="001523AD">
        <w:t xml:space="preserve"> </w:t>
      </w:r>
      <w:r w:rsidR="00020451" w:rsidRPr="001523AD">
        <w:t>record keeping and accounting systems in relation to the nominated goods</w:t>
      </w:r>
      <w:r w:rsidR="00ED35B6">
        <w:t>,</w:t>
      </w:r>
      <w:r>
        <w:t xml:space="preserve"> and </w:t>
      </w:r>
      <w:r w:rsidR="009A5BAF">
        <w:t xml:space="preserve">by providing </w:t>
      </w:r>
      <w:r w:rsidR="00ED35B6">
        <w:t xml:space="preserve">assurance that you will </w:t>
      </w:r>
      <w:r>
        <w:t>self</w:t>
      </w:r>
      <w:r w:rsidR="006B0D2B">
        <w:t>-</w:t>
      </w:r>
      <w:r>
        <w:t>assess and pay back</w:t>
      </w:r>
      <w:r w:rsidR="00020451" w:rsidRPr="001523AD">
        <w:t xml:space="preserve"> any Tradex duty </w:t>
      </w:r>
      <w:r w:rsidR="00AA414E" w:rsidRPr="001523AD">
        <w:t>to the department</w:t>
      </w:r>
      <w:r w:rsidR="00AA414E">
        <w:t xml:space="preserve"> </w:t>
      </w:r>
      <w:r w:rsidR="00020451" w:rsidRPr="001523AD">
        <w:t xml:space="preserve">within 28 days </w:t>
      </w:r>
      <w:r>
        <w:t xml:space="preserve">of </w:t>
      </w:r>
      <w:r w:rsidR="00AA414E">
        <w:t xml:space="preserve">the goods </w:t>
      </w:r>
      <w:r w:rsidR="00010C1F">
        <w:t xml:space="preserve">being consumed in Australia or not exported within 12 months from </w:t>
      </w:r>
      <w:r w:rsidR="00AA414E">
        <w:t xml:space="preserve">the </w:t>
      </w:r>
      <w:r w:rsidR="00010C1F">
        <w:t>import date.</w:t>
      </w:r>
    </w:p>
    <w:p w14:paraId="280D5D64" w14:textId="40DC97B0" w:rsidR="0089144E" w:rsidRPr="00AA414E" w:rsidRDefault="0089144E" w:rsidP="00187A4E">
      <w:pPr>
        <w:pStyle w:val="Heading3"/>
        <w:rPr>
          <w:rStyle w:val="BookTitle"/>
          <w:b w:val="0"/>
          <w:bCs w:val="0"/>
          <w:i w:val="0"/>
          <w:iCs w:val="0"/>
          <w:spacing w:val="0"/>
        </w:rPr>
      </w:pPr>
      <w:bookmarkStart w:id="55" w:name="_Toc170301990"/>
      <w:r w:rsidRPr="00AA414E">
        <w:rPr>
          <w:rStyle w:val="BookTitle"/>
          <w:b w:val="0"/>
          <w:bCs w:val="0"/>
          <w:i w:val="0"/>
          <w:iCs w:val="0"/>
          <w:spacing w:val="0"/>
        </w:rPr>
        <w:t xml:space="preserve">Record </w:t>
      </w:r>
      <w:r w:rsidRPr="00187A4E">
        <w:rPr>
          <w:rStyle w:val="BookTitle"/>
          <w:b w:val="0"/>
          <w:bCs w:val="0"/>
          <w:i w:val="0"/>
          <w:iCs w:val="0"/>
          <w:spacing w:val="0"/>
        </w:rPr>
        <w:t>keeping</w:t>
      </w:r>
      <w:bookmarkEnd w:id="55"/>
    </w:p>
    <w:p w14:paraId="23C49368" w14:textId="77777777" w:rsidR="0089144E" w:rsidRDefault="0089144E" w:rsidP="00187A4E">
      <w:r>
        <w:t>You must have record-keeping and accounting systems that:</w:t>
      </w:r>
    </w:p>
    <w:p w14:paraId="4757BA99" w14:textId="3ACA9C45" w:rsidR="0089144E" w:rsidRPr="00187A4E" w:rsidRDefault="0089144E" w:rsidP="00187A4E">
      <w:pPr>
        <w:pStyle w:val="ListParagraph"/>
      </w:pPr>
      <w:r w:rsidRPr="00187A4E">
        <w:t xml:space="preserve">track the nominated goods from import until </w:t>
      </w:r>
      <w:r w:rsidR="00D65C05" w:rsidRPr="00187A4E">
        <w:t>they are</w:t>
      </w:r>
      <w:r w:rsidRPr="00187A4E">
        <w:t xml:space="preserve"> export</w:t>
      </w:r>
      <w:r w:rsidR="00D65C05" w:rsidRPr="00187A4E">
        <w:t>ed</w:t>
      </w:r>
    </w:p>
    <w:p w14:paraId="0B9E53CE" w14:textId="3228F5EC" w:rsidR="0089144E" w:rsidRPr="00187A4E" w:rsidRDefault="0089144E" w:rsidP="00187A4E">
      <w:pPr>
        <w:pStyle w:val="ListParagraph"/>
      </w:pPr>
      <w:r w:rsidRPr="00187A4E">
        <w:t xml:space="preserve">allow you to comply with the </w:t>
      </w:r>
      <w:r w:rsidR="00436361" w:rsidRPr="00187A4E">
        <w:t xml:space="preserve">Tradex </w:t>
      </w:r>
      <w:r w:rsidR="003C139A" w:rsidRPr="00187A4E">
        <w:t xml:space="preserve">Scheme </w:t>
      </w:r>
      <w:r w:rsidR="00436361" w:rsidRPr="00187A4E">
        <w:t>Act</w:t>
      </w:r>
      <w:r w:rsidRPr="00187A4E">
        <w:t> and </w:t>
      </w:r>
      <w:r w:rsidR="00526B3C" w:rsidRPr="00187A4E">
        <w:t>Tradex</w:t>
      </w:r>
      <w:r w:rsidR="00436361" w:rsidRPr="00187A4E">
        <w:t xml:space="preserve"> Regulations</w:t>
      </w:r>
      <w:r w:rsidRPr="00187A4E">
        <w:t>.</w:t>
      </w:r>
    </w:p>
    <w:p w14:paraId="5401BF9B" w14:textId="6FAC0C95" w:rsidR="0089144E" w:rsidRDefault="0089144E" w:rsidP="00187A4E">
      <w:r>
        <w:t>If you</w:t>
      </w:r>
      <w:r w:rsidRPr="00365EBE">
        <w:t xml:space="preserve"> hold a</w:t>
      </w:r>
      <w:r w:rsidR="003C139A">
        <w:t xml:space="preserve"> Tradex</w:t>
      </w:r>
      <w:r w:rsidRPr="00365EBE">
        <w:t xml:space="preserve"> </w:t>
      </w:r>
      <w:r w:rsidR="003C139A">
        <w:t>O</w:t>
      </w:r>
      <w:r w:rsidRPr="00365EBE">
        <w:t xml:space="preserve">rder </w:t>
      </w:r>
      <w:r>
        <w:t xml:space="preserve">and </w:t>
      </w:r>
      <w:r w:rsidR="009E0F11">
        <w:t>do not</w:t>
      </w:r>
      <w:r>
        <w:t xml:space="preserve"> or </w:t>
      </w:r>
      <w:r w:rsidR="009E0F11">
        <w:t>cannot</w:t>
      </w:r>
      <w:r>
        <w:t xml:space="preserve"> follow any of the above requirements, </w:t>
      </w:r>
      <w:r w:rsidR="00F247D2">
        <w:t xml:space="preserve">the department </w:t>
      </w:r>
      <w:r>
        <w:t>will revoke</w:t>
      </w:r>
      <w:r w:rsidR="00F247D2">
        <w:t xml:space="preserve"> the order</w:t>
      </w:r>
      <w:r>
        <w:t>.</w:t>
      </w:r>
    </w:p>
    <w:p w14:paraId="25F89943" w14:textId="1B19B360" w:rsidR="00064C78" w:rsidRDefault="0089144E" w:rsidP="00187A4E">
      <w:r w:rsidRPr="00681BE4">
        <w:t xml:space="preserve">As a Tradex </w:t>
      </w:r>
      <w:r w:rsidR="003C139A">
        <w:t>O</w:t>
      </w:r>
      <w:r w:rsidRPr="00681BE4">
        <w:t>rder holder, you must keep adequate and relevant records</w:t>
      </w:r>
      <w:r w:rsidR="00064C78">
        <w:t>:</w:t>
      </w:r>
    </w:p>
    <w:p w14:paraId="0EC700F0" w14:textId="60EA5B06" w:rsidR="00064C78" w:rsidRPr="00187A4E" w:rsidRDefault="0089144E" w:rsidP="00187A4E">
      <w:pPr>
        <w:pStyle w:val="ListParagraph"/>
      </w:pPr>
      <w:r w:rsidRPr="00187A4E">
        <w:t>in English</w:t>
      </w:r>
      <w:r w:rsidR="00064C78" w:rsidRPr="00187A4E">
        <w:t xml:space="preserve"> or in another form that enables them to be readily converted into writing in the English </w:t>
      </w:r>
      <w:r w:rsidR="000D1ECE" w:rsidRPr="00187A4E">
        <w:t>language</w:t>
      </w:r>
      <w:r w:rsidR="00F247D2" w:rsidRPr="00187A4E">
        <w:t>,</w:t>
      </w:r>
      <w:r w:rsidRPr="00187A4E">
        <w:t xml:space="preserve"> </w:t>
      </w:r>
    </w:p>
    <w:p w14:paraId="622078DF" w14:textId="131E5C48" w:rsidR="0089144E" w:rsidRPr="00187A4E" w:rsidRDefault="0089144E" w:rsidP="00187A4E">
      <w:pPr>
        <w:pStyle w:val="ListParagraph"/>
      </w:pPr>
      <w:r w:rsidRPr="00187A4E">
        <w:t>in a place in Australia for 5 years in respect of the nominated goods from the time of importation to exportation.</w:t>
      </w:r>
    </w:p>
    <w:p w14:paraId="12C9DB81" w14:textId="3156E848" w:rsidR="0089144E" w:rsidRDefault="0089144E" w:rsidP="00187A4E">
      <w:r w:rsidRPr="00681BE4">
        <w:t xml:space="preserve">If a third party exports the goods, </w:t>
      </w:r>
      <w:r w:rsidR="00F247D2">
        <w:t xml:space="preserve">you as </w:t>
      </w:r>
      <w:r w:rsidRPr="00681BE4">
        <w:t>the order holder</w:t>
      </w:r>
      <w:r w:rsidR="00F247D2">
        <w:t xml:space="preserve"> are</w:t>
      </w:r>
      <w:r w:rsidRPr="00681BE4">
        <w:t xml:space="preserve"> responsib</w:t>
      </w:r>
      <w:r w:rsidR="00F247D2">
        <w:t xml:space="preserve">le for </w:t>
      </w:r>
      <w:r w:rsidRPr="00681BE4">
        <w:t>ensur</w:t>
      </w:r>
      <w:r w:rsidR="00F247D2">
        <w:t>ing</w:t>
      </w:r>
      <w:r w:rsidRPr="00681BE4">
        <w:t xml:space="preserve"> you have access to those records. You must be able to provide copies of your records and the third party’s records to the department if requested.</w:t>
      </w:r>
    </w:p>
    <w:p w14:paraId="6C99422A" w14:textId="77777777" w:rsidR="00672FF8" w:rsidRPr="008B320A" w:rsidRDefault="00672FF8" w:rsidP="00187A4E">
      <w:r w:rsidRPr="009F1857">
        <w:t xml:space="preserve">Adequate record keeping must include details of full particulars of the entry of the goods for home consumption and all subsequent dealings and transactions </w:t>
      </w:r>
      <w:r w:rsidRPr="009415F9">
        <w:t>until the goods are received in the consigned country</w:t>
      </w:r>
      <w:r w:rsidRPr="009F1857">
        <w:t xml:space="preserve"> including:</w:t>
      </w:r>
    </w:p>
    <w:tbl>
      <w:tblPr>
        <w:tblStyle w:val="AusIndustryTable"/>
        <w:tblW w:w="0" w:type="auto"/>
        <w:tblLook w:val="04A0" w:firstRow="1" w:lastRow="0" w:firstColumn="1" w:lastColumn="0" w:noHBand="0" w:noVBand="1"/>
      </w:tblPr>
      <w:tblGrid>
        <w:gridCol w:w="1921"/>
        <w:gridCol w:w="6857"/>
      </w:tblGrid>
      <w:tr w:rsidR="00672FF8" w14:paraId="4CDD8BA3" w14:textId="77777777" w:rsidTr="00410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40A968" w14:textId="77777777" w:rsidR="00672FF8" w:rsidRPr="00187A4E" w:rsidRDefault="00672FF8" w:rsidP="00187A4E">
            <w:pPr>
              <w:rPr>
                <w:b w:val="0"/>
                <w:szCs w:val="20"/>
              </w:rPr>
            </w:pPr>
            <w:r w:rsidRPr="00187A4E">
              <w:rPr>
                <w:szCs w:val="20"/>
              </w:rPr>
              <w:t>Stages from import to export</w:t>
            </w:r>
          </w:p>
        </w:tc>
        <w:tc>
          <w:tcPr>
            <w:tcW w:w="0" w:type="auto"/>
          </w:tcPr>
          <w:p w14:paraId="6FAFF882" w14:textId="77777777" w:rsidR="00672FF8" w:rsidRPr="00187A4E" w:rsidRDefault="00672FF8" w:rsidP="00187A4E">
            <w:pPr>
              <w:cnfStyle w:val="100000000000" w:firstRow="1" w:lastRow="0" w:firstColumn="0" w:lastColumn="0" w:oddVBand="0" w:evenVBand="0" w:oddHBand="0" w:evenHBand="0" w:firstRowFirstColumn="0" w:firstRowLastColumn="0" w:lastRowFirstColumn="0" w:lastRowLastColumn="0"/>
              <w:rPr>
                <w:b w:val="0"/>
                <w:szCs w:val="20"/>
              </w:rPr>
            </w:pPr>
            <w:r w:rsidRPr="00187A4E">
              <w:rPr>
                <w:szCs w:val="20"/>
              </w:rPr>
              <w:t>Evidence</w:t>
            </w:r>
          </w:p>
        </w:tc>
      </w:tr>
      <w:tr w:rsidR="00672FF8" w14:paraId="349EE18D"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6A42C228" w14:textId="77777777" w:rsidR="00672FF8" w:rsidRPr="00187A4E" w:rsidRDefault="00672FF8" w:rsidP="00187A4E">
            <w:pPr>
              <w:rPr>
                <w:sz w:val="20"/>
                <w:szCs w:val="20"/>
              </w:rPr>
            </w:pPr>
            <w:r w:rsidRPr="00187A4E">
              <w:rPr>
                <w:iCs/>
                <w:sz w:val="20"/>
                <w:szCs w:val="20"/>
              </w:rPr>
              <w:t>Send purchase order to overseas supplier</w:t>
            </w:r>
          </w:p>
        </w:tc>
        <w:tc>
          <w:tcPr>
            <w:tcW w:w="0" w:type="auto"/>
          </w:tcPr>
          <w:p w14:paraId="1E1F5F7C"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Goods identified by purchase order number and description.</w:t>
            </w:r>
          </w:p>
        </w:tc>
      </w:tr>
      <w:tr w:rsidR="00672FF8" w14:paraId="3D5E00D5"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4E3FBF54" w14:textId="77777777" w:rsidR="00672FF8" w:rsidRPr="00187A4E" w:rsidRDefault="00672FF8" w:rsidP="00187A4E">
            <w:pPr>
              <w:rPr>
                <w:iCs/>
                <w:sz w:val="20"/>
                <w:szCs w:val="20"/>
              </w:rPr>
            </w:pPr>
            <w:r w:rsidRPr="00187A4E">
              <w:rPr>
                <w:iCs/>
                <w:sz w:val="20"/>
                <w:szCs w:val="20"/>
              </w:rPr>
              <w:t>Receive invoice from overseas supplier</w:t>
            </w:r>
          </w:p>
        </w:tc>
        <w:tc>
          <w:tcPr>
            <w:tcW w:w="0" w:type="auto"/>
          </w:tcPr>
          <w:p w14:paraId="7E9BE2F0"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The invoice links to the purchase order by using the purchase order number, description, supplier name and price of goods.</w:t>
            </w:r>
          </w:p>
        </w:tc>
      </w:tr>
      <w:tr w:rsidR="00672FF8" w14:paraId="0FB14987"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5A52B7BB" w14:textId="77777777" w:rsidR="00672FF8" w:rsidRPr="00187A4E" w:rsidRDefault="00672FF8" w:rsidP="00187A4E">
            <w:pPr>
              <w:rPr>
                <w:sz w:val="20"/>
                <w:szCs w:val="20"/>
              </w:rPr>
            </w:pPr>
            <w:r w:rsidRPr="00187A4E">
              <w:rPr>
                <w:iCs/>
                <w:sz w:val="20"/>
                <w:szCs w:val="20"/>
              </w:rPr>
              <w:t>Pay overseas supplier</w:t>
            </w:r>
          </w:p>
        </w:tc>
        <w:tc>
          <w:tcPr>
            <w:tcW w:w="0" w:type="auto"/>
          </w:tcPr>
          <w:p w14:paraId="325F5E4C"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Evidence of price paid includes bank transfers, letter of credit, EFT, credit card.</w:t>
            </w:r>
          </w:p>
        </w:tc>
      </w:tr>
      <w:tr w:rsidR="00672FF8" w14:paraId="20FA9EB1"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1F5E7133" w14:textId="77777777" w:rsidR="00672FF8" w:rsidRPr="00187A4E" w:rsidRDefault="00672FF8" w:rsidP="00187A4E">
            <w:pPr>
              <w:rPr>
                <w:sz w:val="20"/>
                <w:szCs w:val="20"/>
              </w:rPr>
            </w:pPr>
            <w:r w:rsidRPr="00187A4E">
              <w:rPr>
                <w:sz w:val="20"/>
                <w:szCs w:val="20"/>
              </w:rPr>
              <w:t>Enter goods for home consumption</w:t>
            </w:r>
          </w:p>
        </w:tc>
        <w:tc>
          <w:tcPr>
            <w:tcW w:w="0" w:type="auto"/>
          </w:tcPr>
          <w:p w14:paraId="05296B00"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rFonts w:cs="Segoe UI"/>
                <w:iCs/>
                <w:szCs w:val="20"/>
              </w:rPr>
              <w:t xml:space="preserve">Entry of goods for home consumption is made by communicating to ABF an import declaration. </w:t>
            </w:r>
            <w:r w:rsidRPr="00187A4E">
              <w:rPr>
                <w:szCs w:val="20"/>
              </w:rPr>
              <w:t>The Customs entry document links to previous documents by description and price of goods, supplier name and date of entry.</w:t>
            </w:r>
          </w:p>
        </w:tc>
      </w:tr>
      <w:tr w:rsidR="00672FF8" w14:paraId="0AEFC1B4"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49A6AEE9" w14:textId="77777777" w:rsidR="00672FF8" w:rsidRPr="00187A4E" w:rsidRDefault="00672FF8" w:rsidP="00187A4E">
            <w:pPr>
              <w:rPr>
                <w:iCs/>
                <w:sz w:val="20"/>
                <w:szCs w:val="20"/>
              </w:rPr>
            </w:pPr>
            <w:r w:rsidRPr="00187A4E">
              <w:rPr>
                <w:iCs/>
                <w:sz w:val="20"/>
                <w:szCs w:val="20"/>
              </w:rPr>
              <w:t>Import Declaration</w:t>
            </w:r>
          </w:p>
        </w:tc>
        <w:tc>
          <w:tcPr>
            <w:tcW w:w="0" w:type="auto"/>
          </w:tcPr>
          <w:p w14:paraId="1A910CD8" w14:textId="77777777" w:rsidR="00672FF8" w:rsidRPr="00187A4E" w:rsidRDefault="00672FF8" w:rsidP="00187A4E">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187A4E">
              <w:rPr>
                <w:lang w:eastAsia="en-AU"/>
              </w:rPr>
              <w:t>Nature 10</w:t>
            </w:r>
          </w:p>
          <w:p w14:paraId="49A67909" w14:textId="77777777" w:rsidR="00672FF8" w:rsidRPr="00187A4E" w:rsidRDefault="00672FF8" w:rsidP="00187A4E">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187A4E">
              <w:rPr>
                <w:lang w:eastAsia="en-AU"/>
              </w:rPr>
              <w:t>Self Assessed Clearance (SAC) Declaration</w:t>
            </w:r>
          </w:p>
          <w:p w14:paraId="127E1B73" w14:textId="045E92C0" w:rsidR="00672FF8" w:rsidRPr="00187A4E" w:rsidRDefault="00672FF8" w:rsidP="00187A4E">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187A4E">
              <w:rPr>
                <w:lang w:eastAsia="en-AU"/>
              </w:rPr>
              <w:t>Warehouse Declarations</w:t>
            </w:r>
            <w:r w:rsidR="006A462A">
              <w:rPr>
                <w:lang w:eastAsia="en-AU"/>
              </w:rPr>
              <w:t xml:space="preserve"> (Nature 20)</w:t>
            </w:r>
            <w:r w:rsidRPr="00187A4E">
              <w:rPr>
                <w:lang w:eastAsia="en-AU"/>
              </w:rPr>
              <w:t>.</w:t>
            </w:r>
          </w:p>
        </w:tc>
      </w:tr>
      <w:tr w:rsidR="00672FF8" w14:paraId="35217BE4"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73ACF1E0" w14:textId="5CB12658" w:rsidR="00672FF8" w:rsidRPr="00187A4E" w:rsidRDefault="00672FF8" w:rsidP="00187A4E">
            <w:pPr>
              <w:rPr>
                <w:sz w:val="20"/>
                <w:szCs w:val="20"/>
              </w:rPr>
            </w:pPr>
            <w:r w:rsidRPr="00187A4E">
              <w:rPr>
                <w:iCs/>
                <w:sz w:val="20"/>
                <w:szCs w:val="20"/>
              </w:rPr>
              <w:lastRenderedPageBreak/>
              <w:t xml:space="preserve">Receive goods into inventory or stock </w:t>
            </w:r>
          </w:p>
        </w:tc>
        <w:tc>
          <w:tcPr>
            <w:tcW w:w="0" w:type="auto"/>
          </w:tcPr>
          <w:p w14:paraId="4CC82432"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Your company’s inventory or stock records systems should be updated with identifying details for goods imported under Tradex. These details will link with details recorded on the customs entry document.</w:t>
            </w:r>
          </w:p>
        </w:tc>
      </w:tr>
      <w:tr w:rsidR="00672FF8" w14:paraId="08E43CBF"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25DDC77B" w14:textId="3DC53339" w:rsidR="00672FF8" w:rsidRPr="00187A4E" w:rsidRDefault="00672FF8" w:rsidP="00187A4E">
            <w:pPr>
              <w:rPr>
                <w:iCs/>
                <w:sz w:val="20"/>
                <w:szCs w:val="20"/>
              </w:rPr>
            </w:pPr>
            <w:r w:rsidRPr="00187A4E">
              <w:rPr>
                <w:iCs/>
                <w:sz w:val="20"/>
                <w:szCs w:val="20"/>
              </w:rPr>
              <w:t>Transportation, Warehousing</w:t>
            </w:r>
            <w:r w:rsidR="00187A4E">
              <w:rPr>
                <w:iCs/>
                <w:szCs w:val="20"/>
              </w:rPr>
              <w:t xml:space="preserve"> </w:t>
            </w:r>
            <w:r w:rsidRPr="00187A4E">
              <w:rPr>
                <w:iCs/>
                <w:sz w:val="20"/>
                <w:szCs w:val="20"/>
              </w:rPr>
              <w:t>And Storage</w:t>
            </w:r>
          </w:p>
        </w:tc>
        <w:tc>
          <w:tcPr>
            <w:tcW w:w="0" w:type="auto"/>
          </w:tcPr>
          <w:p w14:paraId="483A8A9B"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iCs/>
                <w:szCs w:val="20"/>
              </w:rPr>
            </w:pPr>
            <w:r w:rsidRPr="00187A4E">
              <w:rPr>
                <w:iCs/>
                <w:szCs w:val="20"/>
              </w:rPr>
              <w:t>Records will describe location (ie physical address) of all storage, transportation, warehouse locations from import to export or disposal including government, customs or bonded storage. Records of cargo and carriers (ie Fedex or similar) records must detail the shipment route including any transhipment, temporary storage or other activity (ie cross docking) including transit through free port environments.</w:t>
            </w:r>
          </w:p>
        </w:tc>
      </w:tr>
      <w:tr w:rsidR="00672FF8" w14:paraId="587D8C2F"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36FB1619" w14:textId="77777777" w:rsidR="00672FF8" w:rsidRPr="00187A4E" w:rsidRDefault="00672FF8" w:rsidP="00187A4E">
            <w:pPr>
              <w:rPr>
                <w:sz w:val="20"/>
                <w:szCs w:val="20"/>
              </w:rPr>
            </w:pPr>
            <w:r w:rsidRPr="00187A4E">
              <w:rPr>
                <w:iCs/>
                <w:sz w:val="20"/>
                <w:szCs w:val="20"/>
              </w:rPr>
              <w:t xml:space="preserve">Process goods </w:t>
            </w:r>
          </w:p>
        </w:tc>
        <w:tc>
          <w:tcPr>
            <w:tcW w:w="0" w:type="auto"/>
          </w:tcPr>
          <w:p w14:paraId="598B8516"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The bills of materials show wastage and ratio of input goods (imported) to output goods (export) if the goods are processed</w:t>
            </w:r>
          </w:p>
        </w:tc>
      </w:tr>
      <w:tr w:rsidR="00672FF8" w14:paraId="2EFB3F8D"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6377D631" w14:textId="77777777" w:rsidR="00672FF8" w:rsidRPr="00187A4E" w:rsidRDefault="00672FF8" w:rsidP="00187A4E">
            <w:pPr>
              <w:rPr>
                <w:sz w:val="20"/>
                <w:szCs w:val="20"/>
              </w:rPr>
            </w:pPr>
            <w:r w:rsidRPr="00187A4E">
              <w:rPr>
                <w:iCs/>
                <w:sz w:val="20"/>
                <w:szCs w:val="20"/>
              </w:rPr>
              <w:t>Domestic sales</w:t>
            </w:r>
          </w:p>
        </w:tc>
        <w:tc>
          <w:tcPr>
            <w:tcW w:w="0" w:type="auto"/>
          </w:tcPr>
          <w:p w14:paraId="0760FDF4"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Evidence of goods imported under Tradex being sold or consumed in Australia.</w:t>
            </w:r>
          </w:p>
        </w:tc>
      </w:tr>
      <w:tr w:rsidR="00672FF8" w14:paraId="6BDD0AD5"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77C1C9C1" w14:textId="77777777" w:rsidR="00672FF8" w:rsidRPr="00187A4E" w:rsidRDefault="00672FF8" w:rsidP="00187A4E">
            <w:pPr>
              <w:rPr>
                <w:sz w:val="20"/>
                <w:szCs w:val="20"/>
              </w:rPr>
            </w:pPr>
            <w:r w:rsidRPr="00187A4E">
              <w:rPr>
                <w:iCs/>
                <w:sz w:val="20"/>
                <w:szCs w:val="20"/>
              </w:rPr>
              <w:t>Export sales</w:t>
            </w:r>
          </w:p>
        </w:tc>
        <w:tc>
          <w:tcPr>
            <w:tcW w:w="0" w:type="auto"/>
          </w:tcPr>
          <w:p w14:paraId="3F639F24" w14:textId="01F50214"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szCs w:val="20"/>
              </w:rPr>
            </w:pPr>
            <w:r w:rsidRPr="00187A4E">
              <w:rPr>
                <w:iCs/>
                <w:szCs w:val="20"/>
              </w:rPr>
              <w:t xml:space="preserve">Payment advice and copy of bank statement can also provide evidence of export sale. </w:t>
            </w:r>
          </w:p>
        </w:tc>
      </w:tr>
      <w:tr w:rsidR="00672FF8" w14:paraId="5972F35A" w14:textId="77777777" w:rsidTr="004102D6">
        <w:tc>
          <w:tcPr>
            <w:cnfStyle w:val="001000000000" w:firstRow="0" w:lastRow="0" w:firstColumn="1" w:lastColumn="0" w:oddVBand="0" w:evenVBand="0" w:oddHBand="0" w:evenHBand="0" w:firstRowFirstColumn="0" w:firstRowLastColumn="0" w:lastRowFirstColumn="0" w:lastRowLastColumn="0"/>
            <w:tcW w:w="0" w:type="auto"/>
          </w:tcPr>
          <w:p w14:paraId="19F576A8" w14:textId="77777777" w:rsidR="00672FF8" w:rsidRPr="00187A4E" w:rsidRDefault="00672FF8" w:rsidP="00187A4E">
            <w:pPr>
              <w:rPr>
                <w:iCs/>
                <w:sz w:val="20"/>
                <w:szCs w:val="20"/>
              </w:rPr>
            </w:pPr>
            <w:r w:rsidRPr="00187A4E">
              <w:rPr>
                <w:iCs/>
                <w:sz w:val="20"/>
                <w:szCs w:val="20"/>
              </w:rPr>
              <w:t>Export evidence</w:t>
            </w:r>
          </w:p>
        </w:tc>
        <w:tc>
          <w:tcPr>
            <w:tcW w:w="0" w:type="auto"/>
          </w:tcPr>
          <w:p w14:paraId="78D5C672" w14:textId="0E35B479"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iCs/>
                <w:szCs w:val="20"/>
              </w:rPr>
            </w:pPr>
            <w:r w:rsidRPr="00187A4E">
              <w:rPr>
                <w:iCs/>
                <w:szCs w:val="20"/>
              </w:rPr>
              <w:t>A bill of lading or an airway bill represents good evidence of export</w:t>
            </w:r>
            <w:r w:rsidR="00187A4E">
              <w:rPr>
                <w:iCs/>
                <w:szCs w:val="20"/>
              </w:rPr>
              <w:t xml:space="preserve"> –</w:t>
            </w:r>
            <w:r w:rsidRPr="00187A4E">
              <w:rPr>
                <w:iCs/>
                <w:szCs w:val="20"/>
              </w:rPr>
              <w:t xml:space="preserve"> this document should contain an Export Declaration Number (EDN) – your customs broker can record this EDN on the bill of lading.</w:t>
            </w:r>
          </w:p>
          <w:p w14:paraId="3C2B0531" w14:textId="77777777" w:rsidR="00672FF8" w:rsidRPr="00187A4E" w:rsidRDefault="00672FF8" w:rsidP="00187A4E">
            <w:pPr>
              <w:cnfStyle w:val="000000000000" w:firstRow="0" w:lastRow="0" w:firstColumn="0" w:lastColumn="0" w:oddVBand="0" w:evenVBand="0" w:oddHBand="0" w:evenHBand="0" w:firstRowFirstColumn="0" w:firstRowLastColumn="0" w:lastRowFirstColumn="0" w:lastRowLastColumn="0"/>
              <w:rPr>
                <w:iCs/>
                <w:szCs w:val="20"/>
              </w:rPr>
            </w:pPr>
            <w:r w:rsidRPr="00187A4E">
              <w:rPr>
                <w:iCs/>
                <w:szCs w:val="20"/>
              </w:rPr>
              <w:t>Tourist Refund Scheme (TRS) data does not provide adequate proof of export as this data cannot be traced back to a line on the import documentation. TRS data also does not provide assurance that the goods have not been consumed before they leave Australia.</w:t>
            </w:r>
          </w:p>
        </w:tc>
      </w:tr>
    </w:tbl>
    <w:p w14:paraId="503700E7" w14:textId="77777777" w:rsidR="00DD1CFB" w:rsidRDefault="00DD1CFB" w:rsidP="00DD1CFB">
      <w:pPr>
        <w:pStyle w:val="Heading3"/>
      </w:pPr>
      <w:bookmarkStart w:id="56" w:name="_Toc170301991"/>
      <w:r>
        <w:t>Ethical gold dealing assurance</w:t>
      </w:r>
      <w:bookmarkEnd w:id="56"/>
    </w:p>
    <w:p w14:paraId="14A4B51C" w14:textId="0EFF6A4F" w:rsidR="009A5BAF" w:rsidRDefault="00DD1CFB" w:rsidP="00187A4E">
      <w:r w:rsidRPr="009415F9">
        <w:t>The Tradex Scheme promotes ethical dealing and treatment of gold in line with the World Gold Council</w:t>
      </w:r>
      <w:r w:rsidRPr="009415F9">
        <w:rPr>
          <w:rStyle w:val="FootnoteReference"/>
          <w:sz w:val="22"/>
        </w:rPr>
        <w:footnoteReference w:id="2"/>
      </w:r>
      <w:r w:rsidRPr="009415F9">
        <w:t xml:space="preserve"> (WGC) standards.</w:t>
      </w:r>
      <w:r w:rsidR="009A5BAF" w:rsidRPr="009A5BAF">
        <w:t xml:space="preserve"> </w:t>
      </w:r>
      <w:r w:rsidR="009A5BAF" w:rsidRPr="009415F9">
        <w:t>The WGC endorse</w:t>
      </w:r>
      <w:r w:rsidR="009A5BAF">
        <w:t>s</w:t>
      </w:r>
      <w:r w:rsidR="009A5BAF" w:rsidRPr="009415F9">
        <w:t xml:space="preserve"> the London Bullion Market Association accreditations framework. Gold that is considered by WGC to be unethically sourced such as from illegal mining or unregulated trade environments, or sourced related to criminal enterprise, is not eligible to be included in the Tradex Scheme. Gold dealing in sales, refining and trade using any methodology that causes purposeful deprivation to the Australian government – or any other world government – through the loss of taxation or customs revenue, tariffs or excise is not an eligible commodity for inclusion in the Tradex Scheme.</w:t>
      </w:r>
    </w:p>
    <w:p w14:paraId="692A83BE" w14:textId="5D5CA603" w:rsidR="004102D6" w:rsidRDefault="00DD1CFB" w:rsidP="00187A4E">
      <w:r w:rsidRPr="009F73D9">
        <w:t xml:space="preserve">Applicants </w:t>
      </w:r>
      <w:r w:rsidR="000418C3" w:rsidRPr="009F73D9">
        <w:t>to</w:t>
      </w:r>
      <w:r w:rsidRPr="009F73D9">
        <w:t xml:space="preserve"> the Tradex Scheme must undertake due diligence measures to give assurance that </w:t>
      </w:r>
      <w:r w:rsidR="00240012" w:rsidRPr="009F73D9">
        <w:t>the</w:t>
      </w:r>
      <w:r w:rsidR="00767842" w:rsidRPr="009F73D9">
        <w:t>ir</w:t>
      </w:r>
      <w:r w:rsidR="00240012" w:rsidRPr="009F73D9">
        <w:t xml:space="preserve"> </w:t>
      </w:r>
      <w:r w:rsidRPr="009F73D9">
        <w:t xml:space="preserve">gold </w:t>
      </w:r>
      <w:r w:rsidR="00767842" w:rsidRPr="009F73D9">
        <w:t xml:space="preserve">is </w:t>
      </w:r>
      <w:r w:rsidRPr="009F73D9">
        <w:t>being</w:t>
      </w:r>
      <w:r w:rsidR="00240012" w:rsidRPr="009F73D9">
        <w:t xml:space="preserve"> ethically</w:t>
      </w:r>
      <w:r w:rsidRPr="009F73D9">
        <w:t xml:space="preserve"> sourced . Applicants must maintain detailed records for access by the department – under audit or review – that show the origin and source of </w:t>
      </w:r>
      <w:r w:rsidRPr="009F73D9">
        <w:rPr>
          <w:u w:val="single"/>
        </w:rPr>
        <w:t>all</w:t>
      </w:r>
      <w:r w:rsidRPr="009F73D9">
        <w:t xml:space="preserve"> gold, including scrap or recycled gold</w:t>
      </w:r>
      <w:r w:rsidR="00240012" w:rsidRPr="009F73D9">
        <w:t>.</w:t>
      </w:r>
      <w:r w:rsidRPr="009F73D9">
        <w:t>This is a requirement you must fulfil as a participant of the Tradex Scheme. The WGC provide</w:t>
      </w:r>
      <w:r w:rsidR="009A5BAF" w:rsidRPr="009F73D9">
        <w:t>s</w:t>
      </w:r>
      <w:r w:rsidRPr="009F73D9">
        <w:t xml:space="preserve"> advice and guidance, in several languages, for applicants dealing in gold and further describe supply chain transparency behaviours.</w:t>
      </w:r>
      <w:r w:rsidRPr="009415F9">
        <w:t xml:space="preserve"> </w:t>
      </w:r>
    </w:p>
    <w:p w14:paraId="331A1923" w14:textId="77777777" w:rsidR="004102D6" w:rsidRDefault="004102D6">
      <w:pPr>
        <w:spacing w:before="0" w:after="0"/>
      </w:pPr>
      <w:r>
        <w:br w:type="page"/>
      </w:r>
    </w:p>
    <w:p w14:paraId="0F9951F4" w14:textId="2F9243D6" w:rsidR="00AA414E" w:rsidRDefault="00AA414E" w:rsidP="00031212">
      <w:pPr>
        <w:pStyle w:val="Heading3"/>
      </w:pPr>
      <w:bookmarkStart w:id="57" w:name="_Toc170301992"/>
      <w:r>
        <w:lastRenderedPageBreak/>
        <w:t>Record-keeping requirements for imported gold</w:t>
      </w:r>
      <w:bookmarkEnd w:id="57"/>
    </w:p>
    <w:p w14:paraId="17648CC9" w14:textId="70B30470" w:rsidR="00A61E9F" w:rsidRPr="009F1857" w:rsidRDefault="00141F51" w:rsidP="00187A4E">
      <w:r w:rsidRPr="009415F9">
        <w:t>Imported gold that is refined into gold bullion</w:t>
      </w:r>
      <w:r w:rsidR="007B4E4F" w:rsidRPr="009415F9">
        <w:t xml:space="preserve"> for export</w:t>
      </w:r>
      <w:r w:rsidRPr="009415F9">
        <w:t xml:space="preserve"> must be refined at an accredited refiner to be eligible under Tradex. Non</w:t>
      </w:r>
      <w:r w:rsidR="006B0D2B" w:rsidRPr="009415F9">
        <w:t>-</w:t>
      </w:r>
      <w:r w:rsidRPr="009415F9">
        <w:t>accredited refineries are not able to give the Delegate assurance that the produced gold bars meet weight and purity standards</w:t>
      </w:r>
      <w:r w:rsidR="00DC1E31" w:rsidRPr="009415F9">
        <w:t xml:space="preserve">. </w:t>
      </w:r>
      <w:r w:rsidR="003443E9" w:rsidRPr="009415F9">
        <w:t>For non-accredited refineries</w:t>
      </w:r>
      <w:r w:rsidR="00DC1E31" w:rsidRPr="009415F9">
        <w:t xml:space="preserve"> the Delegate is unlikely to be satisfied </w:t>
      </w:r>
      <w:r w:rsidRPr="009415F9">
        <w:t>that adequate record keeping and accounting systems are in place in respect of the nominated goods until they are exported.</w:t>
      </w:r>
      <w:r w:rsidR="00DF2E34" w:rsidRPr="009F1857">
        <w:t xml:space="preserve"> </w:t>
      </w:r>
    </w:p>
    <w:p w14:paraId="62919A2A" w14:textId="77777777" w:rsidR="00A61E9F" w:rsidRPr="009415F9" w:rsidRDefault="00A61E9F" w:rsidP="00FD144A">
      <w:pPr>
        <w:rPr>
          <w:iCs/>
          <w:lang w:eastAsia="en-AU"/>
        </w:rPr>
      </w:pPr>
      <w:r w:rsidRPr="009415F9">
        <w:rPr>
          <w:lang w:eastAsia="en-AU"/>
        </w:rPr>
        <w:t>Accreditation can be in the form of:</w:t>
      </w:r>
    </w:p>
    <w:p w14:paraId="5C5F1DA7" w14:textId="1EBE22AB" w:rsidR="00A61E9F" w:rsidRPr="00187A4E" w:rsidRDefault="003443E9" w:rsidP="00187A4E">
      <w:pPr>
        <w:pStyle w:val="ListParagraph"/>
      </w:pPr>
      <w:r w:rsidRPr="00187A4E">
        <w:t>a</w:t>
      </w:r>
      <w:r w:rsidR="00A61E9F" w:rsidRPr="00187A4E">
        <w:t>ccredited and compliant with the London Bullion Market Association (LBMA)</w:t>
      </w:r>
    </w:p>
    <w:p w14:paraId="6012F01D" w14:textId="4F5245B9" w:rsidR="00A61E9F" w:rsidRPr="00187A4E" w:rsidRDefault="00A61E9F" w:rsidP="00187A4E">
      <w:pPr>
        <w:pStyle w:val="ListParagraph"/>
      </w:pPr>
      <w:r w:rsidRPr="00187A4E">
        <w:t xml:space="preserve">Public Testing Service compliant with </w:t>
      </w:r>
      <w:r w:rsidR="00F258E3" w:rsidRPr="00187A4E">
        <w:t xml:space="preserve">the relevant </w:t>
      </w:r>
      <w:r w:rsidRPr="00187A4E">
        <w:t>International Organization for Standardization</w:t>
      </w:r>
      <w:r w:rsidR="00F258E3" w:rsidRPr="00187A4E">
        <w:t xml:space="preserve"> (ISO</w:t>
      </w:r>
      <w:r w:rsidRPr="00187A4E">
        <w:t>)</w:t>
      </w:r>
      <w:r w:rsidR="00F258E3" w:rsidRPr="00187A4E">
        <w:t xml:space="preserve"> standard.</w:t>
      </w:r>
      <w:r w:rsidRPr="00187A4E">
        <w:t xml:space="preserve"> </w:t>
      </w:r>
    </w:p>
    <w:p w14:paraId="3A3005EE" w14:textId="2249AD57" w:rsidR="00A61E9F" w:rsidRPr="00187A4E" w:rsidRDefault="00A61E9F" w:rsidP="00187A4E">
      <w:pPr>
        <w:pStyle w:val="ListParagraph"/>
      </w:pPr>
      <w:r w:rsidRPr="00187A4E">
        <w:t>International Electrotechnical Commission</w:t>
      </w:r>
      <w:r w:rsidR="00F258E3" w:rsidRPr="00187A4E">
        <w:t xml:space="preserve"> (IEC</w:t>
      </w:r>
      <w:r w:rsidRPr="00187A4E">
        <w:t>) Standard 17025:2005 accredited and for the analysis of gold, silver and their alloys </w:t>
      </w:r>
    </w:p>
    <w:p w14:paraId="70E0659B" w14:textId="7F8BA1FE" w:rsidR="00A61E9F" w:rsidRPr="00187A4E" w:rsidRDefault="003443E9" w:rsidP="00187A4E">
      <w:pPr>
        <w:pStyle w:val="ListParagraph"/>
      </w:pPr>
      <w:r w:rsidRPr="00187A4E">
        <w:t>a</w:t>
      </w:r>
      <w:r w:rsidR="00A61E9F" w:rsidRPr="00187A4E">
        <w:t>ccredited and compliant with Australian Standards (AS) and International Laboratory Accreditation Cooperation</w:t>
      </w:r>
      <w:r w:rsidR="00F258E3" w:rsidRPr="00187A4E">
        <w:t xml:space="preserve"> (ILAC</w:t>
      </w:r>
      <w:r w:rsidR="00A61E9F" w:rsidRPr="00187A4E">
        <w:t>)</w:t>
      </w:r>
      <w:r w:rsidRPr="00187A4E">
        <w:t>.</w:t>
      </w:r>
    </w:p>
    <w:p w14:paraId="23CE4080" w14:textId="36529DF3" w:rsidR="00141F51" w:rsidRPr="009F1857" w:rsidRDefault="00DF2E34" w:rsidP="00187A4E">
      <w:r w:rsidRPr="009415F9">
        <w:t>This policy enhancement to the Tradex Scheme’s record keeping requirements is to support integrity of Tradex concessions. It clarifies the Tradex Scheme legislation to ensure the Tradex liability is collected as intended and does not affect genuine Tradex participants.</w:t>
      </w:r>
    </w:p>
    <w:p w14:paraId="7B048FB0" w14:textId="35D2E8E2" w:rsidR="00020451" w:rsidRDefault="003F170E" w:rsidP="004C1281">
      <w:pPr>
        <w:pStyle w:val="Heading3"/>
      </w:pPr>
      <w:bookmarkStart w:id="58" w:name="_Toc170301993"/>
      <w:r>
        <w:t>Non-</w:t>
      </w:r>
      <w:r w:rsidR="00020451">
        <w:t>fulfil</w:t>
      </w:r>
      <w:r>
        <w:t>ment of a Tradex</w:t>
      </w:r>
      <w:r w:rsidR="00020451">
        <w:t xml:space="preserve"> obligation</w:t>
      </w:r>
      <w:bookmarkEnd w:id="58"/>
    </w:p>
    <w:p w14:paraId="37A9E5D8" w14:textId="57D4B6F7" w:rsidR="00020451" w:rsidRPr="00D97543" w:rsidRDefault="003F170E" w:rsidP="00187A4E">
      <w:r w:rsidRPr="00D97543">
        <w:t>Part 9</w:t>
      </w:r>
      <w:r w:rsidR="00C744F2">
        <w:t xml:space="preserve"> of the</w:t>
      </w:r>
      <w:r w:rsidRPr="00D97543">
        <w:rPr>
          <w:i/>
        </w:rPr>
        <w:t>Tradex Scheme Act 1999</w:t>
      </w:r>
      <w:r w:rsidRPr="00D97543">
        <w:t xml:space="preserve">) </w:t>
      </w:r>
      <w:r w:rsidR="00C744F2">
        <w:t xml:space="preserve">provides a list of offences </w:t>
      </w:r>
      <w:r w:rsidRPr="00D97543">
        <w:t>that constitute non-fulfilment of a</w:t>
      </w:r>
      <w:r w:rsidR="002A6836">
        <w:t>n</w:t>
      </w:r>
      <w:r w:rsidRPr="00D97543">
        <w:t xml:space="preserve"> obligation and the applicable penalties. Such actions include, but are not limited to:</w:t>
      </w:r>
    </w:p>
    <w:p w14:paraId="4DCD04D9" w14:textId="64C4AC9A" w:rsidR="003F170E" w:rsidRPr="00187A4E" w:rsidRDefault="003F170E" w:rsidP="00187A4E">
      <w:pPr>
        <w:pStyle w:val="ListParagraph"/>
      </w:pPr>
      <w:r w:rsidRPr="00187A4E">
        <w:t>failure to notify details of changes in registered particulars (</w:t>
      </w:r>
      <w:r w:rsidR="00285FD0" w:rsidRPr="00187A4E">
        <w:t>e.g.,</w:t>
      </w:r>
      <w:r w:rsidRPr="00187A4E">
        <w:t xml:space="preserve"> primary person, contact address and phone number)</w:t>
      </w:r>
    </w:p>
    <w:p w14:paraId="64E83B11" w14:textId="55AD9469" w:rsidR="003F170E" w:rsidRPr="00187A4E" w:rsidRDefault="003F170E" w:rsidP="00187A4E">
      <w:pPr>
        <w:pStyle w:val="ListParagraph"/>
      </w:pPr>
      <w:r w:rsidRPr="00187A4E">
        <w:t>failure to notify ineligibility (e.g., insolvency)</w:t>
      </w:r>
    </w:p>
    <w:p w14:paraId="5D9DD637" w14:textId="11477C21" w:rsidR="003F170E" w:rsidRPr="00187A4E" w:rsidRDefault="003F170E" w:rsidP="00187A4E">
      <w:pPr>
        <w:pStyle w:val="ListParagraph"/>
      </w:pPr>
      <w:r w:rsidRPr="00187A4E">
        <w:t>failure to pay Tradex duty within 28 days of it becoming due</w:t>
      </w:r>
    </w:p>
    <w:p w14:paraId="6A2741B6" w14:textId="6A75CB0D" w:rsidR="003F170E" w:rsidRPr="00187A4E" w:rsidRDefault="003F170E" w:rsidP="00187A4E">
      <w:pPr>
        <w:pStyle w:val="ListParagraph"/>
      </w:pPr>
      <w:r w:rsidRPr="00187A4E">
        <w:t>failure to keep</w:t>
      </w:r>
      <w:r w:rsidR="002A6836" w:rsidRPr="00187A4E">
        <w:t xml:space="preserve"> </w:t>
      </w:r>
      <w:r w:rsidRPr="00187A4E">
        <w:t>records</w:t>
      </w:r>
      <w:r w:rsidR="002A6836" w:rsidRPr="00187A4E">
        <w:t xml:space="preserve"> </w:t>
      </w:r>
      <w:r w:rsidR="009F7C05" w:rsidRPr="00187A4E">
        <w:t xml:space="preserve">in relation to nominated goods (as required under section 22) </w:t>
      </w:r>
    </w:p>
    <w:p w14:paraId="199418E5" w14:textId="715A5EA8" w:rsidR="003F170E" w:rsidRPr="00187A4E" w:rsidRDefault="003F170E" w:rsidP="00187A4E">
      <w:pPr>
        <w:pStyle w:val="ListParagraph"/>
      </w:pPr>
      <w:r w:rsidRPr="00187A4E">
        <w:t>failure to comply with a requirement made by an authorised officer</w:t>
      </w:r>
    </w:p>
    <w:p w14:paraId="32EE39C2" w14:textId="43FBA470" w:rsidR="003F170E" w:rsidRPr="00187A4E" w:rsidRDefault="003F170E" w:rsidP="00187A4E">
      <w:pPr>
        <w:pStyle w:val="ListParagraph"/>
      </w:pPr>
      <w:r w:rsidRPr="00187A4E">
        <w:t>failure by occupier of premises to provide facilities or assistance for an authorised officer</w:t>
      </w:r>
    </w:p>
    <w:p w14:paraId="7FD892DF" w14:textId="22622CD3" w:rsidR="003F170E" w:rsidRPr="00187A4E" w:rsidRDefault="009F7C05" w:rsidP="00187A4E">
      <w:pPr>
        <w:pStyle w:val="ListParagraph"/>
      </w:pPr>
      <w:r w:rsidRPr="00187A4E">
        <w:t xml:space="preserve">making </w:t>
      </w:r>
      <w:r w:rsidR="003F170E" w:rsidRPr="00187A4E">
        <w:t>false or misleading statements.</w:t>
      </w:r>
    </w:p>
    <w:p w14:paraId="26D8BF63" w14:textId="77777777" w:rsidR="004C1281" w:rsidRDefault="004C1281">
      <w:pPr>
        <w:spacing w:before="0" w:after="0"/>
        <w:rPr>
          <w:rFonts w:asciiTheme="majorHAnsi" w:eastAsiaTheme="majorEastAsia" w:hAnsiTheme="majorHAnsi" w:cstheme="majorBidi"/>
          <w:iCs/>
          <w:color w:val="1B9590"/>
          <w:sz w:val="40"/>
          <w:szCs w:val="48"/>
        </w:rPr>
      </w:pPr>
      <w:r>
        <w:br w:type="page"/>
      </w:r>
    </w:p>
    <w:p w14:paraId="6CF61A5A" w14:textId="005DBAED" w:rsidR="0089144E" w:rsidRPr="0089144E" w:rsidRDefault="0086534F" w:rsidP="004C1281">
      <w:pPr>
        <w:pStyle w:val="Heading2"/>
      </w:pPr>
      <w:bookmarkStart w:id="59" w:name="_Toc170301994"/>
      <w:r>
        <w:lastRenderedPageBreak/>
        <w:t xml:space="preserve">Tradex </w:t>
      </w:r>
      <w:r w:rsidR="0058677A">
        <w:t>D</w:t>
      </w:r>
      <w:r>
        <w:t>uty</w:t>
      </w:r>
      <w:r w:rsidR="0058677A">
        <w:t xml:space="preserve"> Liability</w:t>
      </w:r>
      <w:bookmarkEnd w:id="59"/>
      <w:r>
        <w:t xml:space="preserve"> </w:t>
      </w:r>
    </w:p>
    <w:p w14:paraId="2BC0FDEB" w14:textId="77777777" w:rsidR="0089144E" w:rsidRPr="000E227B" w:rsidRDefault="0089144E" w:rsidP="004C1281">
      <w:pPr>
        <w:pStyle w:val="Heading3"/>
      </w:pPr>
      <w:bookmarkStart w:id="60" w:name="_Toc170301995"/>
      <w:r w:rsidRPr="000E227B">
        <w:t>Legislated requirements</w:t>
      </w:r>
      <w:bookmarkEnd w:id="60"/>
    </w:p>
    <w:p w14:paraId="25D9DE1D" w14:textId="3DC778BB" w:rsidR="0089144E" w:rsidRPr="00681BE4" w:rsidRDefault="0086534F" w:rsidP="00187A4E">
      <w:r>
        <w:t xml:space="preserve">Section 21 of the Tradex Scheme Act describes the circumstances under which Tradex duty is payable. These include, </w:t>
      </w:r>
      <w:r w:rsidR="00C744F2">
        <w:t>i</w:t>
      </w:r>
      <w:r>
        <w:t>f the nominated goods:</w:t>
      </w:r>
    </w:p>
    <w:p w14:paraId="322ACBCA" w14:textId="321DA00D" w:rsidR="0089144E" w:rsidRPr="00681BE4" w:rsidRDefault="0086534F" w:rsidP="00187A4E">
      <w:pPr>
        <w:pStyle w:val="ListParagraph"/>
      </w:pPr>
      <w:r>
        <w:t>are</w:t>
      </w:r>
      <w:r w:rsidR="0089144E" w:rsidRPr="00681BE4">
        <w:t xml:space="preserve"> consumed or used by the </w:t>
      </w:r>
      <w:r>
        <w:t xml:space="preserve">Tradex </w:t>
      </w:r>
      <w:r w:rsidR="00285FD0">
        <w:t>O</w:t>
      </w:r>
      <w:r>
        <w:t xml:space="preserve">rder </w:t>
      </w:r>
      <w:r w:rsidR="0089144E" w:rsidRPr="00681BE4">
        <w:t>holder in Australia</w:t>
      </w:r>
    </w:p>
    <w:p w14:paraId="2ED8C246" w14:textId="6BFB0209" w:rsidR="0089144E" w:rsidRPr="00681BE4" w:rsidRDefault="0089144E" w:rsidP="00187A4E">
      <w:pPr>
        <w:pStyle w:val="ListParagraph"/>
      </w:pPr>
      <w:r w:rsidRPr="00681BE4">
        <w:t xml:space="preserve">are disposed of or otherwise dealt with by the </w:t>
      </w:r>
      <w:r w:rsidR="002A6836">
        <w:t xml:space="preserve">Tradex Order </w:t>
      </w:r>
      <w:r w:rsidRPr="00681BE4">
        <w:t xml:space="preserve">holder for the purpose of being </w:t>
      </w:r>
      <w:r w:rsidR="0086534F">
        <w:t xml:space="preserve">used or </w:t>
      </w:r>
      <w:r w:rsidRPr="00681BE4">
        <w:t>consumed by another person in Australia</w:t>
      </w:r>
    </w:p>
    <w:p w14:paraId="4CA1D29E" w14:textId="286F7DC5" w:rsidR="0089144E" w:rsidRPr="00681BE4" w:rsidRDefault="0086534F" w:rsidP="00187A4E">
      <w:pPr>
        <w:pStyle w:val="ListParagraph"/>
      </w:pPr>
      <w:r>
        <w:t xml:space="preserve">do not comply with any requirements of the Tradex </w:t>
      </w:r>
      <w:r w:rsidR="00CE146E">
        <w:t>R</w:t>
      </w:r>
      <w:r>
        <w:t xml:space="preserve">egulations </w:t>
      </w:r>
    </w:p>
    <w:p w14:paraId="7719D368" w14:textId="1C5802D9" w:rsidR="0089144E" w:rsidRPr="00681BE4" w:rsidRDefault="0089144E" w:rsidP="00187A4E">
      <w:pPr>
        <w:pStyle w:val="ListParagraph"/>
      </w:pPr>
      <w:r w:rsidRPr="00681BE4">
        <w:t xml:space="preserve">are not exported </w:t>
      </w:r>
      <w:r w:rsidR="0086534F">
        <w:t>within one year (or within a further period approved by the department) after the goods have been entered for home consumption</w:t>
      </w:r>
      <w:r w:rsidRPr="00681BE4">
        <w:t>.</w:t>
      </w:r>
    </w:p>
    <w:p w14:paraId="3410DDAC" w14:textId="543B22C6" w:rsidR="0089144E" w:rsidRPr="00681BE4" w:rsidRDefault="0089144E" w:rsidP="00187A4E">
      <w:r w:rsidRPr="00681BE4">
        <w:t xml:space="preserve">The </w:t>
      </w:r>
      <w:r w:rsidR="00630EFD">
        <w:t>T</w:t>
      </w:r>
      <w:r w:rsidRPr="00681BE4">
        <w:t xml:space="preserve">radex duty is payable within </w:t>
      </w:r>
      <w:r w:rsidRPr="000E227B">
        <w:t>28 days after</w:t>
      </w:r>
      <w:r w:rsidRPr="00681BE4">
        <w:t xml:space="preserve"> </w:t>
      </w:r>
      <w:r w:rsidR="009A5BAF">
        <w:t>any of the</w:t>
      </w:r>
      <w:r w:rsidRPr="00681BE4">
        <w:t xml:space="preserve"> following </w:t>
      </w:r>
      <w:r w:rsidR="009A5BAF">
        <w:t>(whichever is earliest)</w:t>
      </w:r>
      <w:r w:rsidRPr="00681BE4">
        <w:t>:</w:t>
      </w:r>
    </w:p>
    <w:p w14:paraId="0614EF8C" w14:textId="2B572950" w:rsidR="0089144E" w:rsidRPr="00681BE4" w:rsidRDefault="0089144E" w:rsidP="00187A4E">
      <w:pPr>
        <w:pStyle w:val="ListParagraph"/>
      </w:pPr>
      <w:r w:rsidRPr="00681BE4">
        <w:t xml:space="preserve">the day on which </w:t>
      </w:r>
      <w:r w:rsidR="008E1C2E">
        <w:t>you</w:t>
      </w:r>
      <w:r w:rsidRPr="00681BE4">
        <w:t xml:space="preserve"> consumed</w:t>
      </w:r>
      <w:r w:rsidR="00FE12FC">
        <w:t xml:space="preserve"> or used</w:t>
      </w:r>
      <w:r w:rsidR="008E1C2E">
        <w:t xml:space="preserve"> the goods</w:t>
      </w:r>
    </w:p>
    <w:p w14:paraId="6C367C16" w14:textId="180FCA24" w:rsidR="0089144E" w:rsidRPr="00681BE4" w:rsidRDefault="0089144E" w:rsidP="00187A4E">
      <w:pPr>
        <w:pStyle w:val="ListParagraph"/>
      </w:pPr>
      <w:r w:rsidRPr="00681BE4">
        <w:t xml:space="preserve">the day on which </w:t>
      </w:r>
      <w:r w:rsidR="008E1C2E">
        <w:t>you</w:t>
      </w:r>
      <w:r w:rsidRPr="00681BE4">
        <w:t xml:space="preserve"> disposed</w:t>
      </w:r>
      <w:r w:rsidR="008E1C2E">
        <w:t xml:space="preserve"> of the goods</w:t>
      </w:r>
    </w:p>
    <w:p w14:paraId="01435AF9" w14:textId="5838AE41" w:rsidR="0089144E" w:rsidRPr="00FE12FC" w:rsidRDefault="0089144E" w:rsidP="00187A4E">
      <w:pPr>
        <w:pStyle w:val="ListParagraph"/>
      </w:pPr>
      <w:r w:rsidRPr="00FE12FC">
        <w:t xml:space="preserve">the day on which </w:t>
      </w:r>
      <w:r w:rsidR="008E1C2E">
        <w:t xml:space="preserve">you did not meet </w:t>
      </w:r>
      <w:r w:rsidRPr="00FE12FC">
        <w:t>the requirement</w:t>
      </w:r>
      <w:r w:rsidR="00542E77" w:rsidRPr="00FE12FC">
        <w:t>s</w:t>
      </w:r>
      <w:r w:rsidRPr="00FE12FC">
        <w:t xml:space="preserve"> of the </w:t>
      </w:r>
      <w:r w:rsidR="00CE146E">
        <w:t>Tradex R</w:t>
      </w:r>
      <w:r w:rsidRPr="00FE12FC">
        <w:t>egulations in relation to the goods</w:t>
      </w:r>
    </w:p>
    <w:p w14:paraId="1005A30E" w14:textId="1A1D6096" w:rsidR="0089144E" w:rsidRDefault="0089144E" w:rsidP="00187A4E">
      <w:pPr>
        <w:pStyle w:val="ListParagraph"/>
      </w:pPr>
      <w:r w:rsidRPr="00FE12FC">
        <w:t xml:space="preserve">the last day of the </w:t>
      </w:r>
      <w:r w:rsidR="00D339BF" w:rsidRPr="00FE12FC">
        <w:t>12</w:t>
      </w:r>
      <w:r w:rsidR="003F170E">
        <w:t xml:space="preserve"> </w:t>
      </w:r>
      <w:r w:rsidR="00D339BF" w:rsidRPr="00FE12FC">
        <w:t>month</w:t>
      </w:r>
      <w:r w:rsidR="00B82632" w:rsidRPr="00FE12FC">
        <w:t xml:space="preserve"> period </w:t>
      </w:r>
      <w:r w:rsidR="00F247D2" w:rsidRPr="00FE12FC">
        <w:t xml:space="preserve">(or extended period) </w:t>
      </w:r>
      <w:r w:rsidR="00B82632" w:rsidRPr="00FE12FC">
        <w:t>following import of the goods</w:t>
      </w:r>
      <w:r w:rsidRPr="00FE12FC">
        <w:t>.</w:t>
      </w:r>
    </w:p>
    <w:p w14:paraId="0550381B" w14:textId="26A88875" w:rsidR="00FB5EE9" w:rsidRPr="009415F9" w:rsidRDefault="00FB5EE9" w:rsidP="009415F9">
      <w:pPr>
        <w:pStyle w:val="Heading3"/>
      </w:pPr>
      <w:bookmarkStart w:id="61" w:name="_Toc170301996"/>
      <w:r w:rsidRPr="009415F9">
        <w:t>Amount of Tradex duty liability</w:t>
      </w:r>
      <w:bookmarkEnd w:id="61"/>
    </w:p>
    <w:p w14:paraId="0CB0EA97" w14:textId="77777777" w:rsidR="00FB5EE9" w:rsidRPr="009F1857" w:rsidRDefault="00FB5EE9" w:rsidP="00187A4E">
      <w:pPr>
        <w:rPr>
          <w:iCs/>
        </w:rPr>
      </w:pPr>
      <w:r w:rsidRPr="009415F9">
        <w:t>The amount of the tradex duty liability in respect of any goods is an amount equal to the duty of customs under the </w:t>
      </w:r>
      <w:r w:rsidRPr="009415F9">
        <w:rPr>
          <w:i/>
        </w:rPr>
        <w:t>Customs Tariff Act 1995</w:t>
      </w:r>
      <w:r w:rsidRPr="009415F9">
        <w:t> that would have been payable in respect of the goods upon their entry for home consumption if the goods had not been entered under item 21A of Schedule 4 to that Act.</w:t>
      </w:r>
    </w:p>
    <w:p w14:paraId="7A246311" w14:textId="77777777" w:rsidR="00FB5EE9" w:rsidRPr="009F1857" w:rsidRDefault="00FB5EE9" w:rsidP="00187A4E">
      <w:r w:rsidRPr="009415F9">
        <w:t xml:space="preserve">Tradex duty liability is paid on the approved description of the </w:t>
      </w:r>
      <w:r w:rsidRPr="009415F9">
        <w:rPr>
          <w:b/>
          <w:bCs/>
        </w:rPr>
        <w:t>nominated goods</w:t>
      </w:r>
      <w:r w:rsidRPr="009415F9">
        <w:t xml:space="preserve"> that have been consumed in Australia, or not exported within 12 months of import date. It is the order holder’s responsibility to calculate their Tradex duty liability and pay the duty back to the department.</w:t>
      </w:r>
    </w:p>
    <w:p w14:paraId="1269BC38" w14:textId="403D6699" w:rsidR="004102D6" w:rsidRDefault="00FB5EE9" w:rsidP="00187A4E">
      <w:r w:rsidRPr="009415F9">
        <w:t xml:space="preserve">Tradex liability is calculated on the price/weight percentage value of the </w:t>
      </w:r>
      <w:r w:rsidRPr="009415F9">
        <w:rPr>
          <w:b/>
          <w:bCs/>
        </w:rPr>
        <w:t>nominated good</w:t>
      </w:r>
      <w:r w:rsidRPr="009415F9">
        <w:t xml:space="preserve"> that is consumed in Australia and not the value of the goods after the manufacturing process the nominated goods went through.</w:t>
      </w:r>
    </w:p>
    <w:p w14:paraId="0E95E010" w14:textId="77777777" w:rsidR="004102D6" w:rsidRDefault="004102D6">
      <w:pPr>
        <w:spacing w:before="0" w:after="0"/>
      </w:pPr>
      <w:r>
        <w:br w:type="page"/>
      </w:r>
    </w:p>
    <w:p w14:paraId="3AD2F949" w14:textId="04D504D8" w:rsidR="00B5174B" w:rsidRPr="004102D6" w:rsidRDefault="00B5174B" w:rsidP="004102D6">
      <w:pPr>
        <w:pStyle w:val="Heading3"/>
      </w:pPr>
      <w:bookmarkStart w:id="62" w:name="_Toc170301997"/>
      <w:r w:rsidRPr="004102D6">
        <w:lastRenderedPageBreak/>
        <w:t xml:space="preserve">Extension to the legislated </w:t>
      </w:r>
      <w:r w:rsidR="00D339BF" w:rsidRPr="004102D6">
        <w:t>28</w:t>
      </w:r>
      <w:r w:rsidR="003F170E" w:rsidRPr="004102D6">
        <w:t xml:space="preserve"> </w:t>
      </w:r>
      <w:r w:rsidR="00D339BF" w:rsidRPr="004102D6">
        <w:t>day</w:t>
      </w:r>
      <w:r w:rsidRPr="004102D6">
        <w:t xml:space="preserve"> </w:t>
      </w:r>
      <w:r w:rsidR="00FE12FC" w:rsidRPr="004102D6">
        <w:t>Tradex duty payment date</w:t>
      </w:r>
      <w:bookmarkEnd w:id="62"/>
      <w:r w:rsidR="00FE12FC" w:rsidRPr="004102D6">
        <w:t xml:space="preserve"> </w:t>
      </w:r>
    </w:p>
    <w:p w14:paraId="7963953D" w14:textId="52D47C53" w:rsidR="00FE12FC" w:rsidRDefault="00FE12FC" w:rsidP="00187A4E">
      <w:bookmarkStart w:id="63" w:name="_Hlk150958145"/>
      <w:r>
        <w:t>T</w:t>
      </w:r>
      <w:r w:rsidR="00B5174B" w:rsidRPr="0098604E">
        <w:t>he de</w:t>
      </w:r>
      <w:r>
        <w:t xml:space="preserve">partment </w:t>
      </w:r>
      <w:r w:rsidR="00B5174B" w:rsidRPr="0098604E">
        <w:t xml:space="preserve">can </w:t>
      </w:r>
      <w:r w:rsidR="002E2FE1">
        <w:t>approve an extension to</w:t>
      </w:r>
      <w:r w:rsidR="009A5BAF">
        <w:t xml:space="preserve"> the timeframe for payment of Tradex duty beyond the legislated 28 day</w:t>
      </w:r>
      <w:r w:rsidR="00AF4D69">
        <w:t>s</w:t>
      </w:r>
      <w:r w:rsidR="009A5BAF">
        <w:t>. Extensions can be one-off or on an ongoing basis. An ongoing extension allows an order holder to calculate and pay their tradex liability on a quarterly, six monthly or annual basis</w:t>
      </w:r>
      <w:r w:rsidR="002E2FE1">
        <w:t>.</w:t>
      </w:r>
      <w:r w:rsidR="009A5BAF">
        <w:t xml:space="preserve"> </w:t>
      </w:r>
      <w:r w:rsidR="00AF4D69">
        <w:t xml:space="preserve">This is called a reconciliation agreement. </w:t>
      </w:r>
      <w:r w:rsidR="00243411">
        <w:t xml:space="preserve">A reconciliation agreement is common where a business expects that it may sell some goods domestically. It allows a business to reconcile their liability at the end of a reporting period, instead of after each individual domestic sale. </w:t>
      </w:r>
    </w:p>
    <w:p w14:paraId="0AB5BEA0" w14:textId="7EB404A6" w:rsidR="00BA1A5B" w:rsidRDefault="00BA1A5B" w:rsidP="00187A4E">
      <w:r>
        <w:t>Typically,</w:t>
      </w:r>
      <w:r w:rsidR="009B1C76">
        <w:t xml:space="preserve"> applicants negotiate </w:t>
      </w:r>
      <w:r>
        <w:t xml:space="preserve">on-going </w:t>
      </w:r>
      <w:r w:rsidR="00AF4D69">
        <w:t>extensions</w:t>
      </w:r>
      <w:r w:rsidR="0058677A">
        <w:t xml:space="preserve"> </w:t>
      </w:r>
      <w:r>
        <w:t>during the application process</w:t>
      </w:r>
      <w:r w:rsidR="00070F82">
        <w:t>, but a request can be made at any time during the life of the Tradex Order.</w:t>
      </w:r>
      <w:r w:rsidR="00243411">
        <w:t xml:space="preserve"> </w:t>
      </w:r>
    </w:p>
    <w:p w14:paraId="5CB93C0C" w14:textId="77777777" w:rsidR="002E2FE1" w:rsidRPr="0098604E" w:rsidRDefault="002E2FE1" w:rsidP="002E2FE1">
      <w:r>
        <w:t xml:space="preserve">If the department approves your extension, </w:t>
      </w:r>
      <w:r w:rsidRPr="0098604E">
        <w:t>it will have two components:</w:t>
      </w:r>
    </w:p>
    <w:p w14:paraId="4941842E" w14:textId="4F1D4F9F" w:rsidR="002E2FE1" w:rsidRPr="00187A4E" w:rsidRDefault="002E2FE1" w:rsidP="002E2FE1">
      <w:pPr>
        <w:pStyle w:val="ListParagraph"/>
        <w:numPr>
          <w:ilvl w:val="0"/>
          <w:numId w:val="39"/>
        </w:numPr>
      </w:pPr>
      <w:r w:rsidRPr="00187A4E">
        <w:t xml:space="preserve">reporting period </w:t>
      </w:r>
      <w:r w:rsidR="00243411">
        <w:t xml:space="preserve">– </w:t>
      </w:r>
      <w:r w:rsidRPr="00187A4E">
        <w:t>how often you will report to the department, i.e., annually/biannually</w:t>
      </w:r>
    </w:p>
    <w:p w14:paraId="7178C129" w14:textId="3018797C" w:rsidR="002E2FE1" w:rsidRPr="00187A4E" w:rsidRDefault="002E2FE1" w:rsidP="002E2FE1">
      <w:pPr>
        <w:pStyle w:val="ListParagraph"/>
        <w:numPr>
          <w:ilvl w:val="0"/>
          <w:numId w:val="39"/>
        </w:numPr>
      </w:pPr>
      <w:r w:rsidRPr="00187A4E">
        <w:t xml:space="preserve">agreed </w:t>
      </w:r>
      <w:r w:rsidR="00AF4D69">
        <w:t xml:space="preserve">method for </w:t>
      </w:r>
      <w:r w:rsidRPr="00187A4E">
        <w:t>calcula</w:t>
      </w:r>
      <w:r w:rsidR="00AF4D69">
        <w:t>ting</w:t>
      </w:r>
      <w:r w:rsidRPr="00187A4E">
        <w:t xml:space="preserve"> any Tradex duty owed.</w:t>
      </w:r>
      <w:r w:rsidR="00AF4D69">
        <w:t xml:space="preserve"> </w:t>
      </w:r>
    </w:p>
    <w:p w14:paraId="4AB2401C" w14:textId="39B0C1B3" w:rsidR="00B5174B" w:rsidRPr="0098604E" w:rsidRDefault="001F7A83" w:rsidP="00187A4E">
      <w:r>
        <w:t>Th</w:t>
      </w:r>
      <w:r w:rsidR="00243411">
        <w:t>is</w:t>
      </w:r>
      <w:r>
        <w:t xml:space="preserve"> o</w:t>
      </w:r>
      <w:r w:rsidR="00B5174B" w:rsidRPr="0098604E">
        <w:t xml:space="preserve">ngoing reporting and </w:t>
      </w:r>
      <w:r w:rsidR="00B82632" w:rsidRPr="0098604E">
        <w:t>declaration</w:t>
      </w:r>
      <w:r w:rsidR="00B5174B" w:rsidRPr="0098604E">
        <w:t xml:space="preserve"> </w:t>
      </w:r>
      <w:r>
        <w:t xml:space="preserve">process helps </w:t>
      </w:r>
      <w:r w:rsidR="00BA1A5B">
        <w:t>you t</w:t>
      </w:r>
      <w:r w:rsidR="00B5174B" w:rsidRPr="0098604E">
        <w:t xml:space="preserve">o keep track of </w:t>
      </w:r>
      <w:r w:rsidR="00BA1A5B">
        <w:t xml:space="preserve">your </w:t>
      </w:r>
      <w:r w:rsidR="00B5174B" w:rsidRPr="0098604E">
        <w:t>T</w:t>
      </w:r>
      <w:r w:rsidR="00A703E2" w:rsidRPr="0098604E">
        <w:t>radex</w:t>
      </w:r>
      <w:r w:rsidR="00B5174B" w:rsidRPr="0098604E">
        <w:t xml:space="preserve"> liability </w:t>
      </w:r>
      <w:r>
        <w:t xml:space="preserve">and </w:t>
      </w:r>
      <w:r w:rsidR="00243411">
        <w:t xml:space="preserve">may </w:t>
      </w:r>
      <w:r>
        <w:t xml:space="preserve">be </w:t>
      </w:r>
      <w:r w:rsidR="00B5174B" w:rsidRPr="0098604E">
        <w:t>tested</w:t>
      </w:r>
      <w:r w:rsidR="00A703E2">
        <w:t xml:space="preserve"> by the department</w:t>
      </w:r>
      <w:r w:rsidR="00B5174B" w:rsidRPr="0098604E">
        <w:t xml:space="preserve"> though </w:t>
      </w:r>
      <w:r>
        <w:t xml:space="preserve">the </w:t>
      </w:r>
      <w:r w:rsidR="00B5174B" w:rsidRPr="0098604E">
        <w:t>T</w:t>
      </w:r>
      <w:r w:rsidR="00A703E2" w:rsidRPr="0098604E">
        <w:t xml:space="preserve">radex </w:t>
      </w:r>
      <w:r w:rsidR="00B5174B" w:rsidRPr="0098604E">
        <w:t>audit process.</w:t>
      </w:r>
    </w:p>
    <w:p w14:paraId="4F2076A5" w14:textId="0A5E9409" w:rsidR="00B5174B" w:rsidRPr="0098604E" w:rsidRDefault="00A703E2" w:rsidP="00187A4E">
      <w:r>
        <w:t>I</w:t>
      </w:r>
      <w:r w:rsidR="00B5174B" w:rsidRPr="0098604E">
        <w:t xml:space="preserve">f </w:t>
      </w:r>
      <w:r>
        <w:t xml:space="preserve">the department does not receive your </w:t>
      </w:r>
      <w:r w:rsidR="00B5174B" w:rsidRPr="0098604E">
        <w:t xml:space="preserve">declaration </w:t>
      </w:r>
      <w:r w:rsidR="00243411">
        <w:t>by</w:t>
      </w:r>
      <w:r w:rsidR="00B5174B" w:rsidRPr="0098604E">
        <w:t xml:space="preserve"> the due date</w:t>
      </w:r>
      <w:r w:rsidR="002A6836">
        <w:t>,</w:t>
      </w:r>
      <w:r w:rsidRPr="00A703E2">
        <w:t xml:space="preserve"> </w:t>
      </w:r>
      <w:r>
        <w:t xml:space="preserve">we </w:t>
      </w:r>
      <w:r w:rsidRPr="00A703E2">
        <w:t xml:space="preserve">will send </w:t>
      </w:r>
      <w:r>
        <w:t xml:space="preserve">you a </w:t>
      </w:r>
      <w:r w:rsidRPr="00A703E2">
        <w:t>reminder</w:t>
      </w:r>
      <w:r>
        <w:t>.</w:t>
      </w:r>
      <w:r w:rsidR="00B5174B" w:rsidRPr="0098604E">
        <w:t xml:space="preserve"> If </w:t>
      </w:r>
      <w:r>
        <w:t xml:space="preserve">you </w:t>
      </w:r>
      <w:r w:rsidR="00243411">
        <w:t>do not</w:t>
      </w:r>
      <w:r>
        <w:t xml:space="preserve"> </w:t>
      </w:r>
      <w:r w:rsidR="00B5174B" w:rsidRPr="0098604E">
        <w:t xml:space="preserve">comply with the </w:t>
      </w:r>
      <w:r w:rsidR="00243411">
        <w:t xml:space="preserve">reconciliation </w:t>
      </w:r>
      <w:r w:rsidR="00B5174B" w:rsidRPr="0098604E">
        <w:t>agree</w:t>
      </w:r>
      <w:r w:rsidR="00243411">
        <w:t>ment</w:t>
      </w:r>
      <w:r w:rsidR="00B5174B" w:rsidRPr="0098604E">
        <w:t xml:space="preserve"> </w:t>
      </w:r>
      <w:r w:rsidR="00FE045E">
        <w:t xml:space="preserve">or </w:t>
      </w:r>
      <w:r>
        <w:t>the department is unable to contact you</w:t>
      </w:r>
      <w:r w:rsidR="00B5174B" w:rsidRPr="0098604E">
        <w:t xml:space="preserve">, </w:t>
      </w:r>
      <w:r>
        <w:t xml:space="preserve">your Tradex </w:t>
      </w:r>
      <w:r w:rsidR="00285FD0">
        <w:t>O</w:t>
      </w:r>
      <w:r w:rsidR="00B5174B">
        <w:t>rder</w:t>
      </w:r>
      <w:r w:rsidR="00B5174B" w:rsidRPr="0098604E">
        <w:t xml:space="preserve"> may be suspended. The </w:t>
      </w:r>
      <w:r>
        <w:t xml:space="preserve">department </w:t>
      </w:r>
      <w:r w:rsidR="00FE045E">
        <w:t>may</w:t>
      </w:r>
      <w:r w:rsidR="00FE045E" w:rsidRPr="0098604E">
        <w:t xml:space="preserve"> </w:t>
      </w:r>
      <w:r w:rsidR="00B5174B" w:rsidRPr="0098604E">
        <w:t xml:space="preserve">reactivate the </w:t>
      </w:r>
      <w:r>
        <w:t>order when you have complied with your reporting requirements.</w:t>
      </w:r>
    </w:p>
    <w:p w14:paraId="2B7489FC" w14:textId="6AFC0540" w:rsidR="00B5174B" w:rsidRPr="0098604E" w:rsidRDefault="00A703E2" w:rsidP="00187A4E">
      <w:r>
        <w:t xml:space="preserve">Department approval of </w:t>
      </w:r>
      <w:r w:rsidR="000E1E92">
        <w:t xml:space="preserve">your method for calculating your Tradex duty liability </w:t>
      </w:r>
      <w:r w:rsidR="00B5174B" w:rsidRPr="0098604E">
        <w:t xml:space="preserve"> does not alter </w:t>
      </w:r>
      <w:r w:rsidR="001F7A83">
        <w:t>your record keeping obligations</w:t>
      </w:r>
      <w:r w:rsidR="000E1E92">
        <w:t xml:space="preserve"> under the Tradex Scheme Act</w:t>
      </w:r>
      <w:r w:rsidR="001F7A83">
        <w:t>. I</w:t>
      </w:r>
      <w:r w:rsidR="001F7A83" w:rsidRPr="001F7A83">
        <w:t xml:space="preserve">n the event of an </w:t>
      </w:r>
      <w:r w:rsidR="001F7A83">
        <w:t>a</w:t>
      </w:r>
      <w:r w:rsidR="001F7A83" w:rsidRPr="001F7A83">
        <w:t xml:space="preserve">udit </w:t>
      </w:r>
      <w:r w:rsidR="001F7A83">
        <w:t xml:space="preserve">you </w:t>
      </w:r>
      <w:r w:rsidR="00B5174B" w:rsidRPr="0098604E">
        <w:t xml:space="preserve">will be asked to make available </w:t>
      </w:r>
      <w:r w:rsidR="001F7A83">
        <w:t xml:space="preserve">to the department your record keeping systems </w:t>
      </w:r>
      <w:r w:rsidR="00B5174B" w:rsidRPr="0098604E">
        <w:t xml:space="preserve">and demonstrate </w:t>
      </w:r>
      <w:r w:rsidR="001F7A83">
        <w:t xml:space="preserve">the </w:t>
      </w:r>
      <w:r w:rsidR="00B5174B" w:rsidRPr="0098604E">
        <w:t xml:space="preserve">full particulars of the entry of the goods for home consumption, all subsequent dealings in Australia, </w:t>
      </w:r>
      <w:r w:rsidR="000E1E92">
        <w:t xml:space="preserve">the </w:t>
      </w:r>
      <w:r w:rsidR="00B5174B" w:rsidRPr="0098604E">
        <w:t xml:space="preserve">export of the goods and </w:t>
      </w:r>
      <w:r w:rsidR="001F7A83">
        <w:t xml:space="preserve">Tradex duty </w:t>
      </w:r>
      <w:r w:rsidR="00B5174B" w:rsidRPr="0098604E">
        <w:t>payment</w:t>
      </w:r>
      <w:r w:rsidR="001F7A83">
        <w:t>s.</w:t>
      </w:r>
      <w:r w:rsidR="00B5174B" w:rsidRPr="0098604E">
        <w:t xml:space="preserve"> </w:t>
      </w:r>
    </w:p>
    <w:p w14:paraId="088A0CEA" w14:textId="77777777" w:rsidR="00AB10C0" w:rsidRDefault="00AB10C0" w:rsidP="00187A4E">
      <w:pPr>
        <w:pStyle w:val="Heading3"/>
      </w:pPr>
      <w:bookmarkStart w:id="64" w:name="_Toc170301998"/>
      <w:bookmarkEnd w:id="63"/>
      <w:r w:rsidRPr="00681BE4">
        <w:t>Extension</w:t>
      </w:r>
      <w:r>
        <w:t>s</w:t>
      </w:r>
      <w:r w:rsidRPr="00681BE4">
        <w:t xml:space="preserve"> </w:t>
      </w:r>
      <w:r>
        <w:t xml:space="preserve">to the </w:t>
      </w:r>
      <w:r w:rsidRPr="00187A4E">
        <w:t>legislated</w:t>
      </w:r>
      <w:r w:rsidRPr="00681BE4">
        <w:t xml:space="preserve"> 12-month export</w:t>
      </w:r>
      <w:r>
        <w:t>ation period</w:t>
      </w:r>
      <w:bookmarkEnd w:id="64"/>
      <w:r>
        <w:t xml:space="preserve"> </w:t>
      </w:r>
    </w:p>
    <w:p w14:paraId="331E3517" w14:textId="0A7EF845" w:rsidR="00AB10C0" w:rsidRDefault="00AB10C0" w:rsidP="00187A4E">
      <w:r>
        <w:t>Tradex Order holders must export Tradex Order g</w:t>
      </w:r>
      <w:r w:rsidRPr="005B6AF5">
        <w:t>oods within 12 months from the time of importation (</w:t>
      </w:r>
      <w:r w:rsidRPr="00132AA6">
        <w:t>i.e.,</w:t>
      </w:r>
      <w:r w:rsidRPr="005B6AF5">
        <w:t xml:space="preserve"> the </w:t>
      </w:r>
      <w:r w:rsidR="00286D4B">
        <w:t>date the goods were entered for home consumption</w:t>
      </w:r>
      <w:r w:rsidRPr="005B6AF5">
        <w:t>) unless the department has agreed to extend the time.</w:t>
      </w:r>
    </w:p>
    <w:p w14:paraId="28E78328" w14:textId="77777777" w:rsidR="00AB10C0" w:rsidRPr="00681BE4" w:rsidRDefault="00AB10C0" w:rsidP="00187A4E">
      <w:r>
        <w:t>The department may approve a</w:t>
      </w:r>
      <w:r w:rsidRPr="00681BE4">
        <w:t>n extension when:</w:t>
      </w:r>
    </w:p>
    <w:p w14:paraId="549F5A2A" w14:textId="77777777" w:rsidR="00AB10C0" w:rsidRPr="00187A4E" w:rsidRDefault="00AB10C0" w:rsidP="00187A4E">
      <w:pPr>
        <w:pStyle w:val="ListParagraph"/>
      </w:pPr>
      <w:r w:rsidRPr="00187A4E">
        <w:t>a contract for the export of goods has fallen through and more time is needed to find another customer or overseas market</w:t>
      </w:r>
    </w:p>
    <w:p w14:paraId="0052E5C9" w14:textId="77777777" w:rsidR="00AB10C0" w:rsidRPr="00187A4E" w:rsidRDefault="00AB10C0" w:rsidP="00187A4E">
      <w:pPr>
        <w:pStyle w:val="ListParagraph"/>
      </w:pPr>
      <w:r w:rsidRPr="00187A4E">
        <w:t>you are importing oak goods for use in oaked wine production</w:t>
      </w:r>
    </w:p>
    <w:p w14:paraId="07461269" w14:textId="77777777" w:rsidR="00AB10C0" w:rsidRPr="00187A4E" w:rsidRDefault="00AB10C0" w:rsidP="00187A4E">
      <w:pPr>
        <w:pStyle w:val="ListParagraph"/>
      </w:pPr>
      <w:r w:rsidRPr="00187A4E">
        <w:t>the goods are incorporated in a piece of equipment that may take more than 12 months to manufacture before it is sent overseas.</w:t>
      </w:r>
    </w:p>
    <w:p w14:paraId="263CF713" w14:textId="0AEEF6C8" w:rsidR="004102D6" w:rsidRDefault="00AB10C0" w:rsidP="00187A4E">
      <w:pPr>
        <w:rPr>
          <w:szCs w:val="20"/>
        </w:rPr>
      </w:pPr>
      <w:r w:rsidRPr="00187A4E">
        <w:rPr>
          <w:szCs w:val="20"/>
        </w:rPr>
        <w:t xml:space="preserve">You must put in writing a request to extend the 12-month exportation period. Include in the request the reason for the extension and the date by which you will export the goods. Email the request to </w:t>
      </w:r>
      <w:hyperlink r:id="rId28" w:history="1">
        <w:r w:rsidR="00187A4E" w:rsidRPr="00187A4E">
          <w:rPr>
            <w:rStyle w:val="Hyperlink"/>
            <w:rFonts w:cstheme="minorHAnsi"/>
            <w:szCs w:val="20"/>
          </w:rPr>
          <w:t>Tradex@industry.gov.au</w:t>
        </w:r>
      </w:hyperlink>
      <w:r w:rsidR="00286D4B" w:rsidRPr="00187A4E">
        <w:rPr>
          <w:rStyle w:val="Hyperlink"/>
          <w:rFonts w:cstheme="minorHAnsi"/>
          <w:szCs w:val="20"/>
        </w:rPr>
        <w:t>.</w:t>
      </w:r>
      <w:r w:rsidRPr="00187A4E">
        <w:rPr>
          <w:szCs w:val="20"/>
        </w:rPr>
        <w:t xml:space="preserve"> </w:t>
      </w:r>
    </w:p>
    <w:p w14:paraId="0C7E159A" w14:textId="77777777" w:rsidR="004102D6" w:rsidRDefault="004102D6">
      <w:pPr>
        <w:spacing w:before="0" w:after="0"/>
        <w:rPr>
          <w:szCs w:val="20"/>
        </w:rPr>
      </w:pPr>
      <w:r>
        <w:rPr>
          <w:szCs w:val="20"/>
        </w:rPr>
        <w:br w:type="page"/>
      </w:r>
    </w:p>
    <w:p w14:paraId="28DF17C8" w14:textId="19019131" w:rsidR="000A4312" w:rsidRPr="007100DD" w:rsidRDefault="000A4312" w:rsidP="004C1281">
      <w:pPr>
        <w:pStyle w:val="Heading3"/>
        <w:rPr>
          <w:szCs w:val="26"/>
        </w:rPr>
      </w:pPr>
      <w:bookmarkStart w:id="65" w:name="_Toc170301999"/>
      <w:r w:rsidRPr="005B6AF5">
        <w:lastRenderedPageBreak/>
        <w:t>Allowed consumption of goods in Australia</w:t>
      </w:r>
      <w:bookmarkEnd w:id="65"/>
    </w:p>
    <w:p w14:paraId="11A02362" w14:textId="77777777" w:rsidR="000A4312" w:rsidRPr="00AD38EF" w:rsidRDefault="000A4312" w:rsidP="00187A4E">
      <w:r w:rsidRPr="00AD38EF">
        <w:t>The Tradex Scheme allows consumption of the nominated goods in the following instances:</w:t>
      </w:r>
    </w:p>
    <w:p w14:paraId="477A2444" w14:textId="77777777" w:rsidR="000A4312" w:rsidRPr="00AD38EF" w:rsidRDefault="000A4312" w:rsidP="00187A4E">
      <w:pPr>
        <w:pStyle w:val="ListParagraph"/>
      </w:pPr>
      <w:r w:rsidRPr="00AD38EF">
        <w:t>accidental damage in Australia</w:t>
      </w:r>
    </w:p>
    <w:p w14:paraId="33CE315A" w14:textId="77777777" w:rsidR="000A4312" w:rsidRPr="00AD38EF" w:rsidRDefault="000A4312" w:rsidP="00187A4E">
      <w:pPr>
        <w:pStyle w:val="ListParagraph"/>
      </w:pPr>
      <w:r w:rsidRPr="00AD38EF">
        <w:t>accidental destruction in Australia</w:t>
      </w:r>
    </w:p>
    <w:p w14:paraId="228F0B45" w14:textId="6C2BC6F6" w:rsidR="00542E77" w:rsidRDefault="000A4312" w:rsidP="00187A4E">
      <w:pPr>
        <w:pStyle w:val="ListParagraph"/>
      </w:pPr>
      <w:r w:rsidRPr="00AD38EF">
        <w:t>inspection or exhibition in Australia before you export the goods</w:t>
      </w:r>
    </w:p>
    <w:p w14:paraId="00A3F6A5" w14:textId="271B4B0F" w:rsidR="00542E77" w:rsidRPr="00542E77" w:rsidRDefault="00542E77" w:rsidP="00187A4E">
      <w:pPr>
        <w:pStyle w:val="ListParagraph"/>
        <w:numPr>
          <w:ilvl w:val="1"/>
          <w:numId w:val="13"/>
        </w:numPr>
        <w:rPr>
          <w:iCs/>
        </w:rPr>
      </w:pPr>
      <w:r w:rsidRPr="00D339BF">
        <w:t>inspection or exhibition could include display in a museum, art gallery or any other place, for viewing purposes only. The goods must not be intended for sale, either in part or all, in Australia</w:t>
      </w:r>
      <w:r w:rsidRPr="00542E77">
        <w:t xml:space="preserve"> </w:t>
      </w:r>
    </w:p>
    <w:p w14:paraId="4EF5F991" w14:textId="77777777" w:rsidR="000A4312" w:rsidRPr="00AD38EF" w:rsidRDefault="000A4312" w:rsidP="00187A4E">
      <w:pPr>
        <w:pStyle w:val="ListParagraph"/>
      </w:pPr>
      <w:r w:rsidRPr="00AD38EF">
        <w:t>incidental use that occurs immediately before you export the goods (e.g., product testing)</w:t>
      </w:r>
    </w:p>
    <w:p w14:paraId="4D740F35" w14:textId="2C7A3F6A" w:rsidR="000A4312" w:rsidRPr="00AD38EF" w:rsidRDefault="000A4312" w:rsidP="00187A4E">
      <w:pPr>
        <w:pStyle w:val="ListParagraph"/>
      </w:pPr>
      <w:r w:rsidRPr="00AD38EF">
        <w:t>if the goods are traveller’s cheques</w:t>
      </w:r>
      <w:r w:rsidR="003E4A0E">
        <w:t>,</w:t>
      </w:r>
      <w:r w:rsidRPr="00AD38EF">
        <w:t xml:space="preserve"> writing on the cheques in Australia, other than countersigning the cheques in exchange for goods, services, or cash.</w:t>
      </w:r>
    </w:p>
    <w:p w14:paraId="1D4701E6" w14:textId="7688F65E" w:rsidR="0061327E" w:rsidRPr="000E227B" w:rsidRDefault="0061327E" w:rsidP="004C1281">
      <w:pPr>
        <w:pStyle w:val="Heading3"/>
      </w:pPr>
      <w:bookmarkStart w:id="66" w:name="_Toc170302000"/>
      <w:r w:rsidRPr="000E227B">
        <w:t>Tradex duty on goods exported by a third</w:t>
      </w:r>
      <w:r w:rsidR="00946F93">
        <w:t>-</w:t>
      </w:r>
      <w:r w:rsidRPr="000E227B">
        <w:t>party</w:t>
      </w:r>
      <w:bookmarkEnd w:id="66"/>
    </w:p>
    <w:p w14:paraId="0976FB02" w14:textId="22D6013F" w:rsidR="00FA6948" w:rsidRPr="001523AD" w:rsidRDefault="00FA6948" w:rsidP="00187A4E">
      <w:r w:rsidRPr="000E227B">
        <w:t xml:space="preserve">Tradex </w:t>
      </w:r>
      <w:r w:rsidR="00285FD0">
        <w:t>O</w:t>
      </w:r>
      <w:r w:rsidRPr="000E227B">
        <w:t xml:space="preserve">rder </w:t>
      </w:r>
      <w:r w:rsidR="00EE59DC">
        <w:t>H</w:t>
      </w:r>
      <w:r w:rsidRPr="000E227B">
        <w:t>olders are responsible for</w:t>
      </w:r>
      <w:r w:rsidR="00546BF3">
        <w:t xml:space="preserve"> </w:t>
      </w:r>
      <w:r w:rsidRPr="001523AD">
        <w:t xml:space="preserve">paying </w:t>
      </w:r>
      <w:r w:rsidR="00EE59DC">
        <w:t>back</w:t>
      </w:r>
      <w:r w:rsidR="00546BF3">
        <w:t xml:space="preserve"> </w:t>
      </w:r>
      <w:r w:rsidR="00946F93" w:rsidRPr="001523AD">
        <w:t>T</w:t>
      </w:r>
      <w:r w:rsidRPr="001523AD">
        <w:t xml:space="preserve">radex duty liability for goods imported under a Tradex </w:t>
      </w:r>
      <w:r w:rsidR="00285FD0" w:rsidRPr="001523AD">
        <w:t>O</w:t>
      </w:r>
      <w:r w:rsidRPr="001523AD">
        <w:t xml:space="preserve">rder </w:t>
      </w:r>
      <w:r w:rsidR="00946F93" w:rsidRPr="001523AD">
        <w:t xml:space="preserve">and </w:t>
      </w:r>
      <w:r w:rsidRPr="001523AD">
        <w:t xml:space="preserve">sold </w:t>
      </w:r>
      <w:r w:rsidR="00946F93" w:rsidRPr="001523AD">
        <w:t xml:space="preserve">to another party in Australia </w:t>
      </w:r>
      <w:r w:rsidR="00070F82" w:rsidRPr="001523AD">
        <w:t>and not subsequently exported</w:t>
      </w:r>
      <w:r w:rsidR="00070F82">
        <w:t>.</w:t>
      </w:r>
      <w:r w:rsidR="00EE59DC">
        <w:t xml:space="preserve"> If these goods are exported by a third party, t</w:t>
      </w:r>
      <w:r w:rsidR="00070F82">
        <w:t xml:space="preserve">he Tradex Order Holder must ensure they </w:t>
      </w:r>
      <w:r w:rsidRPr="001523AD">
        <w:t>have access to</w:t>
      </w:r>
      <w:r w:rsidR="00615459" w:rsidRPr="001523AD">
        <w:t xml:space="preserve"> </w:t>
      </w:r>
      <w:r w:rsidR="00EE59DC">
        <w:t xml:space="preserve">the </w:t>
      </w:r>
      <w:r w:rsidR="00615459" w:rsidRPr="001523AD">
        <w:t>third party</w:t>
      </w:r>
      <w:r w:rsidRPr="001523AD">
        <w:t xml:space="preserve"> records that can trace the goods through</w:t>
      </w:r>
      <w:r w:rsidR="00EE59DC">
        <w:t xml:space="preserve"> sale</w:t>
      </w:r>
      <w:r w:rsidRPr="001523AD">
        <w:t xml:space="preserve"> to export and provide any supporting documents </w:t>
      </w:r>
      <w:r w:rsidR="00070F82">
        <w:t>as part of their record keeping</w:t>
      </w:r>
      <w:r w:rsidR="00EE59DC">
        <w:t xml:space="preserve">. </w:t>
      </w:r>
    </w:p>
    <w:p w14:paraId="4522B209" w14:textId="73326E79" w:rsidR="000A3838" w:rsidRDefault="00615459" w:rsidP="004C1281">
      <w:pPr>
        <w:pStyle w:val="Heading3"/>
      </w:pPr>
      <w:bookmarkStart w:id="67" w:name="_Toc170302001"/>
      <w:r>
        <w:t>M</w:t>
      </w:r>
      <w:r w:rsidR="000A3838">
        <w:t>aking a payment</w:t>
      </w:r>
      <w:bookmarkEnd w:id="67"/>
    </w:p>
    <w:p w14:paraId="31593D6B" w14:textId="77777777" w:rsidR="00615459" w:rsidRPr="00D97543" w:rsidRDefault="00615459" w:rsidP="00187A4E">
      <w:r w:rsidRPr="00D97543">
        <w:t>The Scheme requires you to self-assess any liability for payment of Tradex duty.</w:t>
      </w:r>
    </w:p>
    <w:p w14:paraId="683D466A" w14:textId="0D658C4B" w:rsidR="005C79FE" w:rsidRDefault="005C79FE" w:rsidP="00187A4E">
      <w:r>
        <w:t xml:space="preserve">To </w:t>
      </w:r>
      <w:r w:rsidR="00E960CC">
        <w:t xml:space="preserve">submit your </w:t>
      </w:r>
      <w:r w:rsidR="008E1C2E" w:rsidRPr="008E1C2E">
        <w:t xml:space="preserve">Tradex duty liability </w:t>
      </w:r>
      <w:r w:rsidR="00E960CC">
        <w:t xml:space="preserve">calculation and </w:t>
      </w:r>
      <w:r w:rsidR="008E1C2E">
        <w:t>make a</w:t>
      </w:r>
      <w:r>
        <w:t xml:space="preserve"> payment</w:t>
      </w:r>
    </w:p>
    <w:p w14:paraId="202D5B44" w14:textId="621293BE" w:rsidR="005C79FE" w:rsidRPr="00187A4E" w:rsidRDefault="005C79FE" w:rsidP="00187A4E">
      <w:pPr>
        <w:pStyle w:val="ListParagraph"/>
        <w:rPr>
          <w:rFonts w:cstheme="minorHAnsi"/>
          <w:spacing w:val="-4"/>
          <w:szCs w:val="20"/>
        </w:rPr>
      </w:pPr>
      <w:r w:rsidRPr="00187A4E">
        <w:rPr>
          <w:rFonts w:cstheme="minorHAnsi"/>
          <w:spacing w:val="-4"/>
          <w:szCs w:val="20"/>
        </w:rPr>
        <w:t xml:space="preserve">complete a </w:t>
      </w:r>
      <w:hyperlink r:id="rId29" w:history="1">
        <w:r w:rsidRPr="00187A4E">
          <w:rPr>
            <w:rStyle w:val="Hyperlink"/>
            <w:rFonts w:cstheme="minorHAnsi"/>
            <w:spacing w:val="-4"/>
            <w:szCs w:val="20"/>
          </w:rPr>
          <w:t>Tradex duty payment and liability form</w:t>
        </w:r>
      </w:hyperlink>
      <w:r w:rsidRPr="00187A4E">
        <w:rPr>
          <w:rFonts w:cstheme="minorHAnsi"/>
          <w:spacing w:val="-4"/>
          <w:szCs w:val="20"/>
        </w:rPr>
        <w:t xml:space="preserve"> and email it to </w:t>
      </w:r>
      <w:hyperlink r:id="rId30" w:history="1">
        <w:r w:rsidRPr="00187A4E">
          <w:rPr>
            <w:rStyle w:val="Hyperlink"/>
            <w:rFonts w:cstheme="minorHAnsi"/>
            <w:spacing w:val="-4"/>
            <w:szCs w:val="20"/>
          </w:rPr>
          <w:t>tradex@industry.gov.au</w:t>
        </w:r>
      </w:hyperlink>
    </w:p>
    <w:p w14:paraId="7DBADC2D" w14:textId="5D2D308A" w:rsidR="005C79FE" w:rsidRPr="000E227B" w:rsidRDefault="005C79FE" w:rsidP="00187A4E">
      <w:pPr>
        <w:pStyle w:val="ListParagraph"/>
      </w:pPr>
      <w:r>
        <w:t xml:space="preserve">pay the to the department </w:t>
      </w:r>
      <w:r w:rsidRPr="005C79FE">
        <w:t xml:space="preserve">via Electronic </w:t>
      </w:r>
      <w:r w:rsidRPr="00187A4E">
        <w:t>Funds</w:t>
      </w:r>
      <w:r w:rsidRPr="005C79FE">
        <w:t xml:space="preserve"> Transfer (EFT).</w:t>
      </w:r>
    </w:p>
    <w:p w14:paraId="0904E837" w14:textId="7FBC2A65" w:rsidR="00DA6458" w:rsidRPr="00187A4E" w:rsidRDefault="005C79FE" w:rsidP="00187A4E">
      <w:r w:rsidRPr="00187A4E">
        <w:t xml:space="preserve">Make your </w:t>
      </w:r>
      <w:r w:rsidR="00DA6458" w:rsidRPr="00187A4E">
        <w:t xml:space="preserve">GST </w:t>
      </w:r>
      <w:r w:rsidRPr="00187A4E">
        <w:t>liability payments to the ATO</w:t>
      </w:r>
      <w:r w:rsidR="00DA6458" w:rsidRPr="00187A4E">
        <w:t xml:space="preserve"> in </w:t>
      </w:r>
      <w:r w:rsidRPr="00187A4E">
        <w:t>your</w:t>
      </w:r>
      <w:r w:rsidR="00DA6458" w:rsidRPr="00187A4E">
        <w:t xml:space="preserve"> Business Activity Statement</w:t>
      </w:r>
      <w:r w:rsidRPr="00187A4E">
        <w:t>.</w:t>
      </w:r>
    </w:p>
    <w:p w14:paraId="70B37261" w14:textId="6F1DC1D1" w:rsidR="0089144E" w:rsidRDefault="0089144E" w:rsidP="00187A4E">
      <w:pPr>
        <w:rPr>
          <w:rStyle w:val="Hyperlink"/>
          <w:rFonts w:cstheme="minorHAnsi"/>
          <w:color w:val="auto"/>
          <w:spacing w:val="-4"/>
          <w:sz w:val="22"/>
          <w:u w:val="none"/>
        </w:rPr>
      </w:pPr>
      <w:r w:rsidRPr="005C79FE">
        <w:t xml:space="preserve">Failure to pay Tradex duty </w:t>
      </w:r>
      <w:r w:rsidR="002A6836">
        <w:t xml:space="preserve">and/or GST liability </w:t>
      </w:r>
      <w:r w:rsidRPr="005C79FE">
        <w:t xml:space="preserve">is an </w:t>
      </w:r>
      <w:r w:rsidRPr="005B6AF5">
        <w:t>offence</w:t>
      </w:r>
      <w:r w:rsidRPr="005C79FE">
        <w:t>.</w:t>
      </w:r>
    </w:p>
    <w:p w14:paraId="5A1536D6" w14:textId="77777777" w:rsidR="00641B68" w:rsidRPr="000E227B" w:rsidRDefault="00641B68" w:rsidP="004C1281">
      <w:pPr>
        <w:pStyle w:val="Heading3"/>
      </w:pPr>
      <w:bookmarkStart w:id="68" w:name="_Toc170302002"/>
      <w:r w:rsidRPr="000E227B">
        <w:t>Overpaying Tradex duty</w:t>
      </w:r>
      <w:bookmarkEnd w:id="68"/>
    </w:p>
    <w:p w14:paraId="7AE5A00E" w14:textId="259394AE" w:rsidR="00641B68" w:rsidRPr="00681BE4" w:rsidRDefault="00641B68" w:rsidP="00187A4E">
      <w:r w:rsidRPr="00681BE4">
        <w:t xml:space="preserve">If you miscalculate and overpay Tradex duty, you can request a refund. </w:t>
      </w:r>
    </w:p>
    <w:p w14:paraId="563A4401" w14:textId="77777777" w:rsidR="00641B68" w:rsidRPr="00681BE4" w:rsidRDefault="00641B68" w:rsidP="00187A4E">
      <w:r w:rsidRPr="00681BE4">
        <w:t>A request for refund must be in writing and include:</w:t>
      </w:r>
    </w:p>
    <w:p w14:paraId="144FAB37" w14:textId="53DAE352" w:rsidR="00641B68" w:rsidRPr="00187A4E" w:rsidRDefault="00641B68" w:rsidP="00187A4E">
      <w:pPr>
        <w:pStyle w:val="ListParagraph"/>
      </w:pPr>
      <w:r w:rsidRPr="00187A4E">
        <w:t xml:space="preserve">your Tradex </w:t>
      </w:r>
      <w:r w:rsidR="00285FD0" w:rsidRPr="00187A4E">
        <w:t>O</w:t>
      </w:r>
      <w:r w:rsidRPr="00187A4E">
        <w:t>rder number</w:t>
      </w:r>
    </w:p>
    <w:p w14:paraId="4F681015" w14:textId="549A50D2" w:rsidR="00641B68" w:rsidRPr="00187A4E" w:rsidRDefault="00641B68" w:rsidP="00187A4E">
      <w:pPr>
        <w:pStyle w:val="ListParagraph"/>
      </w:pPr>
      <w:r w:rsidRPr="00187A4E">
        <w:t xml:space="preserve">your Tradex duty </w:t>
      </w:r>
      <w:r w:rsidR="008E1C2E" w:rsidRPr="00187A4E">
        <w:t xml:space="preserve">liability </w:t>
      </w:r>
      <w:r w:rsidRPr="00187A4E">
        <w:t xml:space="preserve">calculations </w:t>
      </w:r>
    </w:p>
    <w:p w14:paraId="663DCAD2" w14:textId="0F4FAA11" w:rsidR="00641B68" w:rsidRPr="00187A4E" w:rsidRDefault="00641B68" w:rsidP="00187A4E">
      <w:pPr>
        <w:pStyle w:val="ListParagraph"/>
      </w:pPr>
      <w:r w:rsidRPr="00187A4E">
        <w:t>an explanation of the overpaymen</w:t>
      </w:r>
      <w:r w:rsidR="008E1C2E" w:rsidRPr="00187A4E">
        <w:t>t</w:t>
      </w:r>
    </w:p>
    <w:p w14:paraId="6B9AC848" w14:textId="7E3C0984" w:rsidR="00641B68" w:rsidRPr="00187A4E" w:rsidRDefault="00641B68" w:rsidP="00187A4E">
      <w:pPr>
        <w:pStyle w:val="ListParagraph"/>
      </w:pPr>
      <w:r w:rsidRPr="00187A4E">
        <w:t>supporting evidence and documents.</w:t>
      </w:r>
    </w:p>
    <w:p w14:paraId="72E49C72" w14:textId="604607C2" w:rsidR="00641B68" w:rsidRPr="000E227B" w:rsidRDefault="00641B68" w:rsidP="00187A4E">
      <w:r w:rsidRPr="000E227B">
        <w:t xml:space="preserve">You must lodge the request to the department no later than four (4) years after </w:t>
      </w:r>
      <w:r w:rsidR="00257A7E">
        <w:t xml:space="preserve">you made </w:t>
      </w:r>
      <w:r w:rsidRPr="000E227B">
        <w:t>the overpayment</w:t>
      </w:r>
      <w:r w:rsidR="00257A7E">
        <w:t>.</w:t>
      </w:r>
    </w:p>
    <w:p w14:paraId="4752AEA9" w14:textId="61626454" w:rsidR="00641B68" w:rsidRPr="000E227B" w:rsidRDefault="00641B68" w:rsidP="00187A4E">
      <w:r w:rsidRPr="000E227B">
        <w:t xml:space="preserve">The department will assess your request and may </w:t>
      </w:r>
      <w:r w:rsidR="00AF4D69">
        <w:t xml:space="preserve">seek </w:t>
      </w:r>
      <w:r w:rsidRPr="000E227B">
        <w:t xml:space="preserve">more information before deciding </w:t>
      </w:r>
      <w:r w:rsidR="008B247E">
        <w:t xml:space="preserve">to refund the overpaid duty. </w:t>
      </w:r>
    </w:p>
    <w:p w14:paraId="4FC8AA17" w14:textId="70BB35C3" w:rsidR="00641B68" w:rsidRPr="000E227B" w:rsidRDefault="00641B68" w:rsidP="004C1281">
      <w:pPr>
        <w:pStyle w:val="Heading3"/>
      </w:pPr>
      <w:bookmarkStart w:id="69" w:name="_Toc170302003"/>
      <w:r w:rsidRPr="000E227B">
        <w:lastRenderedPageBreak/>
        <w:t>Underpaying Tradex duty</w:t>
      </w:r>
      <w:bookmarkEnd w:id="69"/>
    </w:p>
    <w:p w14:paraId="590A73D2" w14:textId="0F7A5CED" w:rsidR="00641B68" w:rsidRDefault="00641B68" w:rsidP="00187A4E">
      <w:pPr>
        <w:rPr>
          <w:rStyle w:val="Hyperlink"/>
          <w:rFonts w:cstheme="minorHAnsi"/>
          <w:color w:val="auto"/>
          <w:spacing w:val="-4"/>
          <w:sz w:val="22"/>
          <w:u w:val="none"/>
        </w:rPr>
      </w:pPr>
      <w:r w:rsidRPr="00641B68">
        <w:t xml:space="preserve">If you miscalculate and </w:t>
      </w:r>
      <w:r>
        <w:t>underpay</w:t>
      </w:r>
      <w:r w:rsidRPr="00641B68">
        <w:t xml:space="preserve"> </w:t>
      </w:r>
      <w:r w:rsidR="00257A7E">
        <w:t xml:space="preserve">your </w:t>
      </w:r>
      <w:r w:rsidRPr="00641B68">
        <w:t xml:space="preserve">Tradex </w:t>
      </w:r>
      <w:r w:rsidR="008B320A" w:rsidRPr="00641B68">
        <w:t>duty,</w:t>
      </w:r>
      <w:r w:rsidR="0089144E">
        <w:t xml:space="preserve"> </w:t>
      </w:r>
      <w:r w:rsidR="000B3784">
        <w:t xml:space="preserve">please contact the Tradex team for further guidance. </w:t>
      </w:r>
    </w:p>
    <w:p w14:paraId="47FC3525" w14:textId="45706649" w:rsidR="0061327E" w:rsidRPr="00715533" w:rsidRDefault="00D13EDE" w:rsidP="00187A4E">
      <w:pPr>
        <w:pStyle w:val="Heading2"/>
        <w:rPr>
          <w:rStyle w:val="BookTitle"/>
          <w:b w:val="0"/>
          <w:i w:val="0"/>
          <w:spacing w:val="0"/>
        </w:rPr>
      </w:pPr>
      <w:bookmarkStart w:id="70" w:name="_Toc170302004"/>
      <w:r w:rsidRPr="00187A4E">
        <w:rPr>
          <w:rStyle w:val="BookTitle"/>
          <w:b w:val="0"/>
          <w:bCs w:val="0"/>
          <w:i w:val="0"/>
          <w:iCs w:val="0"/>
          <w:spacing w:val="0"/>
        </w:rPr>
        <w:t>Variations</w:t>
      </w:r>
      <w:r w:rsidR="0061327E" w:rsidRPr="00715533">
        <w:rPr>
          <w:rStyle w:val="BookTitle"/>
          <w:b w:val="0"/>
          <w:i w:val="0"/>
          <w:spacing w:val="0"/>
        </w:rPr>
        <w:t xml:space="preserve"> to your Tradex order</w:t>
      </w:r>
      <w:bookmarkEnd w:id="70"/>
    </w:p>
    <w:p w14:paraId="1C4D33FD" w14:textId="4182FBD6" w:rsidR="00DA6458" w:rsidRPr="000E227B" w:rsidRDefault="00DA6458" w:rsidP="00187A4E">
      <w:pPr>
        <w:pStyle w:val="Heading3"/>
      </w:pPr>
      <w:bookmarkStart w:id="71" w:name="_Toc170302005"/>
      <w:r w:rsidRPr="000E227B">
        <w:t xml:space="preserve">Changing </w:t>
      </w:r>
      <w:r w:rsidR="007114D0" w:rsidRPr="00187A4E">
        <w:t>the</w:t>
      </w:r>
      <w:r w:rsidR="007114D0" w:rsidRPr="000E227B">
        <w:t xml:space="preserve"> </w:t>
      </w:r>
      <w:r w:rsidRPr="000E227B">
        <w:t>nominated goods</w:t>
      </w:r>
      <w:bookmarkEnd w:id="71"/>
    </w:p>
    <w:p w14:paraId="58D0389E" w14:textId="39362C7B" w:rsidR="00DA6458" w:rsidRPr="00187A4E" w:rsidRDefault="00DA6458" w:rsidP="00187A4E">
      <w:pPr>
        <w:rPr>
          <w:szCs w:val="20"/>
        </w:rPr>
      </w:pPr>
      <w:r w:rsidRPr="00187A4E">
        <w:rPr>
          <w:szCs w:val="20"/>
        </w:rPr>
        <w:t xml:space="preserve">You can apply to add, </w:t>
      </w:r>
      <w:r w:rsidR="001F39E4" w:rsidRPr="00187A4E">
        <w:rPr>
          <w:szCs w:val="20"/>
        </w:rPr>
        <w:t>remove,</w:t>
      </w:r>
      <w:r w:rsidRPr="00187A4E">
        <w:rPr>
          <w:szCs w:val="20"/>
        </w:rPr>
        <w:t xml:space="preserve"> or change the description of the goods covered by your Tradex </w:t>
      </w:r>
      <w:r w:rsidR="00285FD0" w:rsidRPr="00187A4E">
        <w:rPr>
          <w:szCs w:val="20"/>
        </w:rPr>
        <w:t>O</w:t>
      </w:r>
      <w:r w:rsidRPr="00187A4E">
        <w:rPr>
          <w:szCs w:val="20"/>
        </w:rPr>
        <w:t>rder</w:t>
      </w:r>
      <w:r w:rsidR="009E0F11" w:rsidRPr="00187A4E">
        <w:rPr>
          <w:szCs w:val="20"/>
        </w:rPr>
        <w:t xml:space="preserve">. </w:t>
      </w:r>
      <w:r w:rsidR="00715533" w:rsidRPr="00187A4E">
        <w:rPr>
          <w:szCs w:val="20"/>
        </w:rPr>
        <w:t>T</w:t>
      </w:r>
      <w:r w:rsidR="003E4A0E" w:rsidRPr="00187A4E">
        <w:rPr>
          <w:szCs w:val="20"/>
        </w:rPr>
        <w:t>o do this, you must c</w:t>
      </w:r>
      <w:r w:rsidRPr="00187A4E">
        <w:rPr>
          <w:szCs w:val="20"/>
        </w:rPr>
        <w:t>omplet</w:t>
      </w:r>
      <w:r w:rsidR="00C06253" w:rsidRPr="00187A4E">
        <w:rPr>
          <w:szCs w:val="20"/>
        </w:rPr>
        <w:t>e</w:t>
      </w:r>
      <w:r w:rsidRPr="00187A4E">
        <w:rPr>
          <w:szCs w:val="20"/>
        </w:rPr>
        <w:t xml:space="preserve"> </w:t>
      </w:r>
      <w:r w:rsidR="007114D0" w:rsidRPr="00187A4E">
        <w:rPr>
          <w:szCs w:val="20"/>
        </w:rPr>
        <w:t>the</w:t>
      </w:r>
      <w:r w:rsidRPr="00187A4E">
        <w:rPr>
          <w:szCs w:val="20"/>
        </w:rPr>
        <w:t xml:space="preserve"> </w:t>
      </w:r>
      <w:hyperlink r:id="rId31" w:history="1">
        <w:r w:rsidRPr="00187A4E">
          <w:rPr>
            <w:rStyle w:val="Hyperlink"/>
            <w:rFonts w:cstheme="minorHAnsi"/>
            <w:spacing w:val="-4"/>
            <w:szCs w:val="20"/>
          </w:rPr>
          <w:t>Application for variation</w:t>
        </w:r>
      </w:hyperlink>
      <w:r w:rsidRPr="00187A4E">
        <w:rPr>
          <w:szCs w:val="20"/>
        </w:rPr>
        <w:t xml:space="preserve"> form </w:t>
      </w:r>
      <w:r w:rsidR="007114D0" w:rsidRPr="00187A4E">
        <w:rPr>
          <w:szCs w:val="20"/>
        </w:rPr>
        <w:t xml:space="preserve">and email </w:t>
      </w:r>
      <w:r w:rsidRPr="00187A4E">
        <w:rPr>
          <w:szCs w:val="20"/>
        </w:rPr>
        <w:t xml:space="preserve">to </w:t>
      </w:r>
      <w:hyperlink r:id="rId32" w:history="1">
        <w:r w:rsidRPr="00187A4E">
          <w:rPr>
            <w:rStyle w:val="Hyperlink"/>
            <w:rFonts w:cstheme="minorHAnsi"/>
            <w:spacing w:val="-4"/>
            <w:szCs w:val="20"/>
          </w:rPr>
          <w:t>tradex@industry.gov.au</w:t>
        </w:r>
      </w:hyperlink>
    </w:p>
    <w:p w14:paraId="4718D8B8" w14:textId="48DDDB42" w:rsidR="00DA6458" w:rsidRPr="00187A4E" w:rsidRDefault="00DA6458" w:rsidP="00187A4E">
      <w:pPr>
        <w:rPr>
          <w:szCs w:val="20"/>
        </w:rPr>
      </w:pPr>
      <w:r w:rsidRPr="00187A4E">
        <w:rPr>
          <w:szCs w:val="20"/>
        </w:rPr>
        <w:t xml:space="preserve">If you intend to add goods to your Tradex </w:t>
      </w:r>
      <w:r w:rsidR="00285FD0" w:rsidRPr="00187A4E">
        <w:rPr>
          <w:szCs w:val="20"/>
        </w:rPr>
        <w:t>O</w:t>
      </w:r>
      <w:r w:rsidRPr="00187A4E">
        <w:rPr>
          <w:szCs w:val="20"/>
        </w:rPr>
        <w:t xml:space="preserve">rder, </w:t>
      </w:r>
      <w:r w:rsidR="00C06253" w:rsidRPr="00187A4E">
        <w:rPr>
          <w:szCs w:val="20"/>
        </w:rPr>
        <w:t xml:space="preserve">you </w:t>
      </w:r>
      <w:r w:rsidRPr="00187A4E">
        <w:rPr>
          <w:szCs w:val="20"/>
        </w:rPr>
        <w:t xml:space="preserve">must </w:t>
      </w:r>
      <w:r w:rsidR="007114D0" w:rsidRPr="00187A4E">
        <w:rPr>
          <w:szCs w:val="20"/>
        </w:rPr>
        <w:t>lodge</w:t>
      </w:r>
      <w:r w:rsidRPr="00187A4E">
        <w:rPr>
          <w:szCs w:val="20"/>
        </w:rPr>
        <w:t xml:space="preserve"> </w:t>
      </w:r>
      <w:r w:rsidR="00C06253" w:rsidRPr="00187A4E">
        <w:rPr>
          <w:szCs w:val="20"/>
        </w:rPr>
        <w:t xml:space="preserve">an application for variation </w:t>
      </w:r>
      <w:r w:rsidRPr="00187A4E">
        <w:rPr>
          <w:szCs w:val="20"/>
        </w:rPr>
        <w:t xml:space="preserve">before </w:t>
      </w:r>
      <w:r w:rsidR="001F39E4" w:rsidRPr="00187A4E">
        <w:rPr>
          <w:szCs w:val="20"/>
        </w:rPr>
        <w:t xml:space="preserve">importing </w:t>
      </w:r>
      <w:r w:rsidRPr="00187A4E">
        <w:rPr>
          <w:szCs w:val="20"/>
        </w:rPr>
        <w:t>the goods</w:t>
      </w:r>
      <w:r w:rsidR="001F39E4" w:rsidRPr="00187A4E">
        <w:rPr>
          <w:szCs w:val="20"/>
        </w:rPr>
        <w:t>.</w:t>
      </w:r>
      <w:r w:rsidRPr="00187A4E">
        <w:rPr>
          <w:szCs w:val="20"/>
        </w:rPr>
        <w:t xml:space="preserve"> We recommend applying for a variation at least one month before the expected arrival of the goods. If the </w:t>
      </w:r>
      <w:r w:rsidR="001F39E4" w:rsidRPr="00187A4E">
        <w:rPr>
          <w:szCs w:val="20"/>
        </w:rPr>
        <w:t>department approves the variation,</w:t>
      </w:r>
      <w:r w:rsidRPr="00187A4E">
        <w:rPr>
          <w:szCs w:val="20"/>
        </w:rPr>
        <w:t xml:space="preserve"> i</w:t>
      </w:r>
      <w:r w:rsidR="001F39E4" w:rsidRPr="00187A4E">
        <w:rPr>
          <w:szCs w:val="20"/>
        </w:rPr>
        <w:t xml:space="preserve">t </w:t>
      </w:r>
      <w:r w:rsidR="00C06253" w:rsidRPr="00187A4E">
        <w:rPr>
          <w:szCs w:val="20"/>
        </w:rPr>
        <w:t xml:space="preserve">will </w:t>
      </w:r>
      <w:r w:rsidR="00F82D01" w:rsidRPr="00187A4E">
        <w:rPr>
          <w:szCs w:val="20"/>
        </w:rPr>
        <w:t>reissue the</w:t>
      </w:r>
      <w:r w:rsidRPr="00187A4E">
        <w:rPr>
          <w:szCs w:val="20"/>
        </w:rPr>
        <w:t xml:space="preserve"> Tradex </w:t>
      </w:r>
      <w:r w:rsidR="00285FD0" w:rsidRPr="00187A4E">
        <w:rPr>
          <w:szCs w:val="20"/>
        </w:rPr>
        <w:t>O</w:t>
      </w:r>
      <w:r w:rsidRPr="00187A4E">
        <w:rPr>
          <w:szCs w:val="20"/>
        </w:rPr>
        <w:t>rder</w:t>
      </w:r>
      <w:r w:rsidR="00F82D01" w:rsidRPr="00187A4E">
        <w:rPr>
          <w:szCs w:val="20"/>
        </w:rPr>
        <w:t xml:space="preserve"> with updated information.</w:t>
      </w:r>
    </w:p>
    <w:p w14:paraId="1F3EE416" w14:textId="6D26308B" w:rsidR="00DA6458" w:rsidRPr="00187A4E" w:rsidRDefault="007114D0" w:rsidP="00187A4E">
      <w:pPr>
        <w:rPr>
          <w:szCs w:val="20"/>
        </w:rPr>
      </w:pPr>
      <w:r w:rsidRPr="00187A4E">
        <w:rPr>
          <w:szCs w:val="20"/>
        </w:rPr>
        <w:t xml:space="preserve">We </w:t>
      </w:r>
      <w:r w:rsidR="00DA6458" w:rsidRPr="00187A4E">
        <w:rPr>
          <w:szCs w:val="20"/>
        </w:rPr>
        <w:t>cannot approve</w:t>
      </w:r>
      <w:r w:rsidRPr="00187A4E">
        <w:rPr>
          <w:szCs w:val="20"/>
        </w:rPr>
        <w:t xml:space="preserve"> a variation</w:t>
      </w:r>
      <w:r w:rsidR="00DA6458" w:rsidRPr="00187A4E">
        <w:rPr>
          <w:szCs w:val="20"/>
        </w:rPr>
        <w:t xml:space="preserve"> for goods already imported. </w:t>
      </w:r>
    </w:p>
    <w:p w14:paraId="7B898153" w14:textId="5F221061" w:rsidR="0061327E" w:rsidRPr="00681BE4" w:rsidRDefault="008E1C2E" w:rsidP="004C1281">
      <w:pPr>
        <w:pStyle w:val="Heading3"/>
      </w:pPr>
      <w:bookmarkStart w:id="72" w:name="_Toc170302006"/>
      <w:r>
        <w:t>Changing n</w:t>
      </w:r>
      <w:r w:rsidR="0061327E" w:rsidRPr="00681BE4">
        <w:t>ame</w:t>
      </w:r>
      <w:r>
        <w:t>s</w:t>
      </w:r>
      <w:r w:rsidR="0061327E" w:rsidRPr="00681BE4">
        <w:t xml:space="preserve"> and </w:t>
      </w:r>
      <w:r>
        <w:t>a</w:t>
      </w:r>
      <w:r w:rsidR="0061327E" w:rsidRPr="00681BE4">
        <w:t>ddress</w:t>
      </w:r>
      <w:r>
        <w:t>es</w:t>
      </w:r>
      <w:bookmarkEnd w:id="72"/>
      <w:r w:rsidR="0061327E" w:rsidRPr="00681BE4">
        <w:t xml:space="preserve"> </w:t>
      </w:r>
    </w:p>
    <w:p w14:paraId="77672D74" w14:textId="262BE898" w:rsidR="00257A7E" w:rsidRDefault="0061327E" w:rsidP="00187A4E">
      <w:r w:rsidRPr="000E227B">
        <w:t>You must tell us in writing</w:t>
      </w:r>
      <w:r w:rsidR="00DF4737">
        <w:t>, within 14 days</w:t>
      </w:r>
      <w:r w:rsidRPr="000E227B">
        <w:t xml:space="preserve"> of any changes to your Tradex </w:t>
      </w:r>
      <w:r w:rsidR="00285FD0">
        <w:t>O</w:t>
      </w:r>
      <w:r w:rsidRPr="000E227B">
        <w:t>rder.</w:t>
      </w:r>
    </w:p>
    <w:p w14:paraId="7A14C5DB" w14:textId="1011012F" w:rsidR="0061327E" w:rsidRPr="000E227B" w:rsidRDefault="0061327E" w:rsidP="00187A4E">
      <w:r w:rsidRPr="000E227B">
        <w:t>These include a change of:</w:t>
      </w:r>
    </w:p>
    <w:p w14:paraId="09F76889" w14:textId="77777777" w:rsidR="0061327E" w:rsidRPr="00187A4E" w:rsidRDefault="0061327E" w:rsidP="00187A4E">
      <w:pPr>
        <w:pStyle w:val="ListParagraph"/>
      </w:pPr>
      <w:r w:rsidRPr="00187A4E">
        <w:t xml:space="preserve">address </w:t>
      </w:r>
    </w:p>
    <w:p w14:paraId="7371FA8D" w14:textId="77777777" w:rsidR="0061327E" w:rsidRPr="00187A4E" w:rsidRDefault="0061327E" w:rsidP="00187A4E">
      <w:pPr>
        <w:pStyle w:val="ListParagraph"/>
      </w:pPr>
      <w:r w:rsidRPr="00187A4E">
        <w:t>contact person</w:t>
      </w:r>
    </w:p>
    <w:p w14:paraId="76A5E88F" w14:textId="77777777" w:rsidR="0061327E" w:rsidRPr="00187A4E" w:rsidRDefault="0061327E" w:rsidP="00187A4E">
      <w:pPr>
        <w:pStyle w:val="ListParagraph"/>
      </w:pPr>
      <w:r w:rsidRPr="00187A4E">
        <w:t>contact details – phone or email</w:t>
      </w:r>
    </w:p>
    <w:p w14:paraId="55D7A12C" w14:textId="77777777" w:rsidR="0061327E" w:rsidRPr="00187A4E" w:rsidRDefault="0061327E" w:rsidP="00187A4E">
      <w:pPr>
        <w:pStyle w:val="ListParagraph"/>
      </w:pPr>
      <w:r w:rsidRPr="00187A4E">
        <w:t>Australian Business Number (ABN)</w:t>
      </w:r>
    </w:p>
    <w:p w14:paraId="4C4EEC20" w14:textId="7D86CBAF" w:rsidR="0061327E" w:rsidRPr="00187A4E" w:rsidRDefault="00DF4737" w:rsidP="00187A4E">
      <w:pPr>
        <w:pStyle w:val="ListParagraph"/>
      </w:pPr>
      <w:r w:rsidRPr="00187A4E">
        <w:t xml:space="preserve">company </w:t>
      </w:r>
      <w:r w:rsidR="0061327E" w:rsidRPr="00187A4E">
        <w:t>business name.</w:t>
      </w:r>
    </w:p>
    <w:p w14:paraId="1C91B156" w14:textId="77777777" w:rsidR="0089158C" w:rsidRPr="00681BE4" w:rsidRDefault="0089158C" w:rsidP="00187A4E">
      <w:pPr>
        <w:pStyle w:val="Heading2"/>
        <w:rPr>
          <w:rStyle w:val="BookTitle"/>
          <w:b w:val="0"/>
          <w:bCs w:val="0"/>
          <w:i w:val="0"/>
          <w:iCs w:val="0"/>
          <w:spacing w:val="0"/>
        </w:rPr>
      </w:pPr>
      <w:bookmarkStart w:id="73" w:name="_Toc170302007"/>
      <w:bookmarkEnd w:id="53"/>
      <w:r w:rsidRPr="00715533">
        <w:rPr>
          <w:rStyle w:val="BookTitle"/>
          <w:b w:val="0"/>
          <w:i w:val="0"/>
          <w:spacing w:val="0"/>
        </w:rPr>
        <w:t>Audit</w:t>
      </w:r>
      <w:r w:rsidRPr="00681BE4">
        <w:rPr>
          <w:rStyle w:val="BookTitle"/>
          <w:i w:val="0"/>
          <w:iCs w:val="0"/>
          <w:spacing w:val="0"/>
        </w:rPr>
        <w:t xml:space="preserve"> </w:t>
      </w:r>
      <w:r w:rsidRPr="00187A4E">
        <w:rPr>
          <w:rStyle w:val="BookTitle"/>
          <w:b w:val="0"/>
          <w:bCs w:val="0"/>
          <w:i w:val="0"/>
          <w:iCs w:val="0"/>
          <w:spacing w:val="0"/>
        </w:rPr>
        <w:t>reviews</w:t>
      </w:r>
      <w:bookmarkEnd w:id="73"/>
    </w:p>
    <w:p w14:paraId="1C4CFC5F" w14:textId="77777777" w:rsidR="0089158C" w:rsidRDefault="0089158C" w:rsidP="00187A4E">
      <w:r w:rsidRPr="000E227B">
        <w:t xml:space="preserve">The importer is responsible for correctly entering goods under a concessional item. Importations of goods that claim duty concessions may be subject to </w:t>
      </w:r>
      <w:r>
        <w:t>department, ABF</w:t>
      </w:r>
      <w:r w:rsidRPr="000E227B">
        <w:t xml:space="preserve"> </w:t>
      </w:r>
      <w:r w:rsidRPr="00296CDF">
        <w:t>and ATO audit</w:t>
      </w:r>
      <w:r w:rsidRPr="000E227B">
        <w:t xml:space="preserve"> procedures.</w:t>
      </w:r>
    </w:p>
    <w:p w14:paraId="507A90F7" w14:textId="262DCEAE" w:rsidR="0089158C" w:rsidRDefault="0089158C" w:rsidP="00187A4E">
      <w:r>
        <w:t>As a condition of holding a Tradex Order</w:t>
      </w:r>
      <w:r w:rsidRPr="00681BE4">
        <w:t xml:space="preserve">, all order holders will </w:t>
      </w:r>
      <w:r>
        <w:t>potentially h</w:t>
      </w:r>
      <w:r w:rsidRPr="00681BE4">
        <w:t xml:space="preserve">ave to take part in an </w:t>
      </w:r>
      <w:r w:rsidR="00AF4D69">
        <w:t>a</w:t>
      </w:r>
      <w:r w:rsidRPr="00681BE4">
        <w:t xml:space="preserve">udit compliance review </w:t>
      </w:r>
      <w:r>
        <w:t xml:space="preserve">as </w:t>
      </w:r>
      <w:r w:rsidRPr="00681BE4">
        <w:t>set out in</w:t>
      </w:r>
      <w:r w:rsidR="00821DC1">
        <w:t xml:space="preserve"> section 24 of the</w:t>
      </w:r>
      <w:r w:rsidRPr="00681BE4">
        <w:t xml:space="preserve"> T</w:t>
      </w:r>
      <w:r>
        <w:t>radex</w:t>
      </w:r>
      <w:r w:rsidRPr="00681BE4">
        <w:t xml:space="preserve"> Act</w:t>
      </w:r>
      <w:r>
        <w:t>.</w:t>
      </w:r>
      <w:r w:rsidRPr="00681BE4">
        <w:t xml:space="preserve"> </w:t>
      </w:r>
    </w:p>
    <w:p w14:paraId="09184660" w14:textId="4FE02B2B" w:rsidR="0089158C" w:rsidRPr="001523AD" w:rsidRDefault="0089158C" w:rsidP="00187A4E">
      <w:r w:rsidRPr="00681BE4">
        <w:t xml:space="preserve">When </w:t>
      </w:r>
      <w:r>
        <w:t xml:space="preserve">the department conducts a </w:t>
      </w:r>
      <w:r w:rsidRPr="00681BE4">
        <w:t>compliance review</w:t>
      </w:r>
      <w:r>
        <w:t xml:space="preserve"> of your business</w:t>
      </w:r>
      <w:r w:rsidRPr="00681BE4">
        <w:t xml:space="preserve"> you will have to</w:t>
      </w:r>
      <w:r w:rsidR="00821DC1">
        <w:t xml:space="preserve"> make available all your record keeping relating to the nominated goods and </w:t>
      </w:r>
      <w:r w:rsidR="00821DC1" w:rsidRPr="00681BE4">
        <w:t>allow the department to examine the goods and inspect the premises where they are stored or processed.</w:t>
      </w:r>
    </w:p>
    <w:p w14:paraId="1E256E4D" w14:textId="3B66986C" w:rsidR="002103E6" w:rsidRPr="006933B1" w:rsidRDefault="002103E6" w:rsidP="00187A4E">
      <w:r w:rsidRPr="006933B1">
        <w:t>Australian government programs are required to conduct ongoing audit over their programs for performance and compliance as prescribed by the Australian National Audit Office</w:t>
      </w:r>
      <w:r w:rsidRPr="006933B1">
        <w:rPr>
          <w:vertAlign w:val="superscript"/>
        </w:rPr>
        <w:footnoteReference w:id="3"/>
      </w:r>
      <w:r w:rsidRPr="006933B1">
        <w:t xml:space="preserve"> and according to the Australian Attorney-General’s Department Fraud Control Policy</w:t>
      </w:r>
      <w:r w:rsidRPr="006933B1">
        <w:rPr>
          <w:vertAlign w:val="superscript"/>
        </w:rPr>
        <w:footnoteReference w:id="4"/>
      </w:r>
      <w:r w:rsidRPr="006933B1">
        <w:t xml:space="preserve">. As a condition of the Tradex Scheme, any participant must agree to participate fully in </w:t>
      </w:r>
      <w:r w:rsidR="00721FA9">
        <w:t xml:space="preserve">this </w:t>
      </w:r>
      <w:r w:rsidRPr="006933B1">
        <w:t xml:space="preserve">audit  and ensure that all records under a Tradex </w:t>
      </w:r>
      <w:r>
        <w:t>Order</w:t>
      </w:r>
      <w:r w:rsidRPr="006933B1">
        <w:t xml:space="preserve"> are retained for this purpose. This is required for all present and past participants of the scheme. Failure to comply with an audit or review may result in removal from the scheme, suspension </w:t>
      </w:r>
      <w:r w:rsidRPr="006933B1">
        <w:lastRenderedPageBreak/>
        <w:t xml:space="preserve">from the scheme (current participants) and/or be deemed ineligibile for future participation in the Tradex Scheme, or other similar schemes, as administered by the department. </w:t>
      </w:r>
    </w:p>
    <w:p w14:paraId="2D8CFD8E" w14:textId="77777777" w:rsidR="00A8286A" w:rsidRPr="00681BE4" w:rsidRDefault="00A8286A" w:rsidP="004C1281">
      <w:pPr>
        <w:pStyle w:val="Heading2"/>
      </w:pPr>
      <w:bookmarkStart w:id="74" w:name="_Toc170302008"/>
      <w:r w:rsidRPr="00681BE4">
        <w:t>Offences</w:t>
      </w:r>
      <w:bookmarkEnd w:id="74"/>
    </w:p>
    <w:p w14:paraId="3C39AA6A" w14:textId="4AD48A48" w:rsidR="00A8286A" w:rsidRDefault="00A8286A" w:rsidP="00187A4E">
      <w:r w:rsidRPr="00681BE4">
        <w:t xml:space="preserve">Tradex </w:t>
      </w:r>
      <w:r w:rsidR="00285FD0">
        <w:t>O</w:t>
      </w:r>
      <w:r w:rsidRPr="00681BE4">
        <w:t xml:space="preserve">rder applicants and holders can be penalised or prosecuted if found guilty of an offence under the </w:t>
      </w:r>
      <w:r w:rsidR="003C139A">
        <w:t xml:space="preserve">Tradex Scheme </w:t>
      </w:r>
      <w:r w:rsidRPr="00681BE4">
        <w:t>Act.</w:t>
      </w:r>
    </w:p>
    <w:p w14:paraId="72ABDC84" w14:textId="702CA7EE" w:rsidR="00285FD0" w:rsidRDefault="00285FD0" w:rsidP="00187A4E">
      <w:r>
        <w:t xml:space="preserve">Applicable penalties are outlined in Sections 26 to 32, Part 9, </w:t>
      </w:r>
      <w:r w:rsidRPr="00D97543">
        <w:rPr>
          <w:i/>
        </w:rPr>
        <w:t>Tradex Scheme Act 1999</w:t>
      </w:r>
      <w:r>
        <w:t xml:space="preserve"> and vary according to each type of offence.</w:t>
      </w:r>
    </w:p>
    <w:p w14:paraId="12CDDE1A" w14:textId="7CD9022E" w:rsidR="008726FD" w:rsidRPr="00EA265A" w:rsidRDefault="008726FD" w:rsidP="004C1281">
      <w:pPr>
        <w:pStyle w:val="Heading2"/>
      </w:pPr>
      <w:bookmarkStart w:id="75" w:name="_Toc142318769"/>
      <w:bookmarkStart w:id="76" w:name="_Toc170302009"/>
      <w:r w:rsidRPr="00EA265A">
        <w:t>Probity</w:t>
      </w:r>
      <w:bookmarkEnd w:id="75"/>
      <w:bookmarkEnd w:id="76"/>
    </w:p>
    <w:p w14:paraId="7ECE4164" w14:textId="2545D0D2" w:rsidR="008726FD" w:rsidRPr="000E227B" w:rsidRDefault="008726FD" w:rsidP="00187A4E">
      <w:pPr>
        <w:rPr>
          <w:iCs/>
        </w:rPr>
      </w:pPr>
      <w:r w:rsidRPr="000E227B">
        <w:t xml:space="preserve">We will make sure that the application process is fair, according to the published guidelines, incorporates appropriate safeguards against fraud, unlawful </w:t>
      </w:r>
      <w:r w:rsidR="00320293" w:rsidRPr="00320293">
        <w:t>activities,</w:t>
      </w:r>
      <w:r w:rsidRPr="000E227B">
        <w:t xml:space="preserve"> and other inappropriate conduct.</w:t>
      </w:r>
    </w:p>
    <w:p w14:paraId="49AF9123" w14:textId="77777777" w:rsidR="008726FD" w:rsidRPr="00EA265A" w:rsidRDefault="008726FD" w:rsidP="004C1281">
      <w:pPr>
        <w:pStyle w:val="Heading3"/>
      </w:pPr>
      <w:bookmarkStart w:id="77" w:name="_Toc531277529"/>
      <w:bookmarkStart w:id="78" w:name="_Toc955339"/>
      <w:bookmarkStart w:id="79" w:name="_Toc106348451"/>
      <w:bookmarkStart w:id="80" w:name="_Toc116479117"/>
      <w:bookmarkStart w:id="81" w:name="_Toc142318770"/>
      <w:bookmarkStart w:id="82" w:name="_Toc170302010"/>
      <w:r w:rsidRPr="00EA265A">
        <w:t>Conflicts of interest</w:t>
      </w:r>
      <w:bookmarkEnd w:id="77"/>
      <w:bookmarkEnd w:id="78"/>
      <w:bookmarkEnd w:id="79"/>
      <w:bookmarkEnd w:id="80"/>
      <w:bookmarkEnd w:id="81"/>
      <w:bookmarkEnd w:id="82"/>
    </w:p>
    <w:p w14:paraId="6F5FD6A3" w14:textId="77777777" w:rsidR="008726FD" w:rsidRPr="00187A4E" w:rsidRDefault="008726FD" w:rsidP="00187A4E">
      <w:bookmarkStart w:id="83" w:name="_Toc496536699"/>
      <w:r w:rsidRPr="00187A4E">
        <w:t xml:space="preserve">Any conflicts of interest </w:t>
      </w:r>
      <w:bookmarkEnd w:id="83"/>
      <w:r w:rsidRPr="00187A4E">
        <w:t xml:space="preserve">could affect the performance of the program. There may be a </w:t>
      </w:r>
      <w:hyperlink r:id="rId33" w:history="1">
        <w:r w:rsidRPr="00187A4E">
          <w:rPr>
            <w:rStyle w:val="Hyperlink"/>
          </w:rPr>
          <w:t>conflict of interest</w:t>
        </w:r>
      </w:hyperlink>
      <w:r w:rsidRPr="00187A4E">
        <w:t>, or perceived conflict of interest, if our staff and/or you or any of your personnel:</w:t>
      </w:r>
    </w:p>
    <w:p w14:paraId="4ABA0CC5" w14:textId="5E2C6E0A" w:rsidR="008726FD" w:rsidRPr="000E227B" w:rsidRDefault="00AF4D69" w:rsidP="00187A4E">
      <w:pPr>
        <w:pStyle w:val="ListParagraph"/>
      </w:pPr>
      <w:r w:rsidRPr="000E227B">
        <w:t>ha</w:t>
      </w:r>
      <w:r>
        <w:t>ve</w:t>
      </w:r>
      <w:r w:rsidR="008726FD" w:rsidRPr="000E227B">
        <w:t xml:space="preserve">a professional, </w:t>
      </w:r>
      <w:r w:rsidR="00320293" w:rsidRPr="00320293">
        <w:t>commercial,</w:t>
      </w:r>
      <w:r w:rsidR="008726FD" w:rsidRPr="000E227B">
        <w:t xml:space="preserve"> or personal relationship with a party who is able to influence the application process, such as an Australian Government officer</w:t>
      </w:r>
    </w:p>
    <w:p w14:paraId="5E88CE96" w14:textId="69866845" w:rsidR="008726FD" w:rsidRPr="00187A4E" w:rsidRDefault="008726FD" w:rsidP="00187A4E">
      <w:pPr>
        <w:pStyle w:val="ListParagraph"/>
      </w:pPr>
      <w:r w:rsidRPr="00187A4E">
        <w:t>ha</w:t>
      </w:r>
      <w:r w:rsidR="00AF4D69">
        <w:t>ve</w:t>
      </w:r>
      <w:r w:rsidRPr="00187A4E">
        <w:t xml:space="preserve"> a relationship with or interest in, an organisation, which is likely to interfere with or restrict the applicants from </w:t>
      </w:r>
      <w:r w:rsidR="00037520" w:rsidRPr="00187A4E">
        <w:t>conducting</w:t>
      </w:r>
      <w:r w:rsidRPr="00187A4E">
        <w:t xml:space="preserve"> the proposed activities fairly and independently or</w:t>
      </w:r>
    </w:p>
    <w:p w14:paraId="416A3559" w14:textId="444A0414" w:rsidR="008726FD" w:rsidRPr="00187A4E" w:rsidRDefault="00AF4D69" w:rsidP="00187A4E">
      <w:pPr>
        <w:pStyle w:val="ListParagraph"/>
      </w:pPr>
      <w:r w:rsidRPr="00187A4E">
        <w:t>ha</w:t>
      </w:r>
      <w:r>
        <w:t xml:space="preserve">ve </w:t>
      </w:r>
      <w:r w:rsidR="008726FD" w:rsidRPr="00187A4E">
        <w:t>a relationship with, or interest in, an organisation from which they will receive personal gain because the organisation receives a concession under the program.</w:t>
      </w:r>
    </w:p>
    <w:p w14:paraId="228D5D8B" w14:textId="648FC617" w:rsidR="008726FD" w:rsidRPr="000E227B" w:rsidRDefault="008726FD" w:rsidP="00187A4E">
      <w:pPr>
        <w:rPr>
          <w:iCs/>
        </w:rPr>
      </w:pPr>
      <w:r w:rsidRPr="000E227B">
        <w:t>As part of your application, we will ask you to declare any perceived or existing conflicts of interest or confirm that, to the best of your knowledge, there is no conflict of interest.</w:t>
      </w:r>
    </w:p>
    <w:p w14:paraId="244A588B" w14:textId="77777777" w:rsidR="008726FD" w:rsidRPr="000E227B" w:rsidRDefault="008726FD" w:rsidP="00187A4E">
      <w:pPr>
        <w:rPr>
          <w:iCs/>
        </w:rPr>
      </w:pPr>
      <w:r w:rsidRPr="000E227B">
        <w:t xml:space="preserve">If you later identify an actual, apparent, or perceived conflict of interest, you must inform us in writing immediately. </w:t>
      </w:r>
    </w:p>
    <w:p w14:paraId="30F49D56" w14:textId="678D43C3" w:rsidR="004102D6" w:rsidRDefault="00C744F2" w:rsidP="00187A4E">
      <w:r w:rsidRPr="00756788">
        <w:t>Under the APS Code of Conduct, the department staff are required to take reasonable steps to avoid any conflict of interest (real or apparent).</w:t>
      </w:r>
      <w:r>
        <w:rPr>
          <w:rFonts w:ascii="Segoe UI" w:hAnsi="Segoe UI" w:cs="Segoe UI"/>
          <w:sz w:val="18"/>
          <w:szCs w:val="18"/>
        </w:rPr>
        <w:t xml:space="preserve"> </w:t>
      </w:r>
      <w:bookmarkStart w:id="84" w:name="_Toc530073069"/>
      <w:bookmarkStart w:id="85" w:name="_Toc530073070"/>
      <w:bookmarkStart w:id="86" w:name="_Toc530073074"/>
      <w:bookmarkStart w:id="87" w:name="_Toc530073075"/>
      <w:bookmarkStart w:id="88" w:name="_Toc530073076"/>
      <w:bookmarkStart w:id="89" w:name="_Toc530073078"/>
      <w:bookmarkStart w:id="90" w:name="_Toc530073079"/>
      <w:bookmarkStart w:id="91" w:name="_Toc530073080"/>
      <w:bookmarkStart w:id="92" w:name="_Toc496536701"/>
      <w:bookmarkStart w:id="93" w:name="_Toc531277530"/>
      <w:bookmarkStart w:id="94" w:name="_Toc955340"/>
      <w:bookmarkEnd w:id="84"/>
      <w:bookmarkEnd w:id="85"/>
      <w:bookmarkEnd w:id="86"/>
      <w:bookmarkEnd w:id="87"/>
      <w:bookmarkEnd w:id="88"/>
      <w:bookmarkEnd w:id="89"/>
      <w:bookmarkEnd w:id="90"/>
      <w:bookmarkEnd w:id="91"/>
      <w:r w:rsidR="008726FD" w:rsidRPr="000E227B">
        <w:t xml:space="preserve">We publish our </w:t>
      </w:r>
      <w:hyperlink r:id="rId34" w:history="1">
        <w:r w:rsidR="008726FD" w:rsidRPr="000E227B">
          <w:rPr>
            <w:color w:val="3366CC"/>
            <w:u w:val="single"/>
          </w:rPr>
          <w:t>conflict of interest policy</w:t>
        </w:r>
      </w:hyperlink>
      <w:r w:rsidR="008726FD" w:rsidRPr="000E227B">
        <w:rPr>
          <w:vertAlign w:val="superscript"/>
        </w:rPr>
        <w:footnoteReference w:id="5"/>
      </w:r>
      <w:r w:rsidR="008726FD" w:rsidRPr="000E227B">
        <w:t xml:space="preserve"> on the</w:t>
      </w:r>
      <w:r w:rsidR="008726FD" w:rsidRPr="000E227B">
        <w:rPr>
          <w:b/>
          <w:color w:val="006968" w:themeColor="accent3" w:themeShade="80"/>
        </w:rPr>
        <w:t xml:space="preserve"> </w:t>
      </w:r>
      <w:r w:rsidR="008726FD" w:rsidRPr="000E227B">
        <w:t>department’s website. The Commonwealth policy entity also publishes a conflict of interest policy on its website.</w:t>
      </w:r>
      <w:bookmarkStart w:id="95" w:name="_Toc106348452"/>
      <w:bookmarkStart w:id="96" w:name="_Toc116479118"/>
      <w:bookmarkStart w:id="97" w:name="_Toc142318771"/>
      <w:r w:rsidR="007114D0" w:rsidRPr="00EA265A">
        <w:t xml:space="preserve"> </w:t>
      </w:r>
    </w:p>
    <w:p w14:paraId="316D7B23" w14:textId="77777777" w:rsidR="004102D6" w:rsidRDefault="004102D6">
      <w:pPr>
        <w:spacing w:before="0" w:after="0"/>
      </w:pPr>
      <w:r>
        <w:br w:type="page"/>
      </w:r>
    </w:p>
    <w:p w14:paraId="38A99154" w14:textId="01E107CB" w:rsidR="008726FD" w:rsidRPr="00EA265A" w:rsidRDefault="008726FD" w:rsidP="004C1281">
      <w:pPr>
        <w:pStyle w:val="Heading3"/>
      </w:pPr>
      <w:bookmarkStart w:id="98" w:name="_Toc170302011"/>
      <w:r w:rsidRPr="00EA265A">
        <w:lastRenderedPageBreak/>
        <w:t>How we use your information</w:t>
      </w:r>
      <w:bookmarkEnd w:id="92"/>
      <w:bookmarkEnd w:id="93"/>
      <w:bookmarkEnd w:id="94"/>
      <w:bookmarkEnd w:id="95"/>
      <w:bookmarkEnd w:id="96"/>
      <w:bookmarkEnd w:id="97"/>
      <w:bookmarkEnd w:id="98"/>
    </w:p>
    <w:p w14:paraId="13B27A0E" w14:textId="60BD8CAD" w:rsidR="008726FD" w:rsidRPr="000E227B" w:rsidRDefault="008726FD" w:rsidP="00187A4E">
      <w:r w:rsidRPr="000E227B">
        <w:t>We will use the information you provide</w:t>
      </w:r>
      <w:r w:rsidR="00D32C5A" w:rsidRPr="000E227B">
        <w:t xml:space="preserve"> for the administration of the Tradex Scheme, law enforcement and for other related purposes. Tradex administration includes assessing Tradex applications, compliance and audit activities and evaluation.</w:t>
      </w:r>
    </w:p>
    <w:p w14:paraId="65F249F8" w14:textId="572AE204" w:rsidR="008726FD" w:rsidRPr="00187A4E" w:rsidRDefault="008726FD" w:rsidP="00187A4E">
      <w:r w:rsidRPr="00187A4E">
        <w:t>This includes personal information as defined by the Privacy Act 1988 (Cth)</w:t>
      </w:r>
      <w:r w:rsidR="00BF7F8D" w:rsidRPr="00187A4E">
        <w:t xml:space="preserve">. </w:t>
      </w:r>
      <w:r w:rsidRPr="00187A4E">
        <w:t xml:space="preserve">You may read our </w:t>
      </w:r>
      <w:hyperlink r:id="rId35" w:history="1">
        <w:r w:rsidRPr="00187A4E">
          <w:rPr>
            <w:rStyle w:val="Hyperlink"/>
          </w:rPr>
          <w:t>Privacy Policy</w:t>
        </w:r>
      </w:hyperlink>
      <w:r w:rsidRPr="00187A4E">
        <w:rPr>
          <w:vertAlign w:val="superscript"/>
        </w:rPr>
        <w:footnoteReference w:id="6"/>
      </w:r>
      <w:r w:rsidRPr="00187A4E">
        <w:t xml:space="preserve"> on the department’s website for more information on:</w:t>
      </w:r>
    </w:p>
    <w:p w14:paraId="1B0CA52F" w14:textId="77777777" w:rsidR="008726FD" w:rsidRPr="00187A4E" w:rsidRDefault="008726FD" w:rsidP="00187A4E">
      <w:pPr>
        <w:pStyle w:val="ListParagraph"/>
      </w:pPr>
      <w:r w:rsidRPr="00187A4E">
        <w:t>what is personal information</w:t>
      </w:r>
    </w:p>
    <w:p w14:paraId="4F29B9BD" w14:textId="77777777" w:rsidR="008726FD" w:rsidRPr="00187A4E" w:rsidRDefault="008726FD" w:rsidP="00187A4E">
      <w:pPr>
        <w:pStyle w:val="ListParagraph"/>
      </w:pPr>
      <w:r w:rsidRPr="00187A4E">
        <w:t>how we collect, use, disclose and store your personal information</w:t>
      </w:r>
    </w:p>
    <w:p w14:paraId="0EC7744F" w14:textId="77777777" w:rsidR="008726FD" w:rsidRPr="00187A4E" w:rsidRDefault="008726FD" w:rsidP="00187A4E">
      <w:pPr>
        <w:pStyle w:val="ListParagraph"/>
      </w:pPr>
      <w:r w:rsidRPr="00187A4E">
        <w:t>how you can access and correct your personal information.</w:t>
      </w:r>
    </w:p>
    <w:p w14:paraId="14C5BCB7" w14:textId="4B457877" w:rsidR="008726FD" w:rsidRPr="000E227B" w:rsidRDefault="008726FD" w:rsidP="00187A4E">
      <w:pPr>
        <w:rPr>
          <w:iCs/>
        </w:rPr>
      </w:pPr>
      <w:r w:rsidRPr="000E227B">
        <w:t>We may disclose the information</w:t>
      </w:r>
      <w:r w:rsidR="00D32C5A" w:rsidRPr="000E227B">
        <w:t xml:space="preserve"> to</w:t>
      </w:r>
      <w:r w:rsidRPr="000E227B">
        <w:t>:</w:t>
      </w:r>
    </w:p>
    <w:p w14:paraId="00E56CEF" w14:textId="7871B1AD" w:rsidR="008726FD" w:rsidRPr="004102D6" w:rsidRDefault="008726FD" w:rsidP="004102D6">
      <w:pPr>
        <w:pStyle w:val="ListParagraph"/>
      </w:pPr>
      <w:r w:rsidRPr="004102D6">
        <w:t xml:space="preserve">Commonwealth employees and </w:t>
      </w:r>
      <w:r w:rsidR="00D32C5A" w:rsidRPr="004102D6">
        <w:t xml:space="preserve">any third party </w:t>
      </w:r>
      <w:r w:rsidRPr="004102D6">
        <w:t>contractors</w:t>
      </w:r>
      <w:r w:rsidR="00D32C5A" w:rsidRPr="004102D6">
        <w:t xml:space="preserve"> or entities engaged</w:t>
      </w:r>
      <w:r w:rsidRPr="004102D6">
        <w:t xml:space="preserve"> to help us manage the program effectively</w:t>
      </w:r>
    </w:p>
    <w:p w14:paraId="7C90C5FE" w14:textId="652BC533" w:rsidR="008726FD" w:rsidRPr="004102D6" w:rsidRDefault="008726FD" w:rsidP="004102D6">
      <w:pPr>
        <w:pStyle w:val="ListParagraph"/>
      </w:pPr>
      <w:r w:rsidRPr="004102D6">
        <w:t xml:space="preserve">the Auditor-General, </w:t>
      </w:r>
      <w:r w:rsidR="00C744F2" w:rsidRPr="004102D6">
        <w:t>Common</w:t>
      </w:r>
      <w:r w:rsidR="0067543F" w:rsidRPr="004102D6">
        <w:t xml:space="preserve">wealth </w:t>
      </w:r>
      <w:r w:rsidRPr="004102D6">
        <w:t>Ombudsman or Privacy Commissioner</w:t>
      </w:r>
    </w:p>
    <w:p w14:paraId="53D35D8D" w14:textId="52921994" w:rsidR="00D32C5A" w:rsidRPr="004102D6" w:rsidRDefault="00D32C5A" w:rsidP="004102D6">
      <w:pPr>
        <w:pStyle w:val="ListParagraph"/>
      </w:pPr>
      <w:r w:rsidRPr="004102D6">
        <w:t>Australian Taxation Office</w:t>
      </w:r>
    </w:p>
    <w:p w14:paraId="2E05E8B5" w14:textId="20C310F5" w:rsidR="00D32C5A" w:rsidRPr="004102D6" w:rsidRDefault="00D32C5A" w:rsidP="004102D6">
      <w:pPr>
        <w:pStyle w:val="ListParagraph"/>
      </w:pPr>
      <w:r w:rsidRPr="004102D6">
        <w:t xml:space="preserve">Department of Home </w:t>
      </w:r>
      <w:r w:rsidR="00132AA6" w:rsidRPr="004102D6">
        <w:t>Affairs</w:t>
      </w:r>
      <w:r w:rsidRPr="004102D6">
        <w:t>, including Australian Border Force</w:t>
      </w:r>
    </w:p>
    <w:p w14:paraId="590891D1" w14:textId="44A4F3CB" w:rsidR="008726FD" w:rsidRPr="004102D6" w:rsidRDefault="008726FD" w:rsidP="004102D6">
      <w:pPr>
        <w:pStyle w:val="ListParagraph"/>
      </w:pPr>
      <w:r w:rsidRPr="004102D6">
        <w:t xml:space="preserve">the responsible </w:t>
      </w:r>
      <w:r w:rsidR="0067543F" w:rsidRPr="004102D6">
        <w:t xml:space="preserve">Commonwealth </w:t>
      </w:r>
      <w:r w:rsidRPr="004102D6">
        <w:t>Minister or Assistant Minister</w:t>
      </w:r>
      <w:r w:rsidR="00D5553E" w:rsidRPr="004102D6">
        <w:t xml:space="preserve"> and their staff</w:t>
      </w:r>
      <w:r w:rsidR="0067543F" w:rsidRPr="004102D6">
        <w:t xml:space="preserve">, for the </w:t>
      </w:r>
      <w:r w:rsidR="0067543F" w:rsidRPr="0062124B">
        <w:rPr>
          <w:i/>
          <w:iCs/>
        </w:rPr>
        <w:t>Customs Act</w:t>
      </w:r>
      <w:r w:rsidR="0062124B" w:rsidRPr="0062124B">
        <w:rPr>
          <w:i/>
          <w:iCs/>
        </w:rPr>
        <w:t xml:space="preserve"> 1901</w:t>
      </w:r>
    </w:p>
    <w:p w14:paraId="595472DA" w14:textId="22F393E8" w:rsidR="00D32C5A" w:rsidRPr="004102D6" w:rsidRDefault="008726FD" w:rsidP="004102D6">
      <w:pPr>
        <w:pStyle w:val="ListParagraph"/>
      </w:pPr>
      <w:r w:rsidRPr="004102D6">
        <w:t>a House or a Committee of the Australian Parliament</w:t>
      </w:r>
    </w:p>
    <w:p w14:paraId="7316A098" w14:textId="77777777" w:rsidR="008726FD" w:rsidRPr="000E227B" w:rsidRDefault="008726FD" w:rsidP="004102D6">
      <w:pPr>
        <w:rPr>
          <w:iCs/>
        </w:rPr>
      </w:pPr>
      <w:r w:rsidRPr="000E227B">
        <w:t>Unless the information you provide to us is confidential information as outlined below, we may also share the information with other government agencies for a broader Commonwealth purpose such as:</w:t>
      </w:r>
    </w:p>
    <w:p w14:paraId="461BEBC4" w14:textId="77777777" w:rsidR="008726FD" w:rsidRPr="004102D6" w:rsidRDefault="008726FD" w:rsidP="004102D6">
      <w:pPr>
        <w:pStyle w:val="ListParagraph"/>
      </w:pPr>
      <w:r w:rsidRPr="004102D6">
        <w:t>to improve the effective administration, monitoring and evaluation of Australian Government programs</w:t>
      </w:r>
    </w:p>
    <w:p w14:paraId="3830A47B" w14:textId="58DCB11B" w:rsidR="008726FD" w:rsidRPr="004102D6" w:rsidRDefault="008726FD" w:rsidP="004102D6">
      <w:pPr>
        <w:pStyle w:val="ListParagraph"/>
      </w:pPr>
      <w:r w:rsidRPr="004102D6">
        <w:t xml:space="preserve">to research, assess, </w:t>
      </w:r>
      <w:r w:rsidR="00320293" w:rsidRPr="004102D6">
        <w:t>monitor,</w:t>
      </w:r>
      <w:r w:rsidRPr="004102D6">
        <w:t xml:space="preserve"> and analyse our programs and activities.</w:t>
      </w:r>
    </w:p>
    <w:p w14:paraId="3D22DA33" w14:textId="77777777" w:rsidR="008726FD" w:rsidRPr="00EA265A" w:rsidRDefault="008726FD" w:rsidP="004C1281">
      <w:pPr>
        <w:pStyle w:val="Heading3"/>
      </w:pPr>
      <w:bookmarkStart w:id="99" w:name="_Toc116479119"/>
      <w:bookmarkStart w:id="100" w:name="_Toc142318772"/>
      <w:bookmarkStart w:id="101" w:name="_Toc170302012"/>
      <w:r w:rsidRPr="00EA265A">
        <w:t>How we handle your confidential information</w:t>
      </w:r>
      <w:bookmarkEnd w:id="99"/>
      <w:bookmarkEnd w:id="100"/>
      <w:bookmarkEnd w:id="101"/>
    </w:p>
    <w:p w14:paraId="5E75CD79" w14:textId="2A98F5BC" w:rsidR="008726FD" w:rsidRPr="000E227B" w:rsidRDefault="00D5553E" w:rsidP="004102D6">
      <w:pPr>
        <w:rPr>
          <w:iCs/>
        </w:rPr>
      </w:pPr>
      <w:r w:rsidRPr="009E32FE">
        <w:t>Protecting your confidential information is important to us</w:t>
      </w:r>
      <w:r w:rsidR="0067543F">
        <w:t xml:space="preserve">. </w:t>
      </w:r>
      <w:r w:rsidR="008726FD" w:rsidRPr="000E227B">
        <w:t>We will treat the information you give us as sensitive and</w:t>
      </w:r>
      <w:r w:rsidR="00AF4D69">
        <w:t>,</w:t>
      </w:r>
      <w:r w:rsidR="008726FD" w:rsidRPr="000E227B">
        <w:t xml:space="preserve"> therefore</w:t>
      </w:r>
      <w:r w:rsidR="00AF4D69">
        <w:t>,</w:t>
      </w:r>
      <w:r w:rsidR="008726FD" w:rsidRPr="000E227B">
        <w:t xml:space="preserve"> confidential if we are satisfied that it meets </w:t>
      </w:r>
      <w:r w:rsidR="00320293" w:rsidRPr="00320293">
        <w:t>all</w:t>
      </w:r>
      <w:r w:rsidR="008726FD" w:rsidRPr="000E227B">
        <w:t xml:space="preserve"> the following conditions:</w:t>
      </w:r>
    </w:p>
    <w:p w14:paraId="68588414" w14:textId="77777777" w:rsidR="008726FD" w:rsidRPr="004102D6" w:rsidRDefault="008726FD" w:rsidP="004102D6">
      <w:pPr>
        <w:pStyle w:val="ListParagraph"/>
      </w:pPr>
      <w:r w:rsidRPr="004102D6">
        <w:t>you clearly identify in your application the information you say is confidential</w:t>
      </w:r>
    </w:p>
    <w:p w14:paraId="26CFED67" w14:textId="77777777" w:rsidR="008726FD" w:rsidRPr="004102D6" w:rsidRDefault="008726FD" w:rsidP="004102D6">
      <w:pPr>
        <w:pStyle w:val="ListParagraph"/>
      </w:pPr>
      <w:r w:rsidRPr="004102D6">
        <w:t>the information is inherently confidential</w:t>
      </w:r>
    </w:p>
    <w:p w14:paraId="11D33EBE" w14:textId="77777777" w:rsidR="008726FD" w:rsidRPr="004102D6" w:rsidRDefault="008726FD" w:rsidP="004102D6">
      <w:pPr>
        <w:pStyle w:val="ListParagraph"/>
      </w:pPr>
      <w:r w:rsidRPr="004102D6">
        <w:t>disclosing the information would cause detriment to you or someone else.</w:t>
      </w:r>
    </w:p>
    <w:p w14:paraId="701ACCF2" w14:textId="77777777" w:rsidR="008726FD" w:rsidRPr="000E227B" w:rsidRDefault="008726FD" w:rsidP="004102D6">
      <w:r w:rsidRPr="000E227B">
        <w:t>We will also treat information as confidential if we are satisfied that its disclosure could cause you or some other party competitive detriment.</w:t>
      </w:r>
    </w:p>
    <w:p w14:paraId="4F355C85" w14:textId="15841347" w:rsidR="004102D6" w:rsidRDefault="008726FD" w:rsidP="004102D6">
      <w:r w:rsidRPr="000E227B">
        <w:t>We will use confidential information internally to assess your application</w:t>
      </w:r>
      <w:r w:rsidR="00BF7F8D" w:rsidRPr="00BF7F8D">
        <w:t xml:space="preserve">. </w:t>
      </w:r>
    </w:p>
    <w:p w14:paraId="06E43EDF" w14:textId="77777777" w:rsidR="004102D6" w:rsidRDefault="004102D6">
      <w:pPr>
        <w:spacing w:before="0" w:after="0"/>
      </w:pPr>
      <w:r>
        <w:br w:type="page"/>
      </w:r>
    </w:p>
    <w:p w14:paraId="613C6E5E" w14:textId="77777777" w:rsidR="008726FD" w:rsidRPr="00EA265A" w:rsidRDefault="008726FD" w:rsidP="004C1281">
      <w:pPr>
        <w:pStyle w:val="Heading3"/>
      </w:pPr>
      <w:bookmarkStart w:id="102" w:name="_Toc496536705"/>
      <w:bookmarkStart w:id="103" w:name="_Toc496536707"/>
      <w:bookmarkStart w:id="104" w:name="_Toc531277535"/>
      <w:bookmarkStart w:id="105" w:name="_Toc955345"/>
      <w:bookmarkStart w:id="106" w:name="_Toc106348459"/>
      <w:bookmarkStart w:id="107" w:name="_Toc116479122"/>
      <w:bookmarkStart w:id="108" w:name="_Toc142318775"/>
      <w:bookmarkStart w:id="109" w:name="_Toc170302013"/>
      <w:bookmarkEnd w:id="102"/>
      <w:r w:rsidRPr="00EA265A">
        <w:lastRenderedPageBreak/>
        <w:t>Enquiries and feedback</w:t>
      </w:r>
      <w:bookmarkEnd w:id="103"/>
      <w:bookmarkEnd w:id="104"/>
      <w:bookmarkEnd w:id="105"/>
      <w:bookmarkEnd w:id="106"/>
      <w:bookmarkEnd w:id="107"/>
      <w:bookmarkEnd w:id="108"/>
      <w:bookmarkEnd w:id="109"/>
    </w:p>
    <w:p w14:paraId="666304B5" w14:textId="77777777" w:rsidR="008726FD" w:rsidRPr="004102D6" w:rsidRDefault="008726FD" w:rsidP="004102D6">
      <w:r w:rsidRPr="004102D6">
        <w:t xml:space="preserve">For further information or clarification, you can contact us on 13 28 46 or by </w:t>
      </w:r>
      <w:hyperlink r:id="rId36" w:history="1">
        <w:r w:rsidRPr="004102D6">
          <w:rPr>
            <w:rStyle w:val="Hyperlink"/>
          </w:rPr>
          <w:t>web chat</w:t>
        </w:r>
      </w:hyperlink>
      <w:r w:rsidRPr="004102D6">
        <w:t xml:space="preserve"> or through our </w:t>
      </w:r>
      <w:hyperlink r:id="rId37" w:history="1">
        <w:r w:rsidRPr="004102D6">
          <w:rPr>
            <w:rStyle w:val="Hyperlink"/>
          </w:rPr>
          <w:t>online enquiry form</w:t>
        </w:r>
      </w:hyperlink>
      <w:r w:rsidRPr="004102D6">
        <w:t xml:space="preserve"> on business.gov.au.</w:t>
      </w:r>
    </w:p>
    <w:p w14:paraId="7FB8778E" w14:textId="77777777" w:rsidR="008726FD" w:rsidRPr="000E227B" w:rsidRDefault="008726FD" w:rsidP="004102D6">
      <w:pPr>
        <w:rPr>
          <w:iCs/>
        </w:rPr>
      </w:pPr>
      <w:r w:rsidRPr="000E227B">
        <w:t>We may publish answers to your questions on our website as Frequently Asked Questions.</w:t>
      </w:r>
    </w:p>
    <w:p w14:paraId="62CF80B0" w14:textId="77777777" w:rsidR="008726FD" w:rsidRPr="004102D6" w:rsidRDefault="008726FD" w:rsidP="004102D6">
      <w:r w:rsidRPr="004102D6">
        <w:t xml:space="preserve">Our </w:t>
      </w:r>
      <w:hyperlink r:id="rId38" w:history="1">
        <w:r w:rsidRPr="004102D6">
          <w:rPr>
            <w:rStyle w:val="Hyperlink"/>
          </w:rPr>
          <w:t>Customer Service Charter</w:t>
        </w:r>
      </w:hyperlink>
      <w:r w:rsidRPr="004102D6">
        <w:t xml:space="preserve"> is available at </w:t>
      </w:r>
      <w:hyperlink r:id="rId39" w:history="1">
        <w:r w:rsidRPr="004102D6">
          <w:rPr>
            <w:rStyle w:val="Hyperlink"/>
          </w:rPr>
          <w:t>business.gov.au</w:t>
        </w:r>
      </w:hyperlink>
      <w:r w:rsidRPr="004102D6">
        <w:t>. We use customer satisfaction surveys to improve our business operations and service.</w:t>
      </w:r>
    </w:p>
    <w:p w14:paraId="4D88D4C0" w14:textId="77777777" w:rsidR="008726FD" w:rsidRPr="000E227B" w:rsidRDefault="008726FD" w:rsidP="004102D6">
      <w:pPr>
        <w:rPr>
          <w:iCs/>
        </w:rPr>
      </w:pPr>
      <w:r w:rsidRPr="000E227B">
        <w:t>If you have a complaint, call us on 13 28 46. We will refer your complaint to the appropriate manager.</w:t>
      </w:r>
    </w:p>
    <w:p w14:paraId="1556AA69" w14:textId="77777777" w:rsidR="008726FD" w:rsidRPr="000E227B" w:rsidRDefault="008726FD" w:rsidP="004102D6">
      <w:pPr>
        <w:rPr>
          <w:iCs/>
        </w:rPr>
      </w:pPr>
      <w:r w:rsidRPr="000E227B">
        <w:t xml:space="preserve">If you are not satisfied with the way we handle your complaint, you can contact: </w:t>
      </w:r>
    </w:p>
    <w:p w14:paraId="0641E801" w14:textId="520914E9" w:rsidR="008726FD" w:rsidRPr="004102D6" w:rsidRDefault="008726FD" w:rsidP="004102D6">
      <w:r w:rsidRPr="000E227B">
        <w:t xml:space="preserve">Head of </w:t>
      </w:r>
      <w:r w:rsidR="00BF486F">
        <w:t>International, Trade and National Security Division</w:t>
      </w:r>
      <w:r w:rsidR="004102D6">
        <w:br/>
        <w:t>D</w:t>
      </w:r>
      <w:r w:rsidRPr="004102D6">
        <w:t>epartment of Industry, Science and Resources</w:t>
      </w:r>
      <w:r w:rsidR="004102D6">
        <w:br/>
      </w:r>
      <w:r w:rsidRPr="004102D6">
        <w:t>GPO Box 2013</w:t>
      </w:r>
      <w:r w:rsidRPr="004102D6">
        <w:br/>
        <w:t>CANBERRA ACT 2601</w:t>
      </w:r>
    </w:p>
    <w:p w14:paraId="296E2C8E" w14:textId="77777777" w:rsidR="008726FD" w:rsidRPr="004102D6" w:rsidRDefault="008726FD" w:rsidP="004102D6">
      <w:r w:rsidRPr="004102D6">
        <w:t xml:space="preserve">You can also contact the </w:t>
      </w:r>
      <w:hyperlink r:id="rId40" w:history="1">
        <w:r w:rsidRPr="004102D6">
          <w:rPr>
            <w:rStyle w:val="Hyperlink"/>
          </w:rPr>
          <w:t>Commonwealth Ombudsman</w:t>
        </w:r>
      </w:hyperlink>
      <w:r w:rsidRPr="004102D6">
        <w:rPr>
          <w:vertAlign w:val="superscript"/>
        </w:rPr>
        <w:footnoteReference w:id="7"/>
      </w:r>
      <w:r w:rsidRPr="004102D6">
        <w:t xml:space="preserve"> with your complaint (call 1300 362 072). There is no fee for making a complaint, and the Ombudsman may conduct an independent investigation.</w:t>
      </w:r>
    </w:p>
    <w:p w14:paraId="766A3102" w14:textId="77777777" w:rsidR="00E0224F" w:rsidRDefault="00E0224F">
      <w:pPr>
        <w:spacing w:before="0" w:after="0"/>
        <w:rPr>
          <w:rFonts w:cstheme="minorHAnsi"/>
          <w:sz w:val="22"/>
        </w:rPr>
      </w:pPr>
      <w:r>
        <w:rPr>
          <w:rFonts w:cstheme="minorHAnsi"/>
          <w:sz w:val="22"/>
        </w:rPr>
        <w:br w:type="page"/>
      </w:r>
    </w:p>
    <w:p w14:paraId="679E7F26" w14:textId="77777777" w:rsidR="008726FD" w:rsidRPr="00EA265A" w:rsidRDefault="008726FD" w:rsidP="004C1281">
      <w:pPr>
        <w:pStyle w:val="Heading2"/>
      </w:pPr>
      <w:bookmarkStart w:id="110" w:name="_Toc20472477"/>
      <w:bookmarkStart w:id="111" w:name="_Toc20488983"/>
      <w:bookmarkStart w:id="112" w:name="_Toc20910626"/>
      <w:bookmarkStart w:id="113" w:name="_Toc21436480"/>
      <w:bookmarkStart w:id="114" w:name="_Toc21506122"/>
      <w:bookmarkStart w:id="115" w:name="_Toc27122580"/>
      <w:bookmarkStart w:id="116" w:name="_Toc27122641"/>
      <w:bookmarkStart w:id="117" w:name="_Tradex_requirements"/>
      <w:bookmarkStart w:id="118" w:name="_Record_keeping_requirements_1"/>
      <w:bookmarkStart w:id="119" w:name="_Toc20472482"/>
      <w:bookmarkStart w:id="120" w:name="_Toc20488988"/>
      <w:bookmarkStart w:id="121" w:name="_Toc20910631"/>
      <w:bookmarkStart w:id="122" w:name="_Toc21436488"/>
      <w:bookmarkStart w:id="123" w:name="_Toc21506127"/>
      <w:bookmarkStart w:id="124" w:name="_Toc20472483"/>
      <w:bookmarkStart w:id="125" w:name="_Toc20488989"/>
      <w:bookmarkStart w:id="126" w:name="_Toc20910632"/>
      <w:bookmarkStart w:id="127" w:name="_Toc21436489"/>
      <w:bookmarkStart w:id="128" w:name="_Toc21506128"/>
      <w:bookmarkStart w:id="129" w:name="_Toc20472484"/>
      <w:bookmarkStart w:id="130" w:name="_Toc20488990"/>
      <w:bookmarkStart w:id="131" w:name="_Toc20910633"/>
      <w:bookmarkStart w:id="132" w:name="_Toc21436490"/>
      <w:bookmarkStart w:id="133" w:name="_Toc21506129"/>
      <w:bookmarkStart w:id="134" w:name="_Toc20472485"/>
      <w:bookmarkStart w:id="135" w:name="_Toc20488991"/>
      <w:bookmarkStart w:id="136" w:name="_Toc20910634"/>
      <w:bookmarkStart w:id="137" w:name="_Toc21436491"/>
      <w:bookmarkStart w:id="138" w:name="_Toc21506130"/>
      <w:bookmarkStart w:id="139" w:name="_Toc20472486"/>
      <w:bookmarkStart w:id="140" w:name="_Toc20488992"/>
      <w:bookmarkStart w:id="141" w:name="_Toc20910635"/>
      <w:bookmarkStart w:id="142" w:name="_Toc21436492"/>
      <w:bookmarkStart w:id="143" w:name="_Toc21506131"/>
      <w:bookmarkStart w:id="144" w:name="_Toc20472487"/>
      <w:bookmarkStart w:id="145" w:name="_Toc20488993"/>
      <w:bookmarkStart w:id="146" w:name="_Toc20910636"/>
      <w:bookmarkStart w:id="147" w:name="_Toc21436493"/>
      <w:bookmarkStart w:id="148" w:name="_Toc21506132"/>
      <w:bookmarkStart w:id="149" w:name="_Toc20472488"/>
      <w:bookmarkStart w:id="150" w:name="_Toc20488994"/>
      <w:bookmarkStart w:id="151" w:name="_Toc20910637"/>
      <w:bookmarkStart w:id="152" w:name="_Toc21436494"/>
      <w:bookmarkStart w:id="153" w:name="_Toc21506133"/>
      <w:bookmarkStart w:id="154" w:name="_Toc20488997"/>
      <w:bookmarkStart w:id="155" w:name="_Toc20910640"/>
      <w:bookmarkStart w:id="156" w:name="_Toc21436497"/>
      <w:bookmarkStart w:id="157" w:name="_Toc21506136"/>
      <w:bookmarkStart w:id="158" w:name="_Toc20472491"/>
      <w:bookmarkStart w:id="159" w:name="_Toc20488998"/>
      <w:bookmarkStart w:id="160" w:name="_Toc20910641"/>
      <w:bookmarkStart w:id="161" w:name="_Toc21436498"/>
      <w:bookmarkStart w:id="162" w:name="_Toc21506137"/>
      <w:bookmarkStart w:id="163" w:name="_Toc27122586"/>
      <w:bookmarkStart w:id="164" w:name="_Toc27122647"/>
      <w:bookmarkStart w:id="165" w:name="_Toc20472492"/>
      <w:bookmarkStart w:id="166" w:name="_Toc20488999"/>
      <w:bookmarkStart w:id="167" w:name="_Toc20910642"/>
      <w:bookmarkStart w:id="168" w:name="_Toc21436499"/>
      <w:bookmarkStart w:id="169" w:name="_Toc21506138"/>
      <w:bookmarkStart w:id="170" w:name="_Toc27122587"/>
      <w:bookmarkStart w:id="171" w:name="_Toc27122648"/>
      <w:bookmarkStart w:id="172" w:name="_Toc20472493"/>
      <w:bookmarkStart w:id="173" w:name="_Toc20489000"/>
      <w:bookmarkStart w:id="174" w:name="_Toc20910643"/>
      <w:bookmarkStart w:id="175" w:name="_Toc21436500"/>
      <w:bookmarkStart w:id="176" w:name="_Toc21506139"/>
      <w:bookmarkStart w:id="177" w:name="_Toc27122588"/>
      <w:bookmarkStart w:id="178" w:name="_Toc27122649"/>
      <w:bookmarkStart w:id="179" w:name="_Toc20472494"/>
      <w:bookmarkStart w:id="180" w:name="_Toc20489001"/>
      <w:bookmarkStart w:id="181" w:name="_Toc20910644"/>
      <w:bookmarkStart w:id="182" w:name="_Toc21436501"/>
      <w:bookmarkStart w:id="183" w:name="_Toc21506140"/>
      <w:bookmarkStart w:id="184" w:name="_Toc27122589"/>
      <w:bookmarkStart w:id="185" w:name="_Toc27122650"/>
      <w:bookmarkStart w:id="186" w:name="_Oak_goods_for"/>
      <w:bookmarkStart w:id="187" w:name="_Example_1:_Using"/>
      <w:bookmarkStart w:id="188" w:name="_Tradex_duty_and"/>
      <w:bookmarkStart w:id="189" w:name="_Offences"/>
      <w:bookmarkStart w:id="190" w:name="_Toc20472504"/>
      <w:bookmarkStart w:id="191" w:name="_Toc20489011"/>
      <w:bookmarkStart w:id="192" w:name="_Toc20910654"/>
      <w:bookmarkStart w:id="193" w:name="_Toc21436511"/>
      <w:bookmarkStart w:id="194" w:name="_Toc21506154"/>
      <w:bookmarkStart w:id="195" w:name="_Toc20472505"/>
      <w:bookmarkStart w:id="196" w:name="_Toc20489012"/>
      <w:bookmarkStart w:id="197" w:name="_Toc20910655"/>
      <w:bookmarkStart w:id="198" w:name="_Toc21436512"/>
      <w:bookmarkStart w:id="199" w:name="_Toc21506155"/>
      <w:bookmarkStart w:id="200" w:name="_Toc20472506"/>
      <w:bookmarkStart w:id="201" w:name="_Toc20489013"/>
      <w:bookmarkStart w:id="202" w:name="_Toc20910656"/>
      <w:bookmarkStart w:id="203" w:name="_Toc21436513"/>
      <w:bookmarkStart w:id="204" w:name="_Toc21506156"/>
      <w:bookmarkStart w:id="205" w:name="_Toc20472507"/>
      <w:bookmarkStart w:id="206" w:name="_Toc20489014"/>
      <w:bookmarkStart w:id="207" w:name="_Toc20910657"/>
      <w:bookmarkStart w:id="208" w:name="_Toc21436514"/>
      <w:bookmarkStart w:id="209" w:name="_Toc21506157"/>
      <w:bookmarkStart w:id="210" w:name="_Toc20472508"/>
      <w:bookmarkStart w:id="211" w:name="_Toc20489015"/>
      <w:bookmarkStart w:id="212" w:name="_Toc20910658"/>
      <w:bookmarkStart w:id="213" w:name="_Toc21436515"/>
      <w:bookmarkStart w:id="214" w:name="_Toc21506158"/>
      <w:bookmarkStart w:id="215" w:name="_Toc20472509"/>
      <w:bookmarkStart w:id="216" w:name="_Toc20489016"/>
      <w:bookmarkStart w:id="217" w:name="_Toc20910659"/>
      <w:bookmarkStart w:id="218" w:name="_Toc21436516"/>
      <w:bookmarkStart w:id="219" w:name="_Toc21506159"/>
      <w:bookmarkStart w:id="220" w:name="_Toc20472510"/>
      <w:bookmarkStart w:id="221" w:name="_Toc20489017"/>
      <w:bookmarkStart w:id="222" w:name="_Toc20910660"/>
      <w:bookmarkStart w:id="223" w:name="_Toc21436517"/>
      <w:bookmarkStart w:id="224" w:name="_Toc21506160"/>
      <w:bookmarkStart w:id="225" w:name="_Toc20472511"/>
      <w:bookmarkStart w:id="226" w:name="_Toc20489018"/>
      <w:bookmarkStart w:id="227" w:name="_Toc20910661"/>
      <w:bookmarkStart w:id="228" w:name="_Toc21436518"/>
      <w:bookmarkStart w:id="229" w:name="_Toc21506161"/>
      <w:bookmarkStart w:id="230" w:name="_Toc20472512"/>
      <w:bookmarkStart w:id="231" w:name="_Toc20489019"/>
      <w:bookmarkStart w:id="232" w:name="_Toc20910662"/>
      <w:bookmarkStart w:id="233" w:name="_Toc21436519"/>
      <w:bookmarkStart w:id="234" w:name="_Toc21506162"/>
      <w:bookmarkStart w:id="235" w:name="_Toc20472513"/>
      <w:bookmarkStart w:id="236" w:name="_Toc20489020"/>
      <w:bookmarkStart w:id="237" w:name="_Toc20910663"/>
      <w:bookmarkStart w:id="238" w:name="_Toc21436520"/>
      <w:bookmarkStart w:id="239" w:name="_Toc21506163"/>
      <w:bookmarkStart w:id="240" w:name="_Toc20472514"/>
      <w:bookmarkStart w:id="241" w:name="_Toc20489021"/>
      <w:bookmarkStart w:id="242" w:name="_Toc20910664"/>
      <w:bookmarkStart w:id="243" w:name="_Toc21436521"/>
      <w:bookmarkStart w:id="244" w:name="_Toc21506164"/>
      <w:bookmarkStart w:id="245" w:name="_Toc20472515"/>
      <w:bookmarkStart w:id="246" w:name="_Toc20489022"/>
      <w:bookmarkStart w:id="247" w:name="_Toc20910665"/>
      <w:bookmarkStart w:id="248" w:name="_Toc21436522"/>
      <w:bookmarkStart w:id="249" w:name="_Toc21506165"/>
      <w:bookmarkStart w:id="250" w:name="_Toc20472516"/>
      <w:bookmarkStart w:id="251" w:name="_Toc20489023"/>
      <w:bookmarkStart w:id="252" w:name="_Toc20910666"/>
      <w:bookmarkStart w:id="253" w:name="_Toc21436523"/>
      <w:bookmarkStart w:id="254" w:name="_Toc21506166"/>
      <w:bookmarkStart w:id="255" w:name="_Toc20472517"/>
      <w:bookmarkStart w:id="256" w:name="_Toc20489024"/>
      <w:bookmarkStart w:id="257" w:name="_Toc20910667"/>
      <w:bookmarkStart w:id="258" w:name="_Toc21436524"/>
      <w:bookmarkStart w:id="259" w:name="_Toc21506167"/>
      <w:bookmarkStart w:id="260" w:name="_Toc20472518"/>
      <w:bookmarkStart w:id="261" w:name="_Toc20489025"/>
      <w:bookmarkStart w:id="262" w:name="_Toc20910668"/>
      <w:bookmarkStart w:id="263" w:name="_Toc21436525"/>
      <w:bookmarkStart w:id="264" w:name="_Toc21506168"/>
      <w:bookmarkStart w:id="265" w:name="_Toc20472519"/>
      <w:bookmarkStart w:id="266" w:name="_Toc20489026"/>
      <w:bookmarkStart w:id="267" w:name="_Toc20910669"/>
      <w:bookmarkStart w:id="268" w:name="_Toc21436526"/>
      <w:bookmarkStart w:id="269" w:name="_Toc21506169"/>
      <w:bookmarkStart w:id="270" w:name="_Toc20472520"/>
      <w:bookmarkStart w:id="271" w:name="_Toc20489027"/>
      <w:bookmarkStart w:id="272" w:name="_Toc20910670"/>
      <w:bookmarkStart w:id="273" w:name="_Toc21436527"/>
      <w:bookmarkStart w:id="274" w:name="_Toc21506170"/>
      <w:bookmarkStart w:id="275" w:name="_Toc20472521"/>
      <w:bookmarkStart w:id="276" w:name="_Toc20489028"/>
      <w:bookmarkStart w:id="277" w:name="_Toc20910671"/>
      <w:bookmarkStart w:id="278" w:name="_Toc21436528"/>
      <w:bookmarkStart w:id="279" w:name="_Toc21506171"/>
      <w:bookmarkStart w:id="280" w:name="_Toc21436532"/>
      <w:bookmarkStart w:id="281" w:name="_Toc21506175"/>
      <w:bookmarkStart w:id="282" w:name="_Toc21436533"/>
      <w:bookmarkStart w:id="283" w:name="_Toc21506176"/>
      <w:bookmarkStart w:id="284" w:name="_Toc21436534"/>
      <w:bookmarkStart w:id="285" w:name="_Toc21506177"/>
      <w:bookmarkStart w:id="286" w:name="_Toc21436535"/>
      <w:bookmarkStart w:id="287" w:name="_Toc21506178"/>
      <w:bookmarkStart w:id="288" w:name="_Toc21436536"/>
      <w:bookmarkStart w:id="289" w:name="_Toc21506179"/>
      <w:bookmarkStart w:id="290" w:name="_Toc21436537"/>
      <w:bookmarkStart w:id="291" w:name="_Toc21506180"/>
      <w:bookmarkStart w:id="292" w:name="_How_long_does"/>
      <w:bookmarkStart w:id="293" w:name="_Toc21681217"/>
      <w:bookmarkStart w:id="294" w:name="_Toc20910679"/>
      <w:bookmarkStart w:id="295" w:name="_Toc21436539"/>
      <w:bookmarkStart w:id="296" w:name="_Toc21506182"/>
      <w:bookmarkStart w:id="297" w:name="_Record_Keeping_Requirements"/>
      <w:bookmarkStart w:id="298" w:name="_When_Tradex_Duty"/>
      <w:bookmarkStart w:id="299" w:name="_Offences_1"/>
      <w:bookmarkStart w:id="300" w:name="_APPENDIX_B:_Australian"/>
      <w:bookmarkStart w:id="301" w:name="_APPENDIX_C:_Customs"/>
      <w:bookmarkStart w:id="302" w:name="_Ref17466953"/>
      <w:bookmarkStart w:id="303" w:name="_Toc106348460"/>
      <w:bookmarkStart w:id="304" w:name="_Toc116479123"/>
      <w:bookmarkStart w:id="305" w:name="_Toc142318776"/>
      <w:bookmarkStart w:id="306" w:name="_Toc170302014"/>
      <w:bookmarkEnd w:id="1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EA265A">
        <w:lastRenderedPageBreak/>
        <w:t>Glossary</w:t>
      </w:r>
      <w:bookmarkEnd w:id="302"/>
      <w:bookmarkEnd w:id="303"/>
      <w:bookmarkEnd w:id="304"/>
      <w:bookmarkEnd w:id="305"/>
      <w:bookmarkEnd w:id="306"/>
    </w:p>
    <w:tbl>
      <w:tblPr>
        <w:tblStyle w:val="AusIndustryTable"/>
        <w:tblW w:w="5000" w:type="pct"/>
        <w:tblLook w:val="04A0" w:firstRow="1" w:lastRow="0" w:firstColumn="1" w:lastColumn="0" w:noHBand="0" w:noVBand="1"/>
        <w:tblCaption w:val="Glossary of terms"/>
        <w:tblDescription w:val="Glossary of terms used in this document."/>
      </w:tblPr>
      <w:tblGrid>
        <w:gridCol w:w="3236"/>
        <w:gridCol w:w="5542"/>
      </w:tblGrid>
      <w:tr w:rsidR="008726FD" w:rsidRPr="00FB51C2" w14:paraId="70C3EAC5" w14:textId="77777777" w:rsidTr="00410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pct"/>
          </w:tcPr>
          <w:p w14:paraId="4680B8AF" w14:textId="77777777" w:rsidR="008726FD" w:rsidRPr="004102D6" w:rsidRDefault="008726FD" w:rsidP="00E31E71">
            <w:pPr>
              <w:keepNext/>
              <w:rPr>
                <w:rFonts w:asciiTheme="majorHAnsi" w:hAnsiTheme="majorHAnsi" w:cstheme="majorHAnsi"/>
                <w:b w:val="0"/>
                <w:szCs w:val="20"/>
              </w:rPr>
            </w:pPr>
            <w:r w:rsidRPr="004102D6">
              <w:rPr>
                <w:rFonts w:asciiTheme="majorHAnsi" w:hAnsiTheme="majorHAnsi" w:cstheme="majorHAnsi"/>
                <w:szCs w:val="20"/>
              </w:rPr>
              <w:t>Term</w:t>
            </w:r>
          </w:p>
        </w:tc>
        <w:tc>
          <w:tcPr>
            <w:tcW w:w="3157" w:type="pct"/>
          </w:tcPr>
          <w:p w14:paraId="5339F048" w14:textId="77777777" w:rsidR="008726FD" w:rsidRPr="004102D6" w:rsidRDefault="008726FD" w:rsidP="000E227B">
            <w:pPr>
              <w:keepNext/>
              <w:spacing w:before="0" w:line="320" w:lineRule="atLeas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0"/>
              </w:rPr>
            </w:pPr>
            <w:r w:rsidRPr="004102D6">
              <w:rPr>
                <w:rFonts w:asciiTheme="majorHAnsi" w:hAnsiTheme="majorHAnsi" w:cstheme="majorHAnsi"/>
                <w:szCs w:val="20"/>
              </w:rPr>
              <w:t>Definition</w:t>
            </w:r>
          </w:p>
        </w:tc>
      </w:tr>
      <w:tr w:rsidR="006933B1" w:rsidRPr="00FB51C2" w14:paraId="217194F7"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271287FF" w14:textId="77777777" w:rsidR="006933B1" w:rsidRPr="004102D6" w:rsidRDefault="006933B1" w:rsidP="006933B1">
            <w:pPr>
              <w:rPr>
                <w:rFonts w:cstheme="minorHAnsi"/>
                <w:sz w:val="20"/>
                <w:szCs w:val="20"/>
              </w:rPr>
            </w:pPr>
            <w:r w:rsidRPr="004102D6">
              <w:rPr>
                <w:rFonts w:cstheme="minorHAnsi"/>
                <w:sz w:val="20"/>
                <w:szCs w:val="20"/>
              </w:rPr>
              <w:t>Application form</w:t>
            </w:r>
          </w:p>
        </w:tc>
        <w:tc>
          <w:tcPr>
            <w:tcW w:w="3157" w:type="pct"/>
          </w:tcPr>
          <w:p w14:paraId="0CF80201" w14:textId="58A75C30"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rPr>
                <w:w w:val="0"/>
              </w:rPr>
              <w:t xml:space="preserve">The document issued by the Program Delegate that applicants use to apply for </w:t>
            </w:r>
            <w:r w:rsidR="00DF4A93" w:rsidRPr="004102D6">
              <w:rPr>
                <w:w w:val="0"/>
              </w:rPr>
              <w:t xml:space="preserve">a </w:t>
            </w:r>
            <w:r w:rsidRPr="004102D6">
              <w:rPr>
                <w:w w:val="0"/>
              </w:rPr>
              <w:t>Tradex Order.</w:t>
            </w:r>
          </w:p>
        </w:tc>
      </w:tr>
      <w:tr w:rsidR="006933B1" w:rsidRPr="00FB51C2" w14:paraId="7EC09661"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3AF937ED" w14:textId="2BDCB97F" w:rsidR="006933B1" w:rsidRPr="004102D6" w:rsidRDefault="006933B1" w:rsidP="006933B1">
            <w:pPr>
              <w:rPr>
                <w:rFonts w:cstheme="minorHAnsi"/>
                <w:sz w:val="20"/>
                <w:szCs w:val="20"/>
              </w:rPr>
            </w:pPr>
            <w:r w:rsidRPr="004102D6">
              <w:rPr>
                <w:rFonts w:cstheme="minorHAnsi"/>
                <w:sz w:val="20"/>
                <w:szCs w:val="20"/>
              </w:rPr>
              <w:t>Customs Client Identifier (CCID)</w:t>
            </w:r>
          </w:p>
        </w:tc>
        <w:tc>
          <w:tcPr>
            <w:tcW w:w="3157" w:type="pct"/>
          </w:tcPr>
          <w:p w14:paraId="05E35F02" w14:textId="6ECD34BE"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t>A CCID is a unique identifier, administered by ABF, to represent importing persons and organisations that do not report an ABN.</w:t>
            </w:r>
          </w:p>
        </w:tc>
      </w:tr>
      <w:tr w:rsidR="006933B1" w:rsidRPr="00FB51C2" w14:paraId="5EDB0D82"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6BC707E9" w14:textId="2553DBB5" w:rsidR="006933B1" w:rsidRPr="004102D6" w:rsidRDefault="006933B1" w:rsidP="006933B1">
            <w:pPr>
              <w:rPr>
                <w:rFonts w:cstheme="minorHAnsi"/>
                <w:sz w:val="20"/>
                <w:szCs w:val="20"/>
              </w:rPr>
            </w:pPr>
            <w:r w:rsidRPr="004102D6">
              <w:rPr>
                <w:rFonts w:cstheme="minorHAnsi"/>
                <w:sz w:val="20"/>
                <w:szCs w:val="20"/>
              </w:rPr>
              <w:t>Customs entry document</w:t>
            </w:r>
          </w:p>
        </w:tc>
        <w:tc>
          <w:tcPr>
            <w:tcW w:w="3157" w:type="pct"/>
          </w:tcPr>
          <w:p w14:paraId="4D87692F" w14:textId="756A9A48"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t>A document lodged with the Australian Border Force to enter goods imported directly for home consumption (also known as an import declaration).</w:t>
            </w:r>
          </w:p>
        </w:tc>
      </w:tr>
      <w:tr w:rsidR="006933B1" w:rsidRPr="00FB51C2" w14:paraId="5936FA22"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28383A1D" w14:textId="77777777" w:rsidR="006933B1" w:rsidRPr="004102D6" w:rsidRDefault="006933B1" w:rsidP="006933B1">
            <w:pPr>
              <w:rPr>
                <w:rFonts w:cstheme="minorHAnsi"/>
                <w:sz w:val="20"/>
                <w:szCs w:val="20"/>
              </w:rPr>
            </w:pPr>
            <w:r w:rsidRPr="004102D6">
              <w:rPr>
                <w:rFonts w:cstheme="minorHAnsi"/>
                <w:sz w:val="20"/>
                <w:szCs w:val="20"/>
              </w:rPr>
              <w:t xml:space="preserve">Department </w:t>
            </w:r>
          </w:p>
        </w:tc>
        <w:tc>
          <w:tcPr>
            <w:tcW w:w="3157" w:type="pct"/>
          </w:tcPr>
          <w:p w14:paraId="101A3A30" w14:textId="77777777"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t>The Department of Industry, Science and Resources.</w:t>
            </w:r>
          </w:p>
        </w:tc>
      </w:tr>
      <w:tr w:rsidR="006933B1" w:rsidRPr="00FB51C2" w14:paraId="0DD656E5"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2D26DB1F" w14:textId="77777777" w:rsidR="006933B1" w:rsidRPr="004102D6" w:rsidRDefault="006933B1" w:rsidP="006933B1">
            <w:pPr>
              <w:rPr>
                <w:rFonts w:cstheme="minorHAnsi"/>
                <w:sz w:val="20"/>
                <w:szCs w:val="20"/>
              </w:rPr>
            </w:pPr>
            <w:r w:rsidRPr="004102D6">
              <w:rPr>
                <w:rFonts w:cstheme="minorHAnsi"/>
                <w:sz w:val="20"/>
                <w:szCs w:val="20"/>
              </w:rPr>
              <w:t>Eligible application</w:t>
            </w:r>
          </w:p>
        </w:tc>
        <w:tc>
          <w:tcPr>
            <w:tcW w:w="3157" w:type="pct"/>
          </w:tcPr>
          <w:p w14:paraId="46B0F5E6" w14:textId="3DA1E5E7"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t xml:space="preserve">An application under the </w:t>
            </w:r>
            <w:r w:rsidRPr="004102D6">
              <w:rPr>
                <w:w w:val="0"/>
              </w:rPr>
              <w:t xml:space="preserve">program </w:t>
            </w:r>
            <w:r w:rsidRPr="004102D6">
              <w:t>that the Program Manager has determined is eligible for assessment per these guidelines.</w:t>
            </w:r>
          </w:p>
        </w:tc>
      </w:tr>
      <w:tr w:rsidR="006933B1" w:rsidRPr="00FB51C2" w14:paraId="76DD8BD0"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72D0369A" w14:textId="77777777" w:rsidR="006933B1" w:rsidRPr="004102D6" w:rsidRDefault="006933B1" w:rsidP="006933B1">
            <w:pPr>
              <w:rPr>
                <w:rFonts w:cstheme="minorHAnsi"/>
                <w:sz w:val="20"/>
                <w:szCs w:val="20"/>
              </w:rPr>
            </w:pPr>
            <w:r w:rsidRPr="004102D6">
              <w:rPr>
                <w:rFonts w:cstheme="minorHAnsi"/>
                <w:sz w:val="20"/>
                <w:szCs w:val="20"/>
              </w:rPr>
              <w:t>Eligibility criteria</w:t>
            </w:r>
          </w:p>
        </w:tc>
        <w:tc>
          <w:tcPr>
            <w:tcW w:w="3157" w:type="pct"/>
          </w:tcPr>
          <w:p w14:paraId="38CBA09D" w14:textId="77777777" w:rsidR="006933B1" w:rsidRPr="004102D6" w:rsidRDefault="006933B1" w:rsidP="004102D6">
            <w:pPr>
              <w:cnfStyle w:val="000000000000" w:firstRow="0" w:lastRow="0" w:firstColumn="0" w:lastColumn="0" w:oddVBand="0" w:evenVBand="0" w:oddHBand="0" w:evenHBand="0" w:firstRowFirstColumn="0" w:firstRowLastColumn="0" w:lastRowFirstColumn="0" w:lastRowLastColumn="0"/>
            </w:pPr>
            <w:r w:rsidRPr="004102D6">
              <w:rPr>
                <w:lang w:eastAsia="en-AU"/>
              </w:rPr>
              <w:t>The mandatory criteria which must be met to qualify for a concession. Assessment criteria may apply in addition to eligibility criteria.</w:t>
            </w:r>
          </w:p>
        </w:tc>
      </w:tr>
      <w:tr w:rsidR="000418C3" w:rsidRPr="00FB51C2" w14:paraId="732AE23C"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01D63221" w14:textId="5D4572D3" w:rsidR="000418C3" w:rsidRPr="004102D6" w:rsidRDefault="000418C3" w:rsidP="000418C3">
            <w:pPr>
              <w:rPr>
                <w:rFonts w:cstheme="minorHAnsi"/>
                <w:szCs w:val="20"/>
              </w:rPr>
            </w:pPr>
            <w:r w:rsidRPr="000418C3">
              <w:rPr>
                <w:rFonts w:cstheme="minorHAnsi"/>
                <w:sz w:val="20"/>
                <w:szCs w:val="20"/>
              </w:rPr>
              <w:t>Entry for home consumption</w:t>
            </w:r>
          </w:p>
        </w:tc>
        <w:tc>
          <w:tcPr>
            <w:tcW w:w="3157" w:type="pct"/>
          </w:tcPr>
          <w:p w14:paraId="114DDD2E" w14:textId="4C52E4F7"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pPr>
            <w:r w:rsidRPr="004102D6">
              <w:rPr>
                <w:lang w:eastAsia="en-AU"/>
              </w:rPr>
              <w:t>Entry of goods for home consumption is made by communicating with Customs and completing an import declaration in respect of the goods.</w:t>
            </w:r>
          </w:p>
        </w:tc>
      </w:tr>
      <w:tr w:rsidR="000418C3" w:rsidRPr="00FB51C2" w14:paraId="2748DEFD"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659FF932" w14:textId="4A1B130D" w:rsidR="000418C3" w:rsidRPr="004102D6" w:rsidRDefault="000418C3" w:rsidP="000418C3">
            <w:pPr>
              <w:rPr>
                <w:rFonts w:cstheme="minorHAnsi"/>
                <w:szCs w:val="20"/>
              </w:rPr>
            </w:pPr>
            <w:r w:rsidRPr="004102D6">
              <w:rPr>
                <w:rFonts w:cstheme="minorHAnsi"/>
                <w:sz w:val="20"/>
                <w:szCs w:val="20"/>
              </w:rPr>
              <w:t>Excise goods</w:t>
            </w:r>
          </w:p>
        </w:tc>
        <w:tc>
          <w:tcPr>
            <w:tcW w:w="3157" w:type="pct"/>
          </w:tcPr>
          <w:p w14:paraId="4527EA00" w14:textId="0BB6B2D1"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lang w:eastAsia="en-AU"/>
              </w:rPr>
            </w:pPr>
            <w:r w:rsidRPr="004102D6">
              <w:t>Excise goods include most forms of alcohol, cigarettes and other tobacco products and a wide range of petroleum products</w:t>
            </w:r>
          </w:p>
        </w:tc>
      </w:tr>
      <w:tr w:rsidR="000418C3" w:rsidRPr="00FB51C2" w14:paraId="377B909E"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33052234" w14:textId="1D698383" w:rsidR="000418C3" w:rsidRPr="004102D6" w:rsidRDefault="000418C3" w:rsidP="000418C3">
            <w:pPr>
              <w:rPr>
                <w:rFonts w:cstheme="minorHAnsi"/>
                <w:sz w:val="20"/>
                <w:szCs w:val="20"/>
              </w:rPr>
            </w:pPr>
            <w:r w:rsidRPr="004102D6">
              <w:rPr>
                <w:rFonts w:cstheme="minorHAnsi"/>
                <w:sz w:val="20"/>
                <w:szCs w:val="20"/>
              </w:rPr>
              <w:t>Export</w:t>
            </w:r>
          </w:p>
        </w:tc>
        <w:tc>
          <w:tcPr>
            <w:tcW w:w="3157" w:type="pct"/>
          </w:tcPr>
          <w:p w14:paraId="1A17B9B8" w14:textId="7583EF22"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The word export is not defined in the Tradex Act, its meaning is instead established through legal precedent. Goods are exported when:</w:t>
            </w:r>
          </w:p>
          <w:p w14:paraId="29AC9548" w14:textId="0B3E7613" w:rsidR="000418C3" w:rsidRPr="004102D6" w:rsidRDefault="000418C3" w:rsidP="000418C3">
            <w:pPr>
              <w:pStyle w:val="ListParagraph"/>
              <w:cnfStyle w:val="000000000000" w:firstRow="0" w:lastRow="0" w:firstColumn="0" w:lastColumn="0" w:oddVBand="0" w:evenVBand="0" w:oddHBand="0" w:evenHBand="0" w:firstRowFirstColumn="0" w:firstRowLastColumn="0" w:lastRowFirstColumn="0" w:lastRowLastColumn="0"/>
            </w:pPr>
            <w:r w:rsidRPr="004102D6">
              <w:t>The goods are loaded onto a ship or aircraft and are consigned to a place outside Australia,</w:t>
            </w:r>
          </w:p>
          <w:p w14:paraId="48CA7517" w14:textId="0F7689B0" w:rsidR="000418C3" w:rsidRPr="004102D6" w:rsidRDefault="000418C3" w:rsidP="000418C3">
            <w:pPr>
              <w:pStyle w:val="ListParagraph"/>
              <w:cnfStyle w:val="000000000000" w:firstRow="0" w:lastRow="0" w:firstColumn="0" w:lastColumn="0" w:oddVBand="0" w:evenVBand="0" w:oddHBand="0" w:evenHBand="0" w:firstRowFirstColumn="0" w:firstRowLastColumn="0" w:lastRowFirstColumn="0" w:lastRowLastColumn="0"/>
            </w:pPr>
            <w:r w:rsidRPr="004102D6">
              <w:t>The goods are intended to be landed at a place outside Australia, and</w:t>
            </w:r>
          </w:p>
          <w:p w14:paraId="66FDF3B7" w14:textId="401F313F" w:rsidR="000418C3" w:rsidRPr="004102D6" w:rsidRDefault="000418C3" w:rsidP="000418C3">
            <w:pPr>
              <w:pStyle w:val="ListParagraph"/>
              <w:cnfStyle w:val="000000000000" w:firstRow="0" w:lastRow="0" w:firstColumn="0" w:lastColumn="0" w:oddVBand="0" w:evenVBand="0" w:oddHBand="0" w:evenHBand="0" w:firstRowFirstColumn="0" w:firstRowLastColumn="0" w:lastRowFirstColumn="0" w:lastRowLastColumn="0"/>
              <w:rPr>
                <w:rFonts w:ascii="Calibri" w:hAnsi="Calibri"/>
                <w:iCs/>
              </w:rPr>
            </w:pPr>
            <w:r w:rsidRPr="004102D6">
              <w:t>The international voyage or flight, from the final port or airport within Australia to that place outside Australia has actually commenced.</w:t>
            </w:r>
          </w:p>
        </w:tc>
      </w:tr>
      <w:tr w:rsidR="000418C3" w:rsidRPr="00FB51C2" w14:paraId="1B74C348"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0AF1E26F" w14:textId="30707C33" w:rsidR="000418C3" w:rsidRPr="004102D6" w:rsidRDefault="000418C3" w:rsidP="000418C3">
            <w:pPr>
              <w:rPr>
                <w:rFonts w:cstheme="minorHAnsi"/>
                <w:sz w:val="20"/>
                <w:szCs w:val="20"/>
              </w:rPr>
            </w:pPr>
            <w:r w:rsidRPr="004102D6">
              <w:rPr>
                <w:rFonts w:cstheme="minorHAnsi"/>
                <w:sz w:val="20"/>
                <w:szCs w:val="20"/>
              </w:rPr>
              <w:t>Exporter</w:t>
            </w:r>
          </w:p>
        </w:tc>
        <w:tc>
          <w:tcPr>
            <w:tcW w:w="3157" w:type="pct"/>
          </w:tcPr>
          <w:p w14:paraId="7C887EC8" w14:textId="14B1A95D"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The person or entity responsible for the transaction of goods leaving Australia.</w:t>
            </w:r>
          </w:p>
        </w:tc>
      </w:tr>
      <w:tr w:rsidR="000418C3" w:rsidRPr="00FB51C2" w14:paraId="17F86DBF"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08F83983" w14:textId="79518013" w:rsidR="000418C3" w:rsidRPr="004102D6" w:rsidRDefault="000418C3" w:rsidP="000418C3">
            <w:pPr>
              <w:rPr>
                <w:rFonts w:cstheme="minorHAnsi"/>
                <w:sz w:val="20"/>
                <w:szCs w:val="20"/>
              </w:rPr>
            </w:pPr>
            <w:r w:rsidRPr="004102D6">
              <w:rPr>
                <w:rFonts w:cstheme="minorHAnsi"/>
                <w:sz w:val="20"/>
                <w:szCs w:val="20"/>
              </w:rPr>
              <w:t>Holder of Tradex Order</w:t>
            </w:r>
          </w:p>
        </w:tc>
        <w:tc>
          <w:tcPr>
            <w:tcW w:w="3157" w:type="pct"/>
          </w:tcPr>
          <w:p w14:paraId="35C3148E" w14:textId="698B6C34"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Responsible for fulfilling all the terms and criteria of the Tradex Scheme.</w:t>
            </w:r>
          </w:p>
        </w:tc>
      </w:tr>
      <w:tr w:rsidR="000418C3" w:rsidRPr="00FB51C2" w14:paraId="6F82FA6A"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4CA8FAA2" w14:textId="6788B91A" w:rsidR="000418C3" w:rsidRPr="004102D6" w:rsidRDefault="000418C3" w:rsidP="000418C3">
            <w:pPr>
              <w:rPr>
                <w:rFonts w:cstheme="minorHAnsi"/>
                <w:sz w:val="20"/>
                <w:szCs w:val="20"/>
              </w:rPr>
            </w:pPr>
            <w:r w:rsidRPr="004102D6">
              <w:rPr>
                <w:rFonts w:cstheme="minorHAnsi"/>
                <w:sz w:val="20"/>
                <w:szCs w:val="20"/>
              </w:rPr>
              <w:t>Importer</w:t>
            </w:r>
          </w:p>
        </w:tc>
        <w:tc>
          <w:tcPr>
            <w:tcW w:w="3157" w:type="pct"/>
          </w:tcPr>
          <w:p w14:paraId="09A3E488" w14:textId="5A30E2C8"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The person or entity responsible for the transaction of goods entering Australia.</w:t>
            </w:r>
          </w:p>
        </w:tc>
      </w:tr>
      <w:tr w:rsidR="000418C3" w:rsidRPr="00FB51C2" w14:paraId="30CCD499"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64EDE147" w14:textId="566EF056" w:rsidR="000418C3" w:rsidRPr="004102D6" w:rsidRDefault="000418C3" w:rsidP="000418C3">
            <w:pPr>
              <w:rPr>
                <w:rFonts w:cstheme="minorHAnsi"/>
                <w:szCs w:val="20"/>
              </w:rPr>
            </w:pPr>
            <w:r w:rsidRPr="004102D6">
              <w:rPr>
                <w:rFonts w:cstheme="minorHAnsi"/>
                <w:sz w:val="20"/>
                <w:szCs w:val="20"/>
              </w:rPr>
              <w:lastRenderedPageBreak/>
              <w:t>Imports</w:t>
            </w:r>
          </w:p>
        </w:tc>
        <w:tc>
          <w:tcPr>
            <w:tcW w:w="3157" w:type="pct"/>
          </w:tcPr>
          <w:p w14:paraId="14E859E1" w14:textId="7906F0F9"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 xml:space="preserve">Nominated goods that arrive in Australia from an overseas location with the intention for those goods </w:t>
            </w:r>
            <w:r>
              <w:rPr>
                <w:rFonts w:cstheme="minorHAnsi"/>
                <w:szCs w:val="20"/>
                <w:lang w:eastAsia="en-AU"/>
              </w:rPr>
              <w:t xml:space="preserve">to </w:t>
            </w:r>
            <w:r w:rsidRPr="004102D6">
              <w:rPr>
                <w:rFonts w:cstheme="minorHAnsi"/>
                <w:szCs w:val="20"/>
                <w:lang w:eastAsia="en-AU"/>
              </w:rPr>
              <w:t>enter the commerce of Australia.</w:t>
            </w:r>
          </w:p>
        </w:tc>
      </w:tr>
      <w:tr w:rsidR="000418C3" w:rsidRPr="00FB51C2" w14:paraId="68940396"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7DEA30C7" w14:textId="2E2D9683" w:rsidR="000418C3" w:rsidRPr="004102D6" w:rsidRDefault="000418C3" w:rsidP="000418C3">
            <w:pPr>
              <w:rPr>
                <w:rFonts w:cstheme="minorHAnsi"/>
                <w:sz w:val="20"/>
                <w:szCs w:val="20"/>
              </w:rPr>
            </w:pPr>
            <w:r w:rsidRPr="004102D6">
              <w:rPr>
                <w:rFonts w:cstheme="minorHAnsi"/>
                <w:sz w:val="20"/>
                <w:szCs w:val="20"/>
              </w:rPr>
              <w:t>Import date</w:t>
            </w:r>
          </w:p>
        </w:tc>
        <w:tc>
          <w:tcPr>
            <w:tcW w:w="3157" w:type="pct"/>
          </w:tcPr>
          <w:p w14:paraId="1C5E4BF0" w14:textId="15E767F2"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lang w:eastAsia="en-AU"/>
              </w:rPr>
            </w:pPr>
            <w:r w:rsidRPr="004102D6">
              <w:rPr>
                <w:rFonts w:cstheme="minorHAnsi"/>
                <w:szCs w:val="20"/>
                <w:lang w:eastAsia="en-AU"/>
              </w:rPr>
              <w:t>The date the goods were entered for home consumption.</w:t>
            </w:r>
          </w:p>
        </w:tc>
      </w:tr>
      <w:tr w:rsidR="000418C3" w:rsidRPr="00FB51C2" w14:paraId="5F8E5D97"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3C8A6B6E" w14:textId="76E87A2D" w:rsidR="000418C3" w:rsidRPr="004102D6" w:rsidRDefault="000418C3" w:rsidP="000418C3">
            <w:pPr>
              <w:rPr>
                <w:rFonts w:cstheme="minorHAnsi"/>
                <w:sz w:val="20"/>
                <w:szCs w:val="20"/>
              </w:rPr>
            </w:pPr>
            <w:r w:rsidRPr="004102D6">
              <w:rPr>
                <w:rFonts w:cstheme="minorHAnsi"/>
                <w:bCs/>
                <w:sz w:val="20"/>
                <w:szCs w:val="20"/>
              </w:rPr>
              <w:t>Import declaration</w:t>
            </w:r>
          </w:p>
        </w:tc>
        <w:tc>
          <w:tcPr>
            <w:tcW w:w="3157" w:type="pct"/>
          </w:tcPr>
          <w:p w14:paraId="4FA3FC65" w14:textId="77777777"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color w:val="000000"/>
                <w:w w:val="0"/>
                <w:szCs w:val="20"/>
              </w:rPr>
            </w:pPr>
            <w:r w:rsidRPr="004102D6">
              <w:rPr>
                <w:rFonts w:cstheme="minorHAnsi"/>
                <w:color w:val="000000"/>
                <w:w w:val="0"/>
                <w:szCs w:val="20"/>
              </w:rPr>
              <w:t xml:space="preserve">An import declaration is a document lodged with the Australian Border Force to enter goods imported directly for home consumption. It is lodged by the importer or their representative licensed customs broker. </w:t>
            </w:r>
          </w:p>
          <w:p w14:paraId="611685D5" w14:textId="48354C22" w:rsidR="000418C3" w:rsidRPr="004102D6" w:rsidRDefault="000418C3" w:rsidP="000418C3">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4102D6">
              <w:rPr>
                <w:lang w:eastAsia="en-AU"/>
              </w:rPr>
              <w:t>Import declaration</w:t>
            </w:r>
            <w:r>
              <w:rPr>
                <w:lang w:eastAsia="en-AU"/>
              </w:rPr>
              <w:t xml:space="preserve"> (Nature 10)</w:t>
            </w:r>
          </w:p>
          <w:p w14:paraId="28A8C85F" w14:textId="5A5CD541" w:rsidR="000418C3" w:rsidRPr="000418C3" w:rsidRDefault="000418C3" w:rsidP="000418C3">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4102D6">
              <w:rPr>
                <w:lang w:eastAsia="en-AU"/>
              </w:rPr>
              <w:t>Self</w:t>
            </w:r>
            <w:r>
              <w:rPr>
                <w:lang w:eastAsia="en-AU"/>
              </w:rPr>
              <w:t>-</w:t>
            </w:r>
            <w:r w:rsidRPr="004102D6">
              <w:rPr>
                <w:lang w:eastAsia="en-AU"/>
              </w:rPr>
              <w:t>Assessed Clearance (SAC) Declaration</w:t>
            </w:r>
          </w:p>
          <w:p w14:paraId="25483E65" w14:textId="00D28B98" w:rsidR="000418C3" w:rsidRPr="000418C3" w:rsidRDefault="000418C3" w:rsidP="000418C3">
            <w:pPr>
              <w:pStyle w:val="ListParagraph"/>
              <w:cnfStyle w:val="000000000000" w:firstRow="0" w:lastRow="0" w:firstColumn="0" w:lastColumn="0" w:oddVBand="0" w:evenVBand="0" w:oddHBand="0" w:evenHBand="0" w:firstRowFirstColumn="0" w:firstRowLastColumn="0" w:lastRowFirstColumn="0" w:lastRowLastColumn="0"/>
              <w:rPr>
                <w:rFonts w:cs="Arial"/>
                <w:iCs/>
                <w:lang w:eastAsia="en-AU"/>
              </w:rPr>
            </w:pPr>
            <w:r w:rsidRPr="004102D6">
              <w:rPr>
                <w:lang w:eastAsia="en-AU"/>
              </w:rPr>
              <w:t>Warehouse Declarations</w:t>
            </w:r>
            <w:r>
              <w:rPr>
                <w:lang w:eastAsia="en-AU"/>
              </w:rPr>
              <w:t xml:space="preserve"> (Nature 20).</w:t>
            </w:r>
          </w:p>
        </w:tc>
      </w:tr>
      <w:tr w:rsidR="000418C3" w:rsidRPr="00FB51C2" w14:paraId="5987E977"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15BDC2FA" w14:textId="05A14818" w:rsidR="000418C3" w:rsidRPr="004102D6" w:rsidRDefault="000418C3" w:rsidP="000418C3">
            <w:pPr>
              <w:rPr>
                <w:rFonts w:cstheme="minorHAnsi"/>
                <w:sz w:val="20"/>
                <w:szCs w:val="20"/>
              </w:rPr>
            </w:pPr>
            <w:r w:rsidRPr="004102D6">
              <w:rPr>
                <w:rFonts w:cstheme="minorHAnsi"/>
                <w:sz w:val="20"/>
                <w:szCs w:val="20"/>
              </w:rPr>
              <w:t>Integrated Cargo System (ICS)</w:t>
            </w:r>
          </w:p>
        </w:tc>
        <w:tc>
          <w:tcPr>
            <w:tcW w:w="3157" w:type="pct"/>
          </w:tcPr>
          <w:p w14:paraId="2BEDB6BB" w14:textId="510B5913"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lang w:eastAsia="en-AU"/>
              </w:rPr>
            </w:pPr>
            <w:r w:rsidRPr="004102D6">
              <w:t>ICS is an integrated IT system for processing import and export reporting and processing procedures. For help and support with ICS registration contact the Australian Border Force.</w:t>
            </w:r>
          </w:p>
        </w:tc>
      </w:tr>
      <w:tr w:rsidR="000418C3" w:rsidRPr="00FB51C2" w14:paraId="3124606B"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2A162126" w14:textId="044CF6E1" w:rsidR="000418C3" w:rsidRPr="004102D6" w:rsidRDefault="000418C3" w:rsidP="000418C3">
            <w:pPr>
              <w:rPr>
                <w:rFonts w:cstheme="minorHAnsi"/>
                <w:bCs/>
                <w:sz w:val="20"/>
                <w:szCs w:val="20"/>
              </w:rPr>
            </w:pPr>
            <w:r w:rsidRPr="004102D6">
              <w:rPr>
                <w:rFonts w:cstheme="minorHAnsi"/>
                <w:bCs/>
                <w:sz w:val="20"/>
                <w:szCs w:val="20"/>
              </w:rPr>
              <w:t>Kind or description</w:t>
            </w:r>
          </w:p>
        </w:tc>
        <w:tc>
          <w:tcPr>
            <w:tcW w:w="3157" w:type="pct"/>
          </w:tcPr>
          <w:p w14:paraId="2E02813A" w14:textId="29512BF8"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color w:val="000000"/>
                <w:w w:val="0"/>
                <w:szCs w:val="20"/>
              </w:rPr>
            </w:pPr>
            <w:bookmarkStart w:id="307" w:name="_Hlk152161656"/>
            <w:r w:rsidRPr="004102D6">
              <w:rPr>
                <w:rFonts w:cstheme="minorHAnsi"/>
                <w:color w:val="000000"/>
                <w:w w:val="0"/>
                <w:szCs w:val="20"/>
              </w:rPr>
              <w:t xml:space="preserve">Refers to section C2 of the application form. It is the full description of the imported goods and exported goods. If the imported goods are further processed/manufactured, this section should also include a description of the finished exported goods. </w:t>
            </w:r>
            <w:bookmarkEnd w:id="307"/>
          </w:p>
        </w:tc>
      </w:tr>
      <w:tr w:rsidR="000418C3" w:rsidRPr="00FB51C2" w14:paraId="66F0DFC8"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666034AB" w14:textId="77777777" w:rsidR="000418C3" w:rsidRPr="004102D6" w:rsidRDefault="000418C3" w:rsidP="000418C3">
            <w:pPr>
              <w:rPr>
                <w:rFonts w:cstheme="minorHAnsi"/>
                <w:bCs/>
                <w:sz w:val="20"/>
                <w:szCs w:val="20"/>
              </w:rPr>
            </w:pPr>
            <w:r w:rsidRPr="004102D6">
              <w:rPr>
                <w:rFonts w:cstheme="minorHAnsi"/>
                <w:bCs/>
                <w:sz w:val="20"/>
                <w:szCs w:val="20"/>
              </w:rPr>
              <w:t xml:space="preserve">Minister </w:t>
            </w:r>
          </w:p>
        </w:tc>
        <w:tc>
          <w:tcPr>
            <w:tcW w:w="3157" w:type="pct"/>
          </w:tcPr>
          <w:p w14:paraId="13D17E8F" w14:textId="601B43CD"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color w:val="000000"/>
                <w:w w:val="0"/>
                <w:szCs w:val="20"/>
              </w:rPr>
            </w:pPr>
            <w:r w:rsidRPr="004102D6">
              <w:rPr>
                <w:rFonts w:cstheme="minorHAnsi"/>
                <w:color w:val="000000"/>
                <w:w w:val="0"/>
                <w:szCs w:val="20"/>
              </w:rPr>
              <w:t xml:space="preserve">The Minister or Ministers with responsibility for administering the </w:t>
            </w:r>
            <w:r w:rsidRPr="004102D6">
              <w:rPr>
                <w:rFonts w:cstheme="minorHAnsi"/>
                <w:i/>
                <w:color w:val="000000"/>
                <w:w w:val="0"/>
                <w:szCs w:val="20"/>
              </w:rPr>
              <w:t>Customs Act 1901</w:t>
            </w:r>
            <w:r w:rsidRPr="004102D6">
              <w:rPr>
                <w:rFonts w:cstheme="minorHAnsi"/>
                <w:color w:val="000000"/>
                <w:w w:val="0"/>
                <w:szCs w:val="20"/>
              </w:rPr>
              <w:t xml:space="preserve"> and the </w:t>
            </w:r>
            <w:r w:rsidRPr="004102D6">
              <w:rPr>
                <w:rFonts w:cstheme="minorHAnsi"/>
                <w:i/>
                <w:color w:val="000000"/>
                <w:w w:val="0"/>
                <w:szCs w:val="20"/>
              </w:rPr>
              <w:t>Customs Tariff Act 1995</w:t>
            </w:r>
            <w:r w:rsidRPr="004102D6">
              <w:rPr>
                <w:rFonts w:cstheme="minorHAnsi"/>
                <w:color w:val="000000"/>
                <w:w w:val="0"/>
                <w:szCs w:val="20"/>
              </w:rPr>
              <w:t>.</w:t>
            </w:r>
          </w:p>
        </w:tc>
      </w:tr>
      <w:tr w:rsidR="000418C3" w:rsidRPr="00FB51C2" w14:paraId="2F431028"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4A8399CA" w14:textId="3F22A262" w:rsidR="000418C3" w:rsidRPr="004102D6" w:rsidRDefault="000418C3" w:rsidP="000418C3">
            <w:pPr>
              <w:rPr>
                <w:rFonts w:cstheme="minorHAnsi"/>
                <w:sz w:val="20"/>
                <w:szCs w:val="20"/>
              </w:rPr>
            </w:pPr>
            <w:r w:rsidRPr="004102D6">
              <w:rPr>
                <w:rFonts w:cstheme="minorHAnsi"/>
                <w:sz w:val="20"/>
                <w:szCs w:val="20"/>
              </w:rPr>
              <w:t>Nominated goods</w:t>
            </w:r>
          </w:p>
        </w:tc>
        <w:tc>
          <w:tcPr>
            <w:tcW w:w="3157" w:type="pct"/>
          </w:tcPr>
          <w:p w14:paraId="56F6874C" w14:textId="5BDEB1CF"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 xml:space="preserve">The Tradex Act defines nominated goods: </w:t>
            </w:r>
          </w:p>
          <w:p w14:paraId="4AB15CAE" w14:textId="674840C2" w:rsidR="000418C3" w:rsidRPr="004102D6" w:rsidRDefault="000418C3" w:rsidP="000418C3">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4102D6">
              <w:t>in relation to goods of a kind or description in respect of which an application has been made for a Tradex order-eligible goods of the kind or description specified in the application that are intended to be imported by the applicant: or</w:t>
            </w:r>
          </w:p>
          <w:p w14:paraId="35AFAB15" w14:textId="2653B286" w:rsidR="000418C3" w:rsidRPr="004102D6" w:rsidRDefault="000418C3" w:rsidP="000418C3">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w w:val="0"/>
              </w:rPr>
            </w:pPr>
            <w:r w:rsidRPr="004102D6">
              <w:t>in relation to goods of a kind or description in respect of which a Tradex order is in force-eligible goods of the kind or description specified in the order that are intended to be imported, or are imported by the holder of the order.</w:t>
            </w:r>
          </w:p>
        </w:tc>
      </w:tr>
      <w:tr w:rsidR="000418C3" w:rsidRPr="00FB51C2" w14:paraId="02BEA224"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41C5DF76" w14:textId="77777777" w:rsidR="000418C3" w:rsidRPr="004102D6" w:rsidRDefault="000418C3" w:rsidP="000418C3">
            <w:pPr>
              <w:rPr>
                <w:rFonts w:cstheme="minorHAnsi"/>
                <w:sz w:val="20"/>
                <w:szCs w:val="20"/>
              </w:rPr>
            </w:pPr>
            <w:r w:rsidRPr="004102D6">
              <w:rPr>
                <w:rFonts w:cstheme="minorHAnsi"/>
                <w:sz w:val="20"/>
                <w:szCs w:val="20"/>
              </w:rPr>
              <w:t>Personal information</w:t>
            </w:r>
          </w:p>
        </w:tc>
        <w:tc>
          <w:tcPr>
            <w:tcW w:w="3157" w:type="pct"/>
          </w:tcPr>
          <w:p w14:paraId="5F1A899B" w14:textId="77777777"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color w:val="000000"/>
                <w:w w:val="0"/>
                <w:szCs w:val="20"/>
              </w:rPr>
            </w:pPr>
            <w:r w:rsidRPr="004102D6">
              <w:rPr>
                <w:rFonts w:cstheme="minorHAnsi"/>
                <w:color w:val="000000"/>
                <w:w w:val="0"/>
                <w:szCs w:val="20"/>
              </w:rPr>
              <w:t xml:space="preserve">Has the same meaning as in the </w:t>
            </w:r>
            <w:r w:rsidRPr="004102D6">
              <w:rPr>
                <w:rFonts w:cstheme="minorHAnsi"/>
                <w:i/>
                <w:color w:val="000000"/>
                <w:w w:val="0"/>
                <w:szCs w:val="20"/>
              </w:rPr>
              <w:t>Privacy Act 1988</w:t>
            </w:r>
            <w:r w:rsidRPr="004102D6">
              <w:rPr>
                <w:rFonts w:cstheme="minorHAnsi"/>
                <w:color w:val="000000"/>
                <w:w w:val="0"/>
                <w:szCs w:val="20"/>
              </w:rPr>
              <w:t xml:space="preserve"> (Cth) which is:</w:t>
            </w:r>
          </w:p>
          <w:p w14:paraId="181DF40D" w14:textId="77777777"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color w:val="000000"/>
                <w:w w:val="0"/>
                <w:szCs w:val="20"/>
              </w:rPr>
            </w:pPr>
            <w:r w:rsidRPr="004102D6">
              <w:rPr>
                <w:rFonts w:cstheme="minorHAnsi"/>
                <w:color w:val="000000"/>
                <w:w w:val="0"/>
                <w:szCs w:val="20"/>
              </w:rPr>
              <w:t>Information or an opinion about an identified individual, or an individual who is reasonably identifiable:</w:t>
            </w:r>
          </w:p>
          <w:p w14:paraId="50284A0C" w14:textId="77777777" w:rsidR="000418C3" w:rsidRPr="004102D6" w:rsidRDefault="000418C3" w:rsidP="000418C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whether the information or opinion is true or not; and</w:t>
            </w:r>
          </w:p>
          <w:p w14:paraId="34AD9875" w14:textId="77777777" w:rsidR="000418C3" w:rsidRPr="004102D6" w:rsidRDefault="000418C3" w:rsidP="000418C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whether the information or opinion is recorded in a material form or not.</w:t>
            </w:r>
          </w:p>
        </w:tc>
      </w:tr>
      <w:tr w:rsidR="000418C3" w:rsidRPr="00FB51C2" w14:paraId="7A03AB68"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665EE630" w14:textId="77777777" w:rsidR="000418C3" w:rsidRPr="004102D6" w:rsidRDefault="000418C3" w:rsidP="000418C3">
            <w:pPr>
              <w:rPr>
                <w:rFonts w:cstheme="minorHAnsi"/>
                <w:sz w:val="20"/>
                <w:szCs w:val="20"/>
              </w:rPr>
            </w:pPr>
            <w:r w:rsidRPr="004102D6">
              <w:rPr>
                <w:rFonts w:cstheme="minorHAnsi"/>
                <w:sz w:val="20"/>
                <w:szCs w:val="20"/>
              </w:rPr>
              <w:lastRenderedPageBreak/>
              <w:t xml:space="preserve">Program </w:t>
            </w:r>
            <w:r w:rsidRPr="004102D6" w:rsidDel="00FB468E">
              <w:rPr>
                <w:rFonts w:cstheme="minorHAnsi"/>
                <w:sz w:val="20"/>
                <w:szCs w:val="20"/>
              </w:rPr>
              <w:t>D</w:t>
            </w:r>
            <w:r w:rsidRPr="004102D6">
              <w:rPr>
                <w:rFonts w:cstheme="minorHAnsi"/>
                <w:sz w:val="20"/>
                <w:szCs w:val="20"/>
              </w:rPr>
              <w:t>elegate</w:t>
            </w:r>
          </w:p>
        </w:tc>
        <w:tc>
          <w:tcPr>
            <w:tcW w:w="3157" w:type="pct"/>
          </w:tcPr>
          <w:p w14:paraId="61B1B899" w14:textId="6CE74596"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4102D6">
              <w:rPr>
                <w:rFonts w:cstheme="minorHAnsi"/>
                <w:szCs w:val="20"/>
              </w:rPr>
              <w:t>A Manager, General Manager or Head of Division within the department with responsibility for administering the Tradex Scheme.</w:t>
            </w:r>
          </w:p>
        </w:tc>
      </w:tr>
      <w:tr w:rsidR="000418C3" w:rsidRPr="00FB51C2" w14:paraId="128798F9"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79D3AF36" w14:textId="77777777" w:rsidR="000418C3" w:rsidRPr="004102D6" w:rsidRDefault="000418C3" w:rsidP="000418C3">
            <w:pPr>
              <w:rPr>
                <w:rFonts w:cstheme="minorHAnsi"/>
                <w:sz w:val="20"/>
                <w:szCs w:val="20"/>
              </w:rPr>
            </w:pPr>
            <w:r w:rsidRPr="004102D6">
              <w:rPr>
                <w:rFonts w:cstheme="minorHAnsi"/>
                <w:sz w:val="20"/>
                <w:szCs w:val="20"/>
              </w:rPr>
              <w:t>Program Manager</w:t>
            </w:r>
          </w:p>
        </w:tc>
        <w:tc>
          <w:tcPr>
            <w:tcW w:w="3157" w:type="pct"/>
          </w:tcPr>
          <w:p w14:paraId="48F5A354" w14:textId="4B83F977"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The Manger with responsibility for administering the Tradex Scheme.</w:t>
            </w:r>
          </w:p>
        </w:tc>
      </w:tr>
      <w:tr w:rsidR="000418C3" w:rsidRPr="00FB51C2" w14:paraId="74AD059F"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1B5ACEC5" w14:textId="44E27D7C" w:rsidR="000418C3" w:rsidRPr="004102D6" w:rsidRDefault="000418C3" w:rsidP="000418C3">
            <w:pPr>
              <w:rPr>
                <w:rFonts w:cstheme="minorHAnsi"/>
                <w:sz w:val="20"/>
                <w:szCs w:val="20"/>
              </w:rPr>
            </w:pPr>
            <w:r w:rsidRPr="004102D6">
              <w:rPr>
                <w:rFonts w:cstheme="minorHAnsi"/>
                <w:sz w:val="20"/>
                <w:szCs w:val="20"/>
              </w:rPr>
              <w:t>Secretary</w:t>
            </w:r>
          </w:p>
        </w:tc>
        <w:tc>
          <w:tcPr>
            <w:tcW w:w="3157" w:type="pct"/>
          </w:tcPr>
          <w:p w14:paraId="05BB11F8" w14:textId="4D30DB11"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The Secretary of the department with responsibility for administering the Tradex Scheme.</w:t>
            </w:r>
          </w:p>
        </w:tc>
      </w:tr>
      <w:tr w:rsidR="000418C3" w:rsidRPr="00FB51C2" w14:paraId="01DC9D9C" w14:textId="77777777" w:rsidTr="004102D6">
        <w:tc>
          <w:tcPr>
            <w:cnfStyle w:val="001000000000" w:firstRow="0" w:lastRow="0" w:firstColumn="1" w:lastColumn="0" w:oddVBand="0" w:evenVBand="0" w:oddHBand="0" w:evenHBand="0" w:firstRowFirstColumn="0" w:firstRowLastColumn="0" w:lastRowFirstColumn="0" w:lastRowLastColumn="0"/>
            <w:tcW w:w="1843" w:type="pct"/>
          </w:tcPr>
          <w:p w14:paraId="75BAD3EF" w14:textId="1B7E94F2" w:rsidR="000418C3" w:rsidRPr="004102D6" w:rsidRDefault="000418C3" w:rsidP="000418C3">
            <w:pPr>
              <w:rPr>
                <w:rFonts w:cstheme="minorHAnsi"/>
                <w:sz w:val="20"/>
                <w:szCs w:val="20"/>
              </w:rPr>
            </w:pPr>
            <w:r w:rsidRPr="004102D6">
              <w:rPr>
                <w:rFonts w:cstheme="minorHAnsi"/>
                <w:sz w:val="20"/>
                <w:szCs w:val="20"/>
              </w:rPr>
              <w:t>Tradex duty</w:t>
            </w:r>
          </w:p>
        </w:tc>
        <w:tc>
          <w:tcPr>
            <w:tcW w:w="3157" w:type="pct"/>
          </w:tcPr>
          <w:p w14:paraId="1B616140" w14:textId="51F59F92" w:rsidR="000418C3" w:rsidRPr="004102D6" w:rsidRDefault="000418C3" w:rsidP="000418C3">
            <w:pPr>
              <w:cnfStyle w:val="000000000000" w:firstRow="0" w:lastRow="0" w:firstColumn="0" w:lastColumn="0" w:oddVBand="0" w:evenVBand="0" w:oddHBand="0" w:evenHBand="0" w:firstRowFirstColumn="0" w:firstRowLastColumn="0" w:lastRowFirstColumn="0" w:lastRowLastColumn="0"/>
              <w:rPr>
                <w:rFonts w:cstheme="minorHAnsi"/>
                <w:szCs w:val="20"/>
              </w:rPr>
            </w:pPr>
            <w:r w:rsidRPr="004102D6">
              <w:rPr>
                <w:rFonts w:cstheme="minorHAnsi"/>
                <w:szCs w:val="20"/>
              </w:rPr>
              <w:t>Tradex duty is an amount equivalent to the customs duty that would have been payable on the imported goods but for the concession provided by the Tradex Scheme.</w:t>
            </w:r>
          </w:p>
        </w:tc>
      </w:tr>
    </w:tbl>
    <w:p w14:paraId="3B13A2AC" w14:textId="77777777" w:rsidR="0014373E" w:rsidRPr="000E227B" w:rsidRDefault="0014373E" w:rsidP="0046128F">
      <w:pPr>
        <w:rPr>
          <w:sz w:val="22"/>
        </w:rPr>
      </w:pPr>
    </w:p>
    <w:sectPr w:rsidR="0014373E" w:rsidRPr="000E227B" w:rsidSect="00F72F16">
      <w:footerReference w:type="default" r:id="rId41"/>
      <w:pgSz w:w="11907" w:h="16840" w:code="9"/>
      <w:pgMar w:top="1418" w:right="1418" w:bottom="1276"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D423" w14:textId="77777777" w:rsidR="00976373" w:rsidRDefault="00976373" w:rsidP="00077C3D">
      <w:r>
        <w:separator/>
      </w:r>
    </w:p>
  </w:endnote>
  <w:endnote w:type="continuationSeparator" w:id="0">
    <w:p w14:paraId="58902B99" w14:textId="77777777" w:rsidR="00976373" w:rsidRDefault="00976373" w:rsidP="00077C3D">
      <w:r>
        <w:continuationSeparator/>
      </w:r>
    </w:p>
  </w:endnote>
  <w:endnote w:type="continuationNotice" w:id="1">
    <w:p w14:paraId="568578A9" w14:textId="77777777" w:rsidR="00976373" w:rsidRDefault="0097637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heSansOffice">
    <w:altName w:val="Arial"/>
    <w:charset w:val="00"/>
    <w:family w:val="swiss"/>
    <w:pitch w:val="variable"/>
    <w:sig w:usb0="80000027" w:usb1="00000040" w:usb2="00000000" w:usb3="00000000" w:csb0="00000001" w:csb1="00000000"/>
  </w:font>
  <w:font w:name="Aptos SemiBold">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7B04" w14:textId="21FF1E5F" w:rsidR="00BD7BBB" w:rsidRPr="00B05747" w:rsidRDefault="00BD7BBB" w:rsidP="00AA77DC">
    <w:pPr>
      <w:pStyle w:val="Footer"/>
      <w:tabs>
        <w:tab w:val="center" w:pos="4820"/>
        <w:tab w:val="right" w:pos="8789"/>
      </w:tabs>
    </w:pPr>
    <w:r>
      <w:t xml:space="preserve">Tradex </w:t>
    </w:r>
    <w:r w:rsidR="00C0141A">
      <w:t>Scheme</w:t>
    </w:r>
    <w:r>
      <w:t xml:space="preserve"> </w:t>
    </w:r>
    <w:r w:rsidR="00F72F16" w:rsidRPr="00F72F16">
      <w:t>Policy and Administrative</w:t>
    </w:r>
    <w:r w:rsidR="00F72F16">
      <w:t xml:space="preserve"> Guidelines</w:t>
    </w:r>
    <w:r w:rsidR="00F72F16">
      <w:br/>
    </w:r>
    <w:r w:rsidR="00DF43EB">
      <w:t>February</w:t>
    </w:r>
    <w:r w:rsidR="000418C3">
      <w:t xml:space="preserve"> 202</w:t>
    </w:r>
    <w:r w:rsidR="00DF43EB">
      <w:t>5</w:t>
    </w:r>
    <w:r>
      <w:ptab w:relativeTo="margin" w:alignment="right" w:leader="none"/>
    </w:r>
    <w:r w:rsidRPr="005B72F4">
      <w:t xml:space="preserve">Page </w:t>
    </w:r>
    <w:r w:rsidRPr="005B72F4">
      <w:fldChar w:fldCharType="begin"/>
    </w:r>
    <w:r w:rsidRPr="005B72F4">
      <w:instrText xml:space="preserve"> PAGE </w:instrText>
    </w:r>
    <w:r w:rsidRPr="005B72F4">
      <w:fldChar w:fldCharType="separate"/>
    </w:r>
    <w:r w:rsidR="0064423D">
      <w:rPr>
        <w:noProof/>
      </w:rPr>
      <w:t>15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64423D">
      <w:rPr>
        <w:noProof/>
      </w:rPr>
      <w:t>15</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62F8" w14:textId="77777777" w:rsidR="00976373" w:rsidRDefault="00976373" w:rsidP="00077C3D">
      <w:r>
        <w:separator/>
      </w:r>
    </w:p>
  </w:footnote>
  <w:footnote w:type="continuationSeparator" w:id="0">
    <w:p w14:paraId="6F2021B9" w14:textId="77777777" w:rsidR="00976373" w:rsidRDefault="00976373" w:rsidP="00077C3D">
      <w:r>
        <w:continuationSeparator/>
      </w:r>
    </w:p>
  </w:footnote>
  <w:footnote w:type="continuationNotice" w:id="1">
    <w:p w14:paraId="17E41AB6" w14:textId="77777777" w:rsidR="00976373" w:rsidRDefault="00976373" w:rsidP="00077C3D"/>
  </w:footnote>
  <w:footnote w:id="2">
    <w:p w14:paraId="5256FCB3" w14:textId="77777777" w:rsidR="00DD1CFB" w:rsidRDefault="00DD1CFB" w:rsidP="00DD1CFB">
      <w:pPr>
        <w:pStyle w:val="FootnoteText"/>
      </w:pPr>
      <w:r>
        <w:rPr>
          <w:rStyle w:val="FootnoteReference"/>
        </w:rPr>
        <w:footnoteRef/>
      </w:r>
      <w:r>
        <w:t xml:space="preserve"> </w:t>
      </w:r>
      <w:hyperlink r:id="rId1" w:history="1">
        <w:r w:rsidRPr="004102D6">
          <w:rPr>
            <w:rStyle w:val="Hyperlink"/>
          </w:rPr>
          <w:t>World Gold Council | The Authority on Gold</w:t>
        </w:r>
      </w:hyperlink>
    </w:p>
  </w:footnote>
  <w:footnote w:id="3">
    <w:p w14:paraId="6FFD419F" w14:textId="77777777" w:rsidR="002103E6" w:rsidRPr="000A231F" w:rsidRDefault="002103E6" w:rsidP="002103E6">
      <w:pPr>
        <w:pStyle w:val="FootnoteText"/>
        <w:rPr>
          <w:szCs w:val="16"/>
        </w:rPr>
      </w:pPr>
      <w:r w:rsidRPr="000A231F">
        <w:rPr>
          <w:rStyle w:val="FootnoteReference"/>
          <w:szCs w:val="16"/>
        </w:rPr>
        <w:footnoteRef/>
      </w:r>
      <w:r w:rsidRPr="000A231F">
        <w:rPr>
          <w:szCs w:val="16"/>
        </w:rPr>
        <w:t xml:space="preserve"> </w:t>
      </w:r>
      <w:hyperlink r:id="rId2" w:history="1">
        <w:r w:rsidRPr="000A231F">
          <w:rPr>
            <w:rStyle w:val="Hyperlink"/>
            <w:szCs w:val="16"/>
          </w:rPr>
          <w:t>Australian National Audit Office | Australian National Audit Office (ANAO)</w:t>
        </w:r>
      </w:hyperlink>
    </w:p>
  </w:footnote>
  <w:footnote w:id="4">
    <w:p w14:paraId="61CB6832" w14:textId="77777777" w:rsidR="002103E6" w:rsidRDefault="002103E6" w:rsidP="002103E6">
      <w:pPr>
        <w:pStyle w:val="FootnoteText"/>
      </w:pPr>
      <w:r w:rsidRPr="000A231F">
        <w:rPr>
          <w:rStyle w:val="FootnoteReference"/>
          <w:szCs w:val="16"/>
        </w:rPr>
        <w:footnoteRef/>
      </w:r>
      <w:r w:rsidRPr="000A231F">
        <w:rPr>
          <w:szCs w:val="16"/>
        </w:rPr>
        <w:t xml:space="preserve"> </w:t>
      </w:r>
      <w:hyperlink r:id="rId3" w:history="1">
        <w:r w:rsidRPr="00187A4E">
          <w:rPr>
            <w:rStyle w:val="Hyperlink"/>
          </w:rPr>
          <w:t>Fraud Control Policy | Attorney-General's Department (ag.gov.au)</w:t>
        </w:r>
      </w:hyperlink>
    </w:p>
  </w:footnote>
  <w:footnote w:id="5">
    <w:p w14:paraId="3807000C" w14:textId="77777777" w:rsidR="008726FD" w:rsidRDefault="008726FD" w:rsidP="008726FD">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6">
    <w:p w14:paraId="7F99A9CB" w14:textId="77777777" w:rsidR="008726FD" w:rsidRDefault="008726FD" w:rsidP="008726FD">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7">
    <w:p w14:paraId="4513D4FF" w14:textId="77777777" w:rsidR="008726FD" w:rsidRDefault="008726FD" w:rsidP="008726FD">
      <w:pPr>
        <w:pStyle w:val="FootnoteText"/>
      </w:pPr>
      <w:r>
        <w:rPr>
          <w:rStyle w:val="FootnoteReference"/>
        </w:rPr>
        <w:footnoteRef/>
      </w:r>
      <w:r>
        <w:t xml:space="preserve"> </w:t>
      </w:r>
      <w:hyperlink r:id="rId6" w:history="1">
        <w:r w:rsidRPr="006622A1">
          <w:rPr>
            <w:rStyle w:val="Hyperlink"/>
          </w:rPr>
          <w:t>http://www.ombudsman.gov.au/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20C40A1"/>
    <w:multiLevelType w:val="hybridMultilevel"/>
    <w:tmpl w:val="404C1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E178EE"/>
    <w:multiLevelType w:val="hybridMultilevel"/>
    <w:tmpl w:val="6F800FB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73E42"/>
    <w:multiLevelType w:val="hybridMultilevel"/>
    <w:tmpl w:val="0B643A3C"/>
    <w:lvl w:ilvl="0" w:tplc="0C090017">
      <w:start w:val="1"/>
      <w:numFmt w:val="lowerLetter"/>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B3A51F6"/>
    <w:multiLevelType w:val="hybridMultilevel"/>
    <w:tmpl w:val="DA08D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413B6"/>
    <w:multiLevelType w:val="hybridMultilevel"/>
    <w:tmpl w:val="70248518"/>
    <w:lvl w:ilvl="0" w:tplc="0C090017">
      <w:start w:val="1"/>
      <w:numFmt w:val="lowerLetter"/>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B2DF8"/>
    <w:multiLevelType w:val="multilevel"/>
    <w:tmpl w:val="989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D12E7"/>
    <w:multiLevelType w:val="multilevel"/>
    <w:tmpl w:val="E2C4094E"/>
    <w:lvl w:ilvl="0">
      <w:start w:val="1"/>
      <w:numFmt w:val="bullet"/>
      <w:lvlText w:val=""/>
      <w:lvlJc w:val="left"/>
      <w:pPr>
        <w:ind w:left="1077" w:hanging="360"/>
      </w:pPr>
      <w:rPr>
        <w:rFonts w:ascii="Symbol" w:hAnsi="Symbol" w:hint="default"/>
        <w:color w:val="264F90"/>
        <w:w w:val="100"/>
        <w:sz w:val="20"/>
        <w:szCs w:val="24"/>
      </w:rPr>
    </w:lvl>
    <w:lvl w:ilvl="1">
      <w:start w:val="1"/>
      <w:numFmt w:val="bullet"/>
      <w:lvlText w:val="•"/>
      <w:lvlJc w:val="left"/>
      <w:pPr>
        <w:tabs>
          <w:tab w:val="num" w:pos="2157"/>
        </w:tabs>
        <w:ind w:left="2517" w:hanging="360"/>
      </w:pPr>
      <w:rPr>
        <w:rFonts w:ascii="TheSansOffice" w:hAnsi="TheSansOffice" w:hint="default"/>
        <w:color w:val="0066CC"/>
      </w:rPr>
    </w:lvl>
    <w:lvl w:ilvl="2">
      <w:start w:val="1"/>
      <w:numFmt w:val="bullet"/>
      <w:lvlText w:val="•"/>
      <w:lvlJc w:val="left"/>
      <w:pPr>
        <w:tabs>
          <w:tab w:val="num" w:pos="2877"/>
        </w:tabs>
        <w:ind w:left="2877" w:hanging="360"/>
      </w:pPr>
      <w:rPr>
        <w:rFonts w:ascii="TheSansOffice" w:hAnsi="TheSansOffice" w:hint="default"/>
        <w:color w:val="0066CC"/>
      </w:rPr>
    </w:lvl>
    <w:lvl w:ilvl="3">
      <w:start w:val="1"/>
      <w:numFmt w:val="bullet"/>
      <w:lvlText w:val=""/>
      <w:lvlJc w:val="left"/>
      <w:pPr>
        <w:tabs>
          <w:tab w:val="num" w:pos="3597"/>
        </w:tabs>
        <w:ind w:left="3597" w:hanging="360"/>
      </w:pPr>
      <w:rPr>
        <w:rFonts w:ascii="Symbol" w:hAnsi="Symbol" w:hint="default"/>
      </w:rPr>
    </w:lvl>
    <w:lvl w:ilvl="4">
      <w:start w:val="1"/>
      <w:numFmt w:val="bullet"/>
      <w:lvlText w:val="o"/>
      <w:lvlJc w:val="left"/>
      <w:pPr>
        <w:tabs>
          <w:tab w:val="num" w:pos="4317"/>
        </w:tabs>
        <w:ind w:left="4317" w:hanging="360"/>
      </w:pPr>
      <w:rPr>
        <w:rFonts w:ascii="Courier New" w:hAnsi="Courier New" w:cs="Wingdings"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hAnsi="Symbol" w:hint="default"/>
      </w:rPr>
    </w:lvl>
    <w:lvl w:ilvl="7">
      <w:start w:val="1"/>
      <w:numFmt w:val="bullet"/>
      <w:lvlText w:val="o"/>
      <w:lvlJc w:val="left"/>
      <w:pPr>
        <w:tabs>
          <w:tab w:val="num" w:pos="6477"/>
        </w:tabs>
        <w:ind w:left="6477" w:hanging="360"/>
      </w:pPr>
      <w:rPr>
        <w:rFonts w:ascii="Courier New" w:hAnsi="Courier New" w:cs="Wingdings" w:hint="default"/>
      </w:rPr>
    </w:lvl>
    <w:lvl w:ilvl="8">
      <w:start w:val="1"/>
      <w:numFmt w:val="bullet"/>
      <w:lvlText w:val=""/>
      <w:lvlJc w:val="left"/>
      <w:pPr>
        <w:tabs>
          <w:tab w:val="num" w:pos="7197"/>
        </w:tabs>
        <w:ind w:left="7197" w:hanging="360"/>
      </w:pPr>
      <w:rPr>
        <w:rFonts w:ascii="Wingdings" w:hAnsi="Wingdings" w:hint="default"/>
      </w:rPr>
    </w:lvl>
  </w:abstractNum>
  <w:abstractNum w:abstractNumId="12" w15:restartNumberingAfterBreak="0">
    <w:nsid w:val="225133D6"/>
    <w:multiLevelType w:val="hybridMultilevel"/>
    <w:tmpl w:val="AB5EE55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25143BAB"/>
    <w:multiLevelType w:val="hybridMultilevel"/>
    <w:tmpl w:val="8850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44C1F"/>
    <w:multiLevelType w:val="hybridMultilevel"/>
    <w:tmpl w:val="9AE26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BB6DDC"/>
    <w:multiLevelType w:val="multilevel"/>
    <w:tmpl w:val="749851A6"/>
    <w:lvl w:ilvl="0">
      <w:start w:val="1"/>
      <w:numFmt w:val="bullet"/>
      <w:lvlText w:val="o"/>
      <w:lvlJc w:val="left"/>
      <w:pPr>
        <w:ind w:left="1440" w:hanging="360"/>
      </w:pPr>
      <w:rPr>
        <w:rFonts w:ascii="Courier New" w:hAnsi="Courier New" w:cs="Courier New" w:hint="default"/>
        <w:color w:val="264F90"/>
        <w:w w:val="100"/>
        <w:sz w:val="20"/>
        <w:szCs w:val="24"/>
      </w:rPr>
    </w:lvl>
    <w:lvl w:ilvl="1">
      <w:start w:val="1"/>
      <w:numFmt w:val="bullet"/>
      <w:lvlText w:val="•"/>
      <w:lvlJc w:val="left"/>
      <w:pPr>
        <w:tabs>
          <w:tab w:val="num" w:pos="2520"/>
        </w:tabs>
        <w:ind w:left="2880" w:hanging="360"/>
      </w:pPr>
      <w:rPr>
        <w:rFonts w:ascii="TheSansOffice" w:hAnsi="TheSansOffice" w:hint="default"/>
        <w:color w:val="0066CC"/>
      </w:rPr>
    </w:lvl>
    <w:lvl w:ilvl="2">
      <w:start w:val="1"/>
      <w:numFmt w:val="bullet"/>
      <w:lvlText w:val="•"/>
      <w:lvlJc w:val="left"/>
      <w:pPr>
        <w:tabs>
          <w:tab w:val="num" w:pos="3240"/>
        </w:tabs>
        <w:ind w:left="3240" w:hanging="360"/>
      </w:pPr>
      <w:rPr>
        <w:rFonts w:ascii="TheSansOffice" w:hAnsi="TheSansOffice" w:hint="default"/>
        <w:color w:val="0066CC"/>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Wingdings"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Wingdings"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A996211"/>
    <w:multiLevelType w:val="hybridMultilevel"/>
    <w:tmpl w:val="E7927B8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E667BA"/>
    <w:multiLevelType w:val="hybridMultilevel"/>
    <w:tmpl w:val="21BEC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A3F8E"/>
    <w:multiLevelType w:val="hybridMultilevel"/>
    <w:tmpl w:val="A5FE95B2"/>
    <w:lvl w:ilvl="0" w:tplc="0C090017">
      <w:start w:val="1"/>
      <w:numFmt w:val="lowerLetter"/>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CD58D7"/>
    <w:multiLevelType w:val="multilevel"/>
    <w:tmpl w:val="072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76AF9"/>
    <w:multiLevelType w:val="multilevel"/>
    <w:tmpl w:val="2974AA8A"/>
    <w:lvl w:ilvl="0">
      <w:start w:val="1"/>
      <w:numFmt w:val="bullet"/>
      <w:lvlText w:val=""/>
      <w:lvlJc w:val="left"/>
      <w:pPr>
        <w:ind w:left="360" w:hanging="360"/>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3903DC3"/>
    <w:multiLevelType w:val="hybridMultilevel"/>
    <w:tmpl w:val="0E509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86FC2"/>
    <w:multiLevelType w:val="hybridMultilevel"/>
    <w:tmpl w:val="515ED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872F7"/>
    <w:multiLevelType w:val="hybridMultilevel"/>
    <w:tmpl w:val="9BE4FA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845F4E"/>
    <w:multiLevelType w:val="hybridMultilevel"/>
    <w:tmpl w:val="6B5C40E6"/>
    <w:lvl w:ilvl="0" w:tplc="0C09000F">
      <w:start w:val="1"/>
      <w:numFmt w:val="decimal"/>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EF72CF2"/>
    <w:multiLevelType w:val="hybridMultilevel"/>
    <w:tmpl w:val="2006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DB57DA"/>
    <w:multiLevelType w:val="hybridMultilevel"/>
    <w:tmpl w:val="FE1AC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47A52"/>
    <w:multiLevelType w:val="multilevel"/>
    <w:tmpl w:val="E2C4094E"/>
    <w:styleLink w:val="CurrentList1"/>
    <w:lvl w:ilvl="0">
      <w:start w:val="1"/>
      <w:numFmt w:val="bullet"/>
      <w:lvlText w:val=""/>
      <w:lvlJc w:val="left"/>
      <w:pPr>
        <w:ind w:left="1077" w:hanging="360"/>
      </w:pPr>
      <w:rPr>
        <w:rFonts w:ascii="Symbol" w:hAnsi="Symbol" w:hint="default"/>
        <w:color w:val="264F90"/>
        <w:w w:val="100"/>
        <w:sz w:val="20"/>
        <w:szCs w:val="24"/>
      </w:rPr>
    </w:lvl>
    <w:lvl w:ilvl="1">
      <w:start w:val="1"/>
      <w:numFmt w:val="bullet"/>
      <w:lvlText w:val="•"/>
      <w:lvlJc w:val="left"/>
      <w:pPr>
        <w:tabs>
          <w:tab w:val="num" w:pos="2157"/>
        </w:tabs>
        <w:ind w:left="2517" w:hanging="360"/>
      </w:pPr>
      <w:rPr>
        <w:rFonts w:ascii="TheSansOffice" w:hAnsi="TheSansOffice" w:hint="default"/>
        <w:color w:val="0066CC"/>
      </w:rPr>
    </w:lvl>
    <w:lvl w:ilvl="2">
      <w:start w:val="1"/>
      <w:numFmt w:val="bullet"/>
      <w:lvlText w:val="•"/>
      <w:lvlJc w:val="left"/>
      <w:pPr>
        <w:tabs>
          <w:tab w:val="num" w:pos="2877"/>
        </w:tabs>
        <w:ind w:left="2877" w:hanging="360"/>
      </w:pPr>
      <w:rPr>
        <w:rFonts w:ascii="TheSansOffice" w:hAnsi="TheSansOffice" w:hint="default"/>
        <w:color w:val="0066CC"/>
      </w:rPr>
    </w:lvl>
    <w:lvl w:ilvl="3">
      <w:start w:val="1"/>
      <w:numFmt w:val="bullet"/>
      <w:lvlText w:val=""/>
      <w:lvlJc w:val="left"/>
      <w:pPr>
        <w:tabs>
          <w:tab w:val="num" w:pos="3597"/>
        </w:tabs>
        <w:ind w:left="3597" w:hanging="360"/>
      </w:pPr>
      <w:rPr>
        <w:rFonts w:ascii="Symbol" w:hAnsi="Symbol" w:hint="default"/>
      </w:rPr>
    </w:lvl>
    <w:lvl w:ilvl="4">
      <w:start w:val="1"/>
      <w:numFmt w:val="bullet"/>
      <w:lvlText w:val="o"/>
      <w:lvlJc w:val="left"/>
      <w:pPr>
        <w:tabs>
          <w:tab w:val="num" w:pos="4317"/>
        </w:tabs>
        <w:ind w:left="4317" w:hanging="360"/>
      </w:pPr>
      <w:rPr>
        <w:rFonts w:ascii="Courier New" w:hAnsi="Courier New" w:cs="Wingdings"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hAnsi="Symbol" w:hint="default"/>
      </w:rPr>
    </w:lvl>
    <w:lvl w:ilvl="7">
      <w:start w:val="1"/>
      <w:numFmt w:val="bullet"/>
      <w:lvlText w:val="o"/>
      <w:lvlJc w:val="left"/>
      <w:pPr>
        <w:tabs>
          <w:tab w:val="num" w:pos="6477"/>
        </w:tabs>
        <w:ind w:left="6477" w:hanging="360"/>
      </w:pPr>
      <w:rPr>
        <w:rFonts w:ascii="Courier New" w:hAnsi="Courier New" w:cs="Wingdings" w:hint="default"/>
      </w:rPr>
    </w:lvl>
    <w:lvl w:ilvl="8">
      <w:start w:val="1"/>
      <w:numFmt w:val="bullet"/>
      <w:lvlText w:val=""/>
      <w:lvlJc w:val="left"/>
      <w:pPr>
        <w:tabs>
          <w:tab w:val="num" w:pos="7197"/>
        </w:tabs>
        <w:ind w:left="7197" w:hanging="360"/>
      </w:pPr>
      <w:rPr>
        <w:rFonts w:ascii="Wingdings" w:hAnsi="Wingdings" w:hint="default"/>
      </w:rPr>
    </w:lvl>
  </w:abstractNum>
  <w:abstractNum w:abstractNumId="30" w15:restartNumberingAfterBreak="0">
    <w:nsid w:val="5FCD14EC"/>
    <w:multiLevelType w:val="hybridMultilevel"/>
    <w:tmpl w:val="4B382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08508A3"/>
    <w:multiLevelType w:val="hybridMultilevel"/>
    <w:tmpl w:val="4FCCB72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057438"/>
    <w:multiLevelType w:val="multilevel"/>
    <w:tmpl w:val="15A48500"/>
    <w:lvl w:ilvl="0">
      <w:start w:val="1"/>
      <w:numFmt w:val="decimal"/>
      <w:pStyle w:val="ListNumber"/>
      <w:lvlText w:val="%1"/>
      <w:lvlJc w:val="left"/>
      <w:pPr>
        <w:ind w:left="357" w:hanging="357"/>
      </w:pPr>
      <w:rPr>
        <w:rFonts w:hint="default"/>
        <w:color w:val="264F90"/>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CE40FB"/>
    <w:multiLevelType w:val="hybridMultilevel"/>
    <w:tmpl w:val="265AA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BD4096"/>
    <w:multiLevelType w:val="hybridMultilevel"/>
    <w:tmpl w:val="E59E6452"/>
    <w:lvl w:ilvl="0" w:tplc="0C090001">
      <w:start w:val="1"/>
      <w:numFmt w:val="bullet"/>
      <w:lvlText w:val=""/>
      <w:lvlJc w:val="left"/>
      <w:pPr>
        <w:ind w:left="720" w:hanging="360"/>
      </w:pPr>
      <w:rPr>
        <w:rFonts w:ascii="Symbol" w:hAnsi="Symbol"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E2236"/>
    <w:multiLevelType w:val="hybridMultilevel"/>
    <w:tmpl w:val="52D88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F0902"/>
    <w:multiLevelType w:val="hybridMultilevel"/>
    <w:tmpl w:val="703AC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008BA"/>
    <w:multiLevelType w:val="hybridMultilevel"/>
    <w:tmpl w:val="BCF8F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C227B7"/>
    <w:multiLevelType w:val="hybridMultilevel"/>
    <w:tmpl w:val="B404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6B7A14"/>
    <w:multiLevelType w:val="hybridMultilevel"/>
    <w:tmpl w:val="4244889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3809803">
    <w:abstractNumId w:val="32"/>
  </w:num>
  <w:num w:numId="2" w16cid:durableId="1978876834">
    <w:abstractNumId w:val="0"/>
  </w:num>
  <w:num w:numId="3" w16cid:durableId="1680423495">
    <w:abstractNumId w:val="22"/>
  </w:num>
  <w:num w:numId="4" w16cid:durableId="1756971007">
    <w:abstractNumId w:val="39"/>
  </w:num>
  <w:num w:numId="5" w16cid:durableId="1932077671">
    <w:abstractNumId w:val="38"/>
  </w:num>
  <w:num w:numId="6" w16cid:durableId="978918658">
    <w:abstractNumId w:val="11"/>
  </w:num>
  <w:num w:numId="7" w16cid:durableId="1845197963">
    <w:abstractNumId w:val="7"/>
  </w:num>
  <w:num w:numId="8" w16cid:durableId="1110004692">
    <w:abstractNumId w:val="30"/>
  </w:num>
  <w:num w:numId="9" w16cid:durableId="832990875">
    <w:abstractNumId w:val="14"/>
  </w:num>
  <w:num w:numId="10" w16cid:durableId="1436511700">
    <w:abstractNumId w:val="15"/>
  </w:num>
  <w:num w:numId="11" w16cid:durableId="1313484038">
    <w:abstractNumId w:val="37"/>
  </w:num>
  <w:num w:numId="12" w16cid:durableId="1609700072">
    <w:abstractNumId w:val="34"/>
  </w:num>
  <w:num w:numId="13" w16cid:durableId="692852122">
    <w:abstractNumId w:val="28"/>
  </w:num>
  <w:num w:numId="14" w16cid:durableId="590817327">
    <w:abstractNumId w:val="21"/>
  </w:num>
  <w:num w:numId="15" w16cid:durableId="1876961638">
    <w:abstractNumId w:val="36"/>
  </w:num>
  <w:num w:numId="16" w16cid:durableId="1920552692">
    <w:abstractNumId w:val="26"/>
  </w:num>
  <w:num w:numId="17" w16cid:durableId="97873030">
    <w:abstractNumId w:val="31"/>
  </w:num>
  <w:num w:numId="18" w16cid:durableId="1996030696">
    <w:abstractNumId w:val="29"/>
  </w:num>
  <w:num w:numId="19" w16cid:durableId="805242769">
    <w:abstractNumId w:val="35"/>
  </w:num>
  <w:num w:numId="20" w16cid:durableId="1895894627">
    <w:abstractNumId w:val="13"/>
  </w:num>
  <w:num w:numId="21" w16cid:durableId="656614649">
    <w:abstractNumId w:val="41"/>
  </w:num>
  <w:num w:numId="22" w16cid:durableId="662124018">
    <w:abstractNumId w:val="5"/>
  </w:num>
  <w:num w:numId="23" w16cid:durableId="1695227241">
    <w:abstractNumId w:val="16"/>
  </w:num>
  <w:num w:numId="24" w16cid:durableId="1090808808">
    <w:abstractNumId w:val="4"/>
  </w:num>
  <w:num w:numId="25" w16cid:durableId="1676223279">
    <w:abstractNumId w:val="40"/>
  </w:num>
  <w:num w:numId="26" w16cid:durableId="267662855">
    <w:abstractNumId w:val="8"/>
  </w:num>
  <w:num w:numId="27" w16cid:durableId="1698777093">
    <w:abstractNumId w:val="17"/>
  </w:num>
  <w:num w:numId="28" w16cid:durableId="1831754048">
    <w:abstractNumId w:val="23"/>
  </w:num>
  <w:num w:numId="29" w16cid:durableId="1089889484">
    <w:abstractNumId w:val="12"/>
  </w:num>
  <w:num w:numId="30" w16cid:durableId="407074388">
    <w:abstractNumId w:val="27"/>
  </w:num>
  <w:num w:numId="31" w16cid:durableId="621764515">
    <w:abstractNumId w:val="10"/>
  </w:num>
  <w:num w:numId="32" w16cid:durableId="1875385998">
    <w:abstractNumId w:val="19"/>
  </w:num>
  <w:num w:numId="33" w16cid:durableId="1285576945">
    <w:abstractNumId w:val="2"/>
  </w:num>
  <w:num w:numId="34" w16cid:durableId="1563826467">
    <w:abstractNumId w:val="1"/>
  </w:num>
  <w:num w:numId="35" w16cid:durableId="1910462801">
    <w:abstractNumId w:val="18"/>
  </w:num>
  <w:num w:numId="36" w16cid:durableId="1407919804">
    <w:abstractNumId w:val="9"/>
  </w:num>
  <w:num w:numId="37" w16cid:durableId="1263605380">
    <w:abstractNumId w:val="33"/>
  </w:num>
  <w:num w:numId="38" w16cid:durableId="468976718">
    <w:abstractNumId w:val="24"/>
  </w:num>
  <w:num w:numId="39" w16cid:durableId="275526286">
    <w:abstractNumId w:val="25"/>
  </w:num>
  <w:num w:numId="40" w16cid:durableId="1029918311">
    <w:abstractNumId w:val="6"/>
  </w:num>
  <w:num w:numId="41" w16cid:durableId="199171317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activeWritingStyle w:appName="MSWord" w:lang="en-US" w:vendorID="64" w:dllVersion="0" w:nlCheck="1" w:checkStyle="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265"/>
    <w:rsid w:val="00000C06"/>
    <w:rsid w:val="000015A0"/>
    <w:rsid w:val="00004040"/>
    <w:rsid w:val="00004FA6"/>
    <w:rsid w:val="00005D85"/>
    <w:rsid w:val="00005E68"/>
    <w:rsid w:val="000071CC"/>
    <w:rsid w:val="00010C1F"/>
    <w:rsid w:val="00010CF8"/>
    <w:rsid w:val="00011BAF"/>
    <w:rsid w:val="00015139"/>
    <w:rsid w:val="000151B6"/>
    <w:rsid w:val="00016AC5"/>
    <w:rsid w:val="00016E51"/>
    <w:rsid w:val="00017209"/>
    <w:rsid w:val="00017503"/>
    <w:rsid w:val="00020451"/>
    <w:rsid w:val="000207D9"/>
    <w:rsid w:val="0002141F"/>
    <w:rsid w:val="00021751"/>
    <w:rsid w:val="0002273C"/>
    <w:rsid w:val="00022DAF"/>
    <w:rsid w:val="0002331D"/>
    <w:rsid w:val="00024C55"/>
    <w:rsid w:val="00024F56"/>
    <w:rsid w:val="000259D8"/>
    <w:rsid w:val="00027CDB"/>
    <w:rsid w:val="00031212"/>
    <w:rsid w:val="0003165D"/>
    <w:rsid w:val="00032B55"/>
    <w:rsid w:val="00034C14"/>
    <w:rsid w:val="00036461"/>
    <w:rsid w:val="00036E65"/>
    <w:rsid w:val="00036F32"/>
    <w:rsid w:val="00037520"/>
    <w:rsid w:val="00037767"/>
    <w:rsid w:val="000409BC"/>
    <w:rsid w:val="0004149D"/>
    <w:rsid w:val="000418C3"/>
    <w:rsid w:val="00042438"/>
    <w:rsid w:val="00044DC0"/>
    <w:rsid w:val="00044EF8"/>
    <w:rsid w:val="000475EA"/>
    <w:rsid w:val="0005166B"/>
    <w:rsid w:val="000550C1"/>
    <w:rsid w:val="000553F2"/>
    <w:rsid w:val="000555A3"/>
    <w:rsid w:val="00056B33"/>
    <w:rsid w:val="00056BDB"/>
    <w:rsid w:val="00060AD3"/>
    <w:rsid w:val="000624DD"/>
    <w:rsid w:val="00064C78"/>
    <w:rsid w:val="00065F24"/>
    <w:rsid w:val="0006633E"/>
    <w:rsid w:val="00066A9F"/>
    <w:rsid w:val="00067513"/>
    <w:rsid w:val="00067AAA"/>
    <w:rsid w:val="00070F82"/>
    <w:rsid w:val="00071E45"/>
    <w:rsid w:val="000741DE"/>
    <w:rsid w:val="00074329"/>
    <w:rsid w:val="0007507B"/>
    <w:rsid w:val="00075BF8"/>
    <w:rsid w:val="00075EF9"/>
    <w:rsid w:val="000764D7"/>
    <w:rsid w:val="00077C3D"/>
    <w:rsid w:val="000805C4"/>
    <w:rsid w:val="0008289E"/>
    <w:rsid w:val="000833DF"/>
    <w:rsid w:val="00083CC7"/>
    <w:rsid w:val="00084034"/>
    <w:rsid w:val="00084CF0"/>
    <w:rsid w:val="00085642"/>
    <w:rsid w:val="000858AC"/>
    <w:rsid w:val="00085EDD"/>
    <w:rsid w:val="0008697C"/>
    <w:rsid w:val="00086C45"/>
    <w:rsid w:val="00086F82"/>
    <w:rsid w:val="00087BB1"/>
    <w:rsid w:val="00091AA2"/>
    <w:rsid w:val="000944AB"/>
    <w:rsid w:val="0009550C"/>
    <w:rsid w:val="000956D2"/>
    <w:rsid w:val="00095F93"/>
    <w:rsid w:val="00096034"/>
    <w:rsid w:val="0009647A"/>
    <w:rsid w:val="00096575"/>
    <w:rsid w:val="000A231F"/>
    <w:rsid w:val="000A2FCB"/>
    <w:rsid w:val="000A3838"/>
    <w:rsid w:val="000A4312"/>
    <w:rsid w:val="000A4490"/>
    <w:rsid w:val="000A5461"/>
    <w:rsid w:val="000A581B"/>
    <w:rsid w:val="000B1991"/>
    <w:rsid w:val="000B2656"/>
    <w:rsid w:val="000B2DAA"/>
    <w:rsid w:val="000B3784"/>
    <w:rsid w:val="000B422F"/>
    <w:rsid w:val="000B565A"/>
    <w:rsid w:val="000B597B"/>
    <w:rsid w:val="000B7C0B"/>
    <w:rsid w:val="000C07C6"/>
    <w:rsid w:val="000C1867"/>
    <w:rsid w:val="000C256F"/>
    <w:rsid w:val="000C31F3"/>
    <w:rsid w:val="000C3718"/>
    <w:rsid w:val="000C4E64"/>
    <w:rsid w:val="000C5F08"/>
    <w:rsid w:val="000C72F7"/>
    <w:rsid w:val="000D0903"/>
    <w:rsid w:val="000D1B29"/>
    <w:rsid w:val="000D1ECE"/>
    <w:rsid w:val="000D1F5F"/>
    <w:rsid w:val="000D2594"/>
    <w:rsid w:val="000D2899"/>
    <w:rsid w:val="000D3A3D"/>
    <w:rsid w:val="000D3B44"/>
    <w:rsid w:val="000D45C0"/>
    <w:rsid w:val="000D55B0"/>
    <w:rsid w:val="000D5DE4"/>
    <w:rsid w:val="000D6B1F"/>
    <w:rsid w:val="000D6D35"/>
    <w:rsid w:val="000D7565"/>
    <w:rsid w:val="000E01C8"/>
    <w:rsid w:val="000E0A5F"/>
    <w:rsid w:val="000E1BBA"/>
    <w:rsid w:val="000E1E92"/>
    <w:rsid w:val="000E208C"/>
    <w:rsid w:val="000E227B"/>
    <w:rsid w:val="000E380B"/>
    <w:rsid w:val="000E4061"/>
    <w:rsid w:val="000E4CD5"/>
    <w:rsid w:val="000E4CF4"/>
    <w:rsid w:val="000E504C"/>
    <w:rsid w:val="000E620A"/>
    <w:rsid w:val="000E62F4"/>
    <w:rsid w:val="000E70D4"/>
    <w:rsid w:val="000F00B7"/>
    <w:rsid w:val="000F1BE7"/>
    <w:rsid w:val="000F304F"/>
    <w:rsid w:val="000F7174"/>
    <w:rsid w:val="00100F07"/>
    <w:rsid w:val="00101F02"/>
    <w:rsid w:val="0010200A"/>
    <w:rsid w:val="00102271"/>
    <w:rsid w:val="00103E5C"/>
    <w:rsid w:val="00104854"/>
    <w:rsid w:val="00106980"/>
    <w:rsid w:val="00110DF4"/>
    <w:rsid w:val="00111506"/>
    <w:rsid w:val="00112457"/>
    <w:rsid w:val="00112ADB"/>
    <w:rsid w:val="00113748"/>
    <w:rsid w:val="00113B92"/>
    <w:rsid w:val="00115C6B"/>
    <w:rsid w:val="001228B4"/>
    <w:rsid w:val="00122B54"/>
    <w:rsid w:val="0012305A"/>
    <w:rsid w:val="001248DE"/>
    <w:rsid w:val="00126BF8"/>
    <w:rsid w:val="0012715C"/>
    <w:rsid w:val="00127536"/>
    <w:rsid w:val="0012761A"/>
    <w:rsid w:val="00130554"/>
    <w:rsid w:val="001315FB"/>
    <w:rsid w:val="001323A7"/>
    <w:rsid w:val="00132AA6"/>
    <w:rsid w:val="001331C8"/>
    <w:rsid w:val="001338BE"/>
    <w:rsid w:val="00134C58"/>
    <w:rsid w:val="0013514F"/>
    <w:rsid w:val="00135C77"/>
    <w:rsid w:val="00135F85"/>
    <w:rsid w:val="00137190"/>
    <w:rsid w:val="0013734A"/>
    <w:rsid w:val="00137994"/>
    <w:rsid w:val="00141149"/>
    <w:rsid w:val="00141F51"/>
    <w:rsid w:val="0014373E"/>
    <w:rsid w:val="00144380"/>
    <w:rsid w:val="001452A7"/>
    <w:rsid w:val="00147B96"/>
    <w:rsid w:val="00147E7F"/>
    <w:rsid w:val="001511C6"/>
    <w:rsid w:val="00151EFC"/>
    <w:rsid w:val="001523AD"/>
    <w:rsid w:val="001534F4"/>
    <w:rsid w:val="00155785"/>
    <w:rsid w:val="0015701D"/>
    <w:rsid w:val="00157E02"/>
    <w:rsid w:val="00160118"/>
    <w:rsid w:val="001620E1"/>
    <w:rsid w:val="0016247B"/>
    <w:rsid w:val="00162612"/>
    <w:rsid w:val="00163765"/>
    <w:rsid w:val="0016536C"/>
    <w:rsid w:val="001670DB"/>
    <w:rsid w:val="00170E0A"/>
    <w:rsid w:val="00172F7F"/>
    <w:rsid w:val="00173E3E"/>
    <w:rsid w:val="00174032"/>
    <w:rsid w:val="0017423B"/>
    <w:rsid w:val="00176B0B"/>
    <w:rsid w:val="00177311"/>
    <w:rsid w:val="001806DA"/>
    <w:rsid w:val="00180B0E"/>
    <w:rsid w:val="0018115A"/>
    <w:rsid w:val="001817F4"/>
    <w:rsid w:val="00182BD3"/>
    <w:rsid w:val="001832EC"/>
    <w:rsid w:val="0018511E"/>
    <w:rsid w:val="00186225"/>
    <w:rsid w:val="001867EC"/>
    <w:rsid w:val="0018722E"/>
    <w:rsid w:val="00187572"/>
    <w:rsid w:val="001875DA"/>
    <w:rsid w:val="00187A4E"/>
    <w:rsid w:val="00187CC8"/>
    <w:rsid w:val="001907F9"/>
    <w:rsid w:val="001909B2"/>
    <w:rsid w:val="00192449"/>
    <w:rsid w:val="00192D1D"/>
    <w:rsid w:val="00193926"/>
    <w:rsid w:val="001948A9"/>
    <w:rsid w:val="00194ACD"/>
    <w:rsid w:val="001953CC"/>
    <w:rsid w:val="001956C5"/>
    <w:rsid w:val="00195BF5"/>
    <w:rsid w:val="00197151"/>
    <w:rsid w:val="001A00A9"/>
    <w:rsid w:val="001A02EC"/>
    <w:rsid w:val="001A20AF"/>
    <w:rsid w:val="001A3109"/>
    <w:rsid w:val="001A3BDB"/>
    <w:rsid w:val="001A57DB"/>
    <w:rsid w:val="001A5D9B"/>
    <w:rsid w:val="001A6862"/>
    <w:rsid w:val="001B0EC4"/>
    <w:rsid w:val="001B1C0B"/>
    <w:rsid w:val="001B2A5D"/>
    <w:rsid w:val="001B43D0"/>
    <w:rsid w:val="001B45F2"/>
    <w:rsid w:val="001B47A3"/>
    <w:rsid w:val="001B527B"/>
    <w:rsid w:val="001C1B5B"/>
    <w:rsid w:val="001C2DF3"/>
    <w:rsid w:val="001C4FBA"/>
    <w:rsid w:val="001C53D3"/>
    <w:rsid w:val="001C6ACC"/>
    <w:rsid w:val="001C7328"/>
    <w:rsid w:val="001C7634"/>
    <w:rsid w:val="001D1782"/>
    <w:rsid w:val="001D201F"/>
    <w:rsid w:val="001D2FBB"/>
    <w:rsid w:val="001D4CAC"/>
    <w:rsid w:val="001D598D"/>
    <w:rsid w:val="001E003A"/>
    <w:rsid w:val="001E0D9F"/>
    <w:rsid w:val="001E3EB8"/>
    <w:rsid w:val="001E47B9"/>
    <w:rsid w:val="001E5225"/>
    <w:rsid w:val="001E6CA5"/>
    <w:rsid w:val="001F0099"/>
    <w:rsid w:val="001F1AA8"/>
    <w:rsid w:val="001F24BD"/>
    <w:rsid w:val="001F2846"/>
    <w:rsid w:val="001F2B70"/>
    <w:rsid w:val="001F3068"/>
    <w:rsid w:val="001F32A5"/>
    <w:rsid w:val="001F39E4"/>
    <w:rsid w:val="001F3B59"/>
    <w:rsid w:val="001F5DD9"/>
    <w:rsid w:val="001F7A83"/>
    <w:rsid w:val="00200152"/>
    <w:rsid w:val="00201CD8"/>
    <w:rsid w:val="00202DFC"/>
    <w:rsid w:val="00203369"/>
    <w:rsid w:val="0020438B"/>
    <w:rsid w:val="00205067"/>
    <w:rsid w:val="002067C9"/>
    <w:rsid w:val="00207820"/>
    <w:rsid w:val="00207B9F"/>
    <w:rsid w:val="002103E6"/>
    <w:rsid w:val="00211AB8"/>
    <w:rsid w:val="00211D98"/>
    <w:rsid w:val="00212447"/>
    <w:rsid w:val="00212C01"/>
    <w:rsid w:val="00216A89"/>
    <w:rsid w:val="00216CA3"/>
    <w:rsid w:val="00217440"/>
    <w:rsid w:val="00221230"/>
    <w:rsid w:val="0022194B"/>
    <w:rsid w:val="00222145"/>
    <w:rsid w:val="00222C72"/>
    <w:rsid w:val="002245BE"/>
    <w:rsid w:val="002257B1"/>
    <w:rsid w:val="00226A9A"/>
    <w:rsid w:val="00227080"/>
    <w:rsid w:val="00227D98"/>
    <w:rsid w:val="0023055D"/>
    <w:rsid w:val="00230C07"/>
    <w:rsid w:val="00235894"/>
    <w:rsid w:val="00235DC5"/>
    <w:rsid w:val="00236D85"/>
    <w:rsid w:val="00240012"/>
    <w:rsid w:val="0024229A"/>
    <w:rsid w:val="00242EEE"/>
    <w:rsid w:val="00242F37"/>
    <w:rsid w:val="00243411"/>
    <w:rsid w:val="00244018"/>
    <w:rsid w:val="002442FE"/>
    <w:rsid w:val="00244642"/>
    <w:rsid w:val="00245131"/>
    <w:rsid w:val="00245C4E"/>
    <w:rsid w:val="0025016C"/>
    <w:rsid w:val="00250CF5"/>
    <w:rsid w:val="00251B42"/>
    <w:rsid w:val="0025217F"/>
    <w:rsid w:val="00254FF2"/>
    <w:rsid w:val="00255666"/>
    <w:rsid w:val="002561D9"/>
    <w:rsid w:val="0025742B"/>
    <w:rsid w:val="00257A7E"/>
    <w:rsid w:val="00260AAB"/>
    <w:rsid w:val="002611CF"/>
    <w:rsid w:val="002615E5"/>
    <w:rsid w:val="002618D4"/>
    <w:rsid w:val="002619F0"/>
    <w:rsid w:val="00261D7F"/>
    <w:rsid w:val="00264DC2"/>
    <w:rsid w:val="002656D9"/>
    <w:rsid w:val="00265B6E"/>
    <w:rsid w:val="00266E53"/>
    <w:rsid w:val="0026738F"/>
    <w:rsid w:val="00270215"/>
    <w:rsid w:val="00270EE7"/>
    <w:rsid w:val="002712B3"/>
    <w:rsid w:val="00271B15"/>
    <w:rsid w:val="002722E1"/>
    <w:rsid w:val="002730DC"/>
    <w:rsid w:val="00273878"/>
    <w:rsid w:val="00274561"/>
    <w:rsid w:val="002766B1"/>
    <w:rsid w:val="00276D9D"/>
    <w:rsid w:val="002814AD"/>
    <w:rsid w:val="00281D26"/>
    <w:rsid w:val="00282312"/>
    <w:rsid w:val="00282496"/>
    <w:rsid w:val="00282ABC"/>
    <w:rsid w:val="0028417F"/>
    <w:rsid w:val="00285FD0"/>
    <w:rsid w:val="00286D4B"/>
    <w:rsid w:val="00287AC7"/>
    <w:rsid w:val="00290F12"/>
    <w:rsid w:val="0029258B"/>
    <w:rsid w:val="00292A57"/>
    <w:rsid w:val="00292F8A"/>
    <w:rsid w:val="00293871"/>
    <w:rsid w:val="00293A6E"/>
    <w:rsid w:val="00294890"/>
    <w:rsid w:val="00294E46"/>
    <w:rsid w:val="00294F98"/>
    <w:rsid w:val="00295FD6"/>
    <w:rsid w:val="00296AC5"/>
    <w:rsid w:val="00296B4A"/>
    <w:rsid w:val="00296CDF"/>
    <w:rsid w:val="00297C9D"/>
    <w:rsid w:val="002A1875"/>
    <w:rsid w:val="002A1C6B"/>
    <w:rsid w:val="002A2D31"/>
    <w:rsid w:val="002A3E56"/>
    <w:rsid w:val="002A51EB"/>
    <w:rsid w:val="002A6142"/>
    <w:rsid w:val="002A6836"/>
    <w:rsid w:val="002A6C6D"/>
    <w:rsid w:val="002A71F3"/>
    <w:rsid w:val="002B0002"/>
    <w:rsid w:val="002B0682"/>
    <w:rsid w:val="002B15E4"/>
    <w:rsid w:val="002B25AA"/>
    <w:rsid w:val="002B264E"/>
    <w:rsid w:val="002B491E"/>
    <w:rsid w:val="002B51A9"/>
    <w:rsid w:val="002C00A0"/>
    <w:rsid w:val="002C0A35"/>
    <w:rsid w:val="002C14B0"/>
    <w:rsid w:val="002C2142"/>
    <w:rsid w:val="002C259C"/>
    <w:rsid w:val="002C471C"/>
    <w:rsid w:val="002C621C"/>
    <w:rsid w:val="002C6D7F"/>
    <w:rsid w:val="002C7BD3"/>
    <w:rsid w:val="002C7C21"/>
    <w:rsid w:val="002D0551"/>
    <w:rsid w:val="002D0F24"/>
    <w:rsid w:val="002D10F8"/>
    <w:rsid w:val="002D39AD"/>
    <w:rsid w:val="002D4226"/>
    <w:rsid w:val="002D6748"/>
    <w:rsid w:val="002D6855"/>
    <w:rsid w:val="002D720E"/>
    <w:rsid w:val="002E167A"/>
    <w:rsid w:val="002E1CD5"/>
    <w:rsid w:val="002E2BEC"/>
    <w:rsid w:val="002E2FE1"/>
    <w:rsid w:val="002E3A5A"/>
    <w:rsid w:val="002E3CA8"/>
    <w:rsid w:val="002E50E2"/>
    <w:rsid w:val="002E5556"/>
    <w:rsid w:val="002E5938"/>
    <w:rsid w:val="002E6668"/>
    <w:rsid w:val="002E7306"/>
    <w:rsid w:val="002F28CA"/>
    <w:rsid w:val="002F5B6C"/>
    <w:rsid w:val="002F65BC"/>
    <w:rsid w:val="002F71EC"/>
    <w:rsid w:val="003001C7"/>
    <w:rsid w:val="00300D1E"/>
    <w:rsid w:val="003050AB"/>
    <w:rsid w:val="0030599B"/>
    <w:rsid w:val="00313041"/>
    <w:rsid w:val="00313FA2"/>
    <w:rsid w:val="00314F07"/>
    <w:rsid w:val="00317DA2"/>
    <w:rsid w:val="00320293"/>
    <w:rsid w:val="0032051D"/>
    <w:rsid w:val="00320F20"/>
    <w:rsid w:val="003211B4"/>
    <w:rsid w:val="00322126"/>
    <w:rsid w:val="0032256A"/>
    <w:rsid w:val="0032660A"/>
    <w:rsid w:val="00332F58"/>
    <w:rsid w:val="00335908"/>
    <w:rsid w:val="00335B3C"/>
    <w:rsid w:val="003360B6"/>
    <w:rsid w:val="0033741C"/>
    <w:rsid w:val="00337511"/>
    <w:rsid w:val="0034060B"/>
    <w:rsid w:val="00341D55"/>
    <w:rsid w:val="003443E9"/>
    <w:rsid w:val="0034581A"/>
    <w:rsid w:val="00345878"/>
    <w:rsid w:val="00345ACE"/>
    <w:rsid w:val="0035059F"/>
    <w:rsid w:val="0035093E"/>
    <w:rsid w:val="00351C75"/>
    <w:rsid w:val="00353428"/>
    <w:rsid w:val="00353CBF"/>
    <w:rsid w:val="00354604"/>
    <w:rsid w:val="003549A0"/>
    <w:rsid w:val="003550A1"/>
    <w:rsid w:val="003552BD"/>
    <w:rsid w:val="003560E1"/>
    <w:rsid w:val="00356163"/>
    <w:rsid w:val="00356ED2"/>
    <w:rsid w:val="0035726D"/>
    <w:rsid w:val="003576AB"/>
    <w:rsid w:val="003604B8"/>
    <w:rsid w:val="00360F98"/>
    <w:rsid w:val="003620E0"/>
    <w:rsid w:val="0036212D"/>
    <w:rsid w:val="00362B94"/>
    <w:rsid w:val="00363258"/>
    <w:rsid w:val="00365EBE"/>
    <w:rsid w:val="0036634C"/>
    <w:rsid w:val="00366601"/>
    <w:rsid w:val="00367BCF"/>
    <w:rsid w:val="00370452"/>
    <w:rsid w:val="00370E1F"/>
    <w:rsid w:val="003720F9"/>
    <w:rsid w:val="0037533F"/>
    <w:rsid w:val="003771E4"/>
    <w:rsid w:val="00383297"/>
    <w:rsid w:val="00383A3A"/>
    <w:rsid w:val="003871B6"/>
    <w:rsid w:val="003903AE"/>
    <w:rsid w:val="00390DF0"/>
    <w:rsid w:val="00391218"/>
    <w:rsid w:val="0039610D"/>
    <w:rsid w:val="00396D05"/>
    <w:rsid w:val="0039749D"/>
    <w:rsid w:val="003A0005"/>
    <w:rsid w:val="003A0BCC"/>
    <w:rsid w:val="003A1AB2"/>
    <w:rsid w:val="003A1BE2"/>
    <w:rsid w:val="003A281B"/>
    <w:rsid w:val="003A2D7C"/>
    <w:rsid w:val="003A36EE"/>
    <w:rsid w:val="003A379E"/>
    <w:rsid w:val="003A3B3F"/>
    <w:rsid w:val="003A48C0"/>
    <w:rsid w:val="003A496D"/>
    <w:rsid w:val="003A4A83"/>
    <w:rsid w:val="003A5413"/>
    <w:rsid w:val="003A5D94"/>
    <w:rsid w:val="003A5E82"/>
    <w:rsid w:val="003A77AD"/>
    <w:rsid w:val="003A79AD"/>
    <w:rsid w:val="003B082B"/>
    <w:rsid w:val="003B29BA"/>
    <w:rsid w:val="003B3F0C"/>
    <w:rsid w:val="003B5247"/>
    <w:rsid w:val="003B6712"/>
    <w:rsid w:val="003B68E1"/>
    <w:rsid w:val="003B6AE9"/>
    <w:rsid w:val="003B74DD"/>
    <w:rsid w:val="003C139A"/>
    <w:rsid w:val="003C280B"/>
    <w:rsid w:val="003C2AB0"/>
    <w:rsid w:val="003C30E5"/>
    <w:rsid w:val="003C3144"/>
    <w:rsid w:val="003C451C"/>
    <w:rsid w:val="003C5D0A"/>
    <w:rsid w:val="003C6A11"/>
    <w:rsid w:val="003C6EA3"/>
    <w:rsid w:val="003D2580"/>
    <w:rsid w:val="003D29F2"/>
    <w:rsid w:val="003D2D67"/>
    <w:rsid w:val="003D33D3"/>
    <w:rsid w:val="003D378D"/>
    <w:rsid w:val="003D3AE8"/>
    <w:rsid w:val="003D635D"/>
    <w:rsid w:val="003D7548"/>
    <w:rsid w:val="003D7F5C"/>
    <w:rsid w:val="003E0C6C"/>
    <w:rsid w:val="003E310D"/>
    <w:rsid w:val="003E339B"/>
    <w:rsid w:val="003E38D5"/>
    <w:rsid w:val="003E4A0E"/>
    <w:rsid w:val="003E639F"/>
    <w:rsid w:val="003E6566"/>
    <w:rsid w:val="003E7B56"/>
    <w:rsid w:val="003F0BEC"/>
    <w:rsid w:val="003F170E"/>
    <w:rsid w:val="003F1BED"/>
    <w:rsid w:val="003F27C5"/>
    <w:rsid w:val="003F2E3E"/>
    <w:rsid w:val="003F3392"/>
    <w:rsid w:val="003F5453"/>
    <w:rsid w:val="003F6680"/>
    <w:rsid w:val="003F7389"/>
    <w:rsid w:val="003F7C9E"/>
    <w:rsid w:val="0040049F"/>
    <w:rsid w:val="00400B3F"/>
    <w:rsid w:val="00401EC2"/>
    <w:rsid w:val="00402492"/>
    <w:rsid w:val="00404206"/>
    <w:rsid w:val="00404E32"/>
    <w:rsid w:val="00405A6D"/>
    <w:rsid w:val="00405D85"/>
    <w:rsid w:val="00406ADF"/>
    <w:rsid w:val="00407403"/>
    <w:rsid w:val="004102D6"/>
    <w:rsid w:val="004108DC"/>
    <w:rsid w:val="004131EC"/>
    <w:rsid w:val="00413726"/>
    <w:rsid w:val="00413B1A"/>
    <w:rsid w:val="00413E79"/>
    <w:rsid w:val="004164A1"/>
    <w:rsid w:val="00416A66"/>
    <w:rsid w:val="00420017"/>
    <w:rsid w:val="004234A1"/>
    <w:rsid w:val="00423DC3"/>
    <w:rsid w:val="00425A1A"/>
    <w:rsid w:val="00426F7E"/>
    <w:rsid w:val="00427819"/>
    <w:rsid w:val="004278F1"/>
    <w:rsid w:val="00430ADC"/>
    <w:rsid w:val="00430D2E"/>
    <w:rsid w:val="0043295F"/>
    <w:rsid w:val="0043329C"/>
    <w:rsid w:val="00434076"/>
    <w:rsid w:val="004360C4"/>
    <w:rsid w:val="00436361"/>
    <w:rsid w:val="00437174"/>
    <w:rsid w:val="00437CDA"/>
    <w:rsid w:val="00441195"/>
    <w:rsid w:val="00441C30"/>
    <w:rsid w:val="00442420"/>
    <w:rsid w:val="004427B4"/>
    <w:rsid w:val="004436AA"/>
    <w:rsid w:val="00447836"/>
    <w:rsid w:val="00451F20"/>
    <w:rsid w:val="00451FBC"/>
    <w:rsid w:val="00452948"/>
    <w:rsid w:val="00453E77"/>
    <w:rsid w:val="00453F62"/>
    <w:rsid w:val="004552D7"/>
    <w:rsid w:val="00456CD2"/>
    <w:rsid w:val="00456F2C"/>
    <w:rsid w:val="00457894"/>
    <w:rsid w:val="00457FCD"/>
    <w:rsid w:val="00460002"/>
    <w:rsid w:val="00460133"/>
    <w:rsid w:val="0046128F"/>
    <w:rsid w:val="00464B23"/>
    <w:rsid w:val="0046574F"/>
    <w:rsid w:val="004658B6"/>
    <w:rsid w:val="00466029"/>
    <w:rsid w:val="00466202"/>
    <w:rsid w:val="004678C6"/>
    <w:rsid w:val="004714FC"/>
    <w:rsid w:val="00472FEC"/>
    <w:rsid w:val="004746E7"/>
    <w:rsid w:val="00476833"/>
    <w:rsid w:val="00480CC8"/>
    <w:rsid w:val="00480D3A"/>
    <w:rsid w:val="00481321"/>
    <w:rsid w:val="00483B18"/>
    <w:rsid w:val="00483E9F"/>
    <w:rsid w:val="00484300"/>
    <w:rsid w:val="0048449D"/>
    <w:rsid w:val="004855A0"/>
    <w:rsid w:val="00485EEC"/>
    <w:rsid w:val="00487254"/>
    <w:rsid w:val="00490F9A"/>
    <w:rsid w:val="004918B1"/>
    <w:rsid w:val="00492077"/>
    <w:rsid w:val="004921DE"/>
    <w:rsid w:val="00492716"/>
    <w:rsid w:val="004927C4"/>
    <w:rsid w:val="00492E66"/>
    <w:rsid w:val="00493AA9"/>
    <w:rsid w:val="00495971"/>
    <w:rsid w:val="00495B49"/>
    <w:rsid w:val="00496388"/>
    <w:rsid w:val="00496FF5"/>
    <w:rsid w:val="0049773D"/>
    <w:rsid w:val="00497AEC"/>
    <w:rsid w:val="004A0CFD"/>
    <w:rsid w:val="004A169C"/>
    <w:rsid w:val="004A1D60"/>
    <w:rsid w:val="004A238A"/>
    <w:rsid w:val="004A30BB"/>
    <w:rsid w:val="004A58A9"/>
    <w:rsid w:val="004B4BC6"/>
    <w:rsid w:val="004B7669"/>
    <w:rsid w:val="004C1281"/>
    <w:rsid w:val="004C1646"/>
    <w:rsid w:val="004C1C42"/>
    <w:rsid w:val="004C1DC0"/>
    <w:rsid w:val="004C291E"/>
    <w:rsid w:val="004C2E32"/>
    <w:rsid w:val="004C368D"/>
    <w:rsid w:val="004C3E1D"/>
    <w:rsid w:val="004C4D0B"/>
    <w:rsid w:val="004C567B"/>
    <w:rsid w:val="004C589F"/>
    <w:rsid w:val="004C592C"/>
    <w:rsid w:val="004D2213"/>
    <w:rsid w:val="004D3809"/>
    <w:rsid w:val="004D3CB6"/>
    <w:rsid w:val="004D4190"/>
    <w:rsid w:val="004D4D5C"/>
    <w:rsid w:val="004D5BB6"/>
    <w:rsid w:val="004D61B0"/>
    <w:rsid w:val="004D6A7F"/>
    <w:rsid w:val="004E0B0A"/>
    <w:rsid w:val="004E2F28"/>
    <w:rsid w:val="004E31D8"/>
    <w:rsid w:val="004E3208"/>
    <w:rsid w:val="004E4327"/>
    <w:rsid w:val="004E4BD6"/>
    <w:rsid w:val="004E5976"/>
    <w:rsid w:val="004F05BB"/>
    <w:rsid w:val="004F0DFB"/>
    <w:rsid w:val="004F17FA"/>
    <w:rsid w:val="004F1925"/>
    <w:rsid w:val="004F1BF6"/>
    <w:rsid w:val="004F2FAF"/>
    <w:rsid w:val="004F3523"/>
    <w:rsid w:val="004F4C5B"/>
    <w:rsid w:val="004F5098"/>
    <w:rsid w:val="004F5CD9"/>
    <w:rsid w:val="004F76F0"/>
    <w:rsid w:val="004F7ACB"/>
    <w:rsid w:val="00501068"/>
    <w:rsid w:val="00501C2D"/>
    <w:rsid w:val="00501C36"/>
    <w:rsid w:val="00502469"/>
    <w:rsid w:val="00502558"/>
    <w:rsid w:val="005032B7"/>
    <w:rsid w:val="00506253"/>
    <w:rsid w:val="00510577"/>
    <w:rsid w:val="00512453"/>
    <w:rsid w:val="00517B97"/>
    <w:rsid w:val="00520D67"/>
    <w:rsid w:val="00520EAC"/>
    <w:rsid w:val="00520F03"/>
    <w:rsid w:val="005224BF"/>
    <w:rsid w:val="005242BA"/>
    <w:rsid w:val="005258F9"/>
    <w:rsid w:val="00526928"/>
    <w:rsid w:val="00526B3C"/>
    <w:rsid w:val="005277BC"/>
    <w:rsid w:val="005325ED"/>
    <w:rsid w:val="0053262C"/>
    <w:rsid w:val="00533E95"/>
    <w:rsid w:val="00534248"/>
    <w:rsid w:val="00534B4C"/>
    <w:rsid w:val="00535DC6"/>
    <w:rsid w:val="005370E7"/>
    <w:rsid w:val="0054009F"/>
    <w:rsid w:val="00540EF5"/>
    <w:rsid w:val="00540F64"/>
    <w:rsid w:val="00542E77"/>
    <w:rsid w:val="005434F6"/>
    <w:rsid w:val="0054403B"/>
    <w:rsid w:val="0054435D"/>
    <w:rsid w:val="00544899"/>
    <w:rsid w:val="00545639"/>
    <w:rsid w:val="0054620D"/>
    <w:rsid w:val="00546BF3"/>
    <w:rsid w:val="0054742B"/>
    <w:rsid w:val="0054745E"/>
    <w:rsid w:val="005508F2"/>
    <w:rsid w:val="00550AE2"/>
    <w:rsid w:val="0055351A"/>
    <w:rsid w:val="00553A10"/>
    <w:rsid w:val="00555308"/>
    <w:rsid w:val="00557E0C"/>
    <w:rsid w:val="005622F8"/>
    <w:rsid w:val="005626C1"/>
    <w:rsid w:val="005630D4"/>
    <w:rsid w:val="005632D8"/>
    <w:rsid w:val="005638E1"/>
    <w:rsid w:val="005643BC"/>
    <w:rsid w:val="0056527E"/>
    <w:rsid w:val="00565FD0"/>
    <w:rsid w:val="00566361"/>
    <w:rsid w:val="005664ED"/>
    <w:rsid w:val="005709F4"/>
    <w:rsid w:val="005716C1"/>
    <w:rsid w:val="00571845"/>
    <w:rsid w:val="00574F61"/>
    <w:rsid w:val="0058038F"/>
    <w:rsid w:val="005817B1"/>
    <w:rsid w:val="005821FE"/>
    <w:rsid w:val="0058223D"/>
    <w:rsid w:val="00583564"/>
    <w:rsid w:val="00583D45"/>
    <w:rsid w:val="00583F61"/>
    <w:rsid w:val="00584325"/>
    <w:rsid w:val="0058639D"/>
    <w:rsid w:val="0058677A"/>
    <w:rsid w:val="005874BB"/>
    <w:rsid w:val="00590D90"/>
    <w:rsid w:val="0059105F"/>
    <w:rsid w:val="00591BA0"/>
    <w:rsid w:val="005923AA"/>
    <w:rsid w:val="005923CA"/>
    <w:rsid w:val="00592DF7"/>
    <w:rsid w:val="005930A4"/>
    <w:rsid w:val="00595328"/>
    <w:rsid w:val="00596141"/>
    <w:rsid w:val="00597881"/>
    <w:rsid w:val="005A148F"/>
    <w:rsid w:val="005A2965"/>
    <w:rsid w:val="005A35AE"/>
    <w:rsid w:val="005A3641"/>
    <w:rsid w:val="005A38E6"/>
    <w:rsid w:val="005A4714"/>
    <w:rsid w:val="005A5E9D"/>
    <w:rsid w:val="005A670D"/>
    <w:rsid w:val="005A7550"/>
    <w:rsid w:val="005B13F6"/>
    <w:rsid w:val="005B1730"/>
    <w:rsid w:val="005B1963"/>
    <w:rsid w:val="005B1FBD"/>
    <w:rsid w:val="005B3680"/>
    <w:rsid w:val="005B4148"/>
    <w:rsid w:val="005B4ADF"/>
    <w:rsid w:val="005B58B0"/>
    <w:rsid w:val="005B72F4"/>
    <w:rsid w:val="005B7D70"/>
    <w:rsid w:val="005C0699"/>
    <w:rsid w:val="005C09CB"/>
    <w:rsid w:val="005C1BFA"/>
    <w:rsid w:val="005C1E4D"/>
    <w:rsid w:val="005C2EDB"/>
    <w:rsid w:val="005C4532"/>
    <w:rsid w:val="005C6379"/>
    <w:rsid w:val="005C79FE"/>
    <w:rsid w:val="005D11BE"/>
    <w:rsid w:val="005D351D"/>
    <w:rsid w:val="005D3B62"/>
    <w:rsid w:val="005D44B5"/>
    <w:rsid w:val="005D4BFC"/>
    <w:rsid w:val="005D5174"/>
    <w:rsid w:val="005D557E"/>
    <w:rsid w:val="005D6516"/>
    <w:rsid w:val="005E1277"/>
    <w:rsid w:val="005E196C"/>
    <w:rsid w:val="005E1B98"/>
    <w:rsid w:val="005E3347"/>
    <w:rsid w:val="005E416E"/>
    <w:rsid w:val="005E5C46"/>
    <w:rsid w:val="005E5E12"/>
    <w:rsid w:val="005E6257"/>
    <w:rsid w:val="005E693E"/>
    <w:rsid w:val="005E774A"/>
    <w:rsid w:val="005F1080"/>
    <w:rsid w:val="005F1F5A"/>
    <w:rsid w:val="005F2E39"/>
    <w:rsid w:val="005F341F"/>
    <w:rsid w:val="005F35BC"/>
    <w:rsid w:val="005F3A79"/>
    <w:rsid w:val="005F3DA1"/>
    <w:rsid w:val="005F480E"/>
    <w:rsid w:val="005F48E9"/>
    <w:rsid w:val="005F755A"/>
    <w:rsid w:val="005F7B45"/>
    <w:rsid w:val="006032AA"/>
    <w:rsid w:val="00603548"/>
    <w:rsid w:val="00604C68"/>
    <w:rsid w:val="00604D4E"/>
    <w:rsid w:val="0060558A"/>
    <w:rsid w:val="00605DD5"/>
    <w:rsid w:val="00605E8C"/>
    <w:rsid w:val="0060785D"/>
    <w:rsid w:val="00610C17"/>
    <w:rsid w:val="00610DAB"/>
    <w:rsid w:val="00611003"/>
    <w:rsid w:val="006115ED"/>
    <w:rsid w:val="0061167C"/>
    <w:rsid w:val="00612396"/>
    <w:rsid w:val="006126D0"/>
    <w:rsid w:val="0061327E"/>
    <w:rsid w:val="00613A50"/>
    <w:rsid w:val="00613C4F"/>
    <w:rsid w:val="00613CBB"/>
    <w:rsid w:val="0061410C"/>
    <w:rsid w:val="00615459"/>
    <w:rsid w:val="006154E2"/>
    <w:rsid w:val="0061673A"/>
    <w:rsid w:val="00617411"/>
    <w:rsid w:val="00617680"/>
    <w:rsid w:val="00620033"/>
    <w:rsid w:val="006201F6"/>
    <w:rsid w:val="0062124B"/>
    <w:rsid w:val="00621EE2"/>
    <w:rsid w:val="0062275D"/>
    <w:rsid w:val="00624BCA"/>
    <w:rsid w:val="00626B4F"/>
    <w:rsid w:val="00630E68"/>
    <w:rsid w:val="00630EFD"/>
    <w:rsid w:val="0063118E"/>
    <w:rsid w:val="00633D80"/>
    <w:rsid w:val="00635E8B"/>
    <w:rsid w:val="00641B03"/>
    <w:rsid w:val="00641B68"/>
    <w:rsid w:val="0064423D"/>
    <w:rsid w:val="00644AC1"/>
    <w:rsid w:val="00645360"/>
    <w:rsid w:val="00645529"/>
    <w:rsid w:val="00646242"/>
    <w:rsid w:val="00646AF3"/>
    <w:rsid w:val="00646E26"/>
    <w:rsid w:val="00647F00"/>
    <w:rsid w:val="00651083"/>
    <w:rsid w:val="0065161E"/>
    <w:rsid w:val="006517D1"/>
    <w:rsid w:val="006534BC"/>
    <w:rsid w:val="00653DCB"/>
    <w:rsid w:val="006544BC"/>
    <w:rsid w:val="00654D78"/>
    <w:rsid w:val="006560C0"/>
    <w:rsid w:val="00657CB0"/>
    <w:rsid w:val="00660DED"/>
    <w:rsid w:val="00661906"/>
    <w:rsid w:val="00662CAB"/>
    <w:rsid w:val="00664BE6"/>
    <w:rsid w:val="00664C5F"/>
    <w:rsid w:val="00665E3C"/>
    <w:rsid w:val="00671E17"/>
    <w:rsid w:val="00672AC8"/>
    <w:rsid w:val="00672C74"/>
    <w:rsid w:val="00672ED7"/>
    <w:rsid w:val="00672FF8"/>
    <w:rsid w:val="00673687"/>
    <w:rsid w:val="0067543F"/>
    <w:rsid w:val="00676423"/>
    <w:rsid w:val="006767F6"/>
    <w:rsid w:val="006805B3"/>
    <w:rsid w:val="006818E9"/>
    <w:rsid w:val="00681BE4"/>
    <w:rsid w:val="00682232"/>
    <w:rsid w:val="0068381E"/>
    <w:rsid w:val="00684E39"/>
    <w:rsid w:val="0068530B"/>
    <w:rsid w:val="006857B3"/>
    <w:rsid w:val="00685D23"/>
    <w:rsid w:val="006906C7"/>
    <w:rsid w:val="006908DF"/>
    <w:rsid w:val="006933B1"/>
    <w:rsid w:val="00693CF0"/>
    <w:rsid w:val="00693D88"/>
    <w:rsid w:val="00694003"/>
    <w:rsid w:val="00694E49"/>
    <w:rsid w:val="0069520E"/>
    <w:rsid w:val="00696A50"/>
    <w:rsid w:val="00696B00"/>
    <w:rsid w:val="00697F92"/>
    <w:rsid w:val="006A06EA"/>
    <w:rsid w:val="006A24B3"/>
    <w:rsid w:val="006A3D2E"/>
    <w:rsid w:val="006A462A"/>
    <w:rsid w:val="006A4917"/>
    <w:rsid w:val="006A4DD3"/>
    <w:rsid w:val="006A57CA"/>
    <w:rsid w:val="006A722A"/>
    <w:rsid w:val="006B00EA"/>
    <w:rsid w:val="006B0D2B"/>
    <w:rsid w:val="006B1E24"/>
    <w:rsid w:val="006B3A15"/>
    <w:rsid w:val="006B583F"/>
    <w:rsid w:val="006B7749"/>
    <w:rsid w:val="006B7DDC"/>
    <w:rsid w:val="006C13FD"/>
    <w:rsid w:val="006C189C"/>
    <w:rsid w:val="006C3618"/>
    <w:rsid w:val="006C4CF9"/>
    <w:rsid w:val="006C65AC"/>
    <w:rsid w:val="006C6BB7"/>
    <w:rsid w:val="006C6EDB"/>
    <w:rsid w:val="006C79BB"/>
    <w:rsid w:val="006D29A7"/>
    <w:rsid w:val="006D40DA"/>
    <w:rsid w:val="006D49B3"/>
    <w:rsid w:val="006D4A55"/>
    <w:rsid w:val="006D6F93"/>
    <w:rsid w:val="006D77A4"/>
    <w:rsid w:val="006D7B83"/>
    <w:rsid w:val="006E05A8"/>
    <w:rsid w:val="006E1D7B"/>
    <w:rsid w:val="006E1F7B"/>
    <w:rsid w:val="006E2818"/>
    <w:rsid w:val="006E4580"/>
    <w:rsid w:val="006E4C7E"/>
    <w:rsid w:val="006E7003"/>
    <w:rsid w:val="006F0BA0"/>
    <w:rsid w:val="006F1108"/>
    <w:rsid w:val="006F18E4"/>
    <w:rsid w:val="006F2816"/>
    <w:rsid w:val="006F4968"/>
    <w:rsid w:val="006F5973"/>
    <w:rsid w:val="006F6EBD"/>
    <w:rsid w:val="006F7BBB"/>
    <w:rsid w:val="007014CE"/>
    <w:rsid w:val="00701E3F"/>
    <w:rsid w:val="007026AA"/>
    <w:rsid w:val="007028A9"/>
    <w:rsid w:val="00703B10"/>
    <w:rsid w:val="00707565"/>
    <w:rsid w:val="00710018"/>
    <w:rsid w:val="007100DD"/>
    <w:rsid w:val="00710259"/>
    <w:rsid w:val="00710310"/>
    <w:rsid w:val="00710ED4"/>
    <w:rsid w:val="007114D0"/>
    <w:rsid w:val="00712F06"/>
    <w:rsid w:val="00713839"/>
    <w:rsid w:val="00714386"/>
    <w:rsid w:val="007152A4"/>
    <w:rsid w:val="00715533"/>
    <w:rsid w:val="00715A23"/>
    <w:rsid w:val="00716610"/>
    <w:rsid w:val="007178EC"/>
    <w:rsid w:val="007202E7"/>
    <w:rsid w:val="007203A0"/>
    <w:rsid w:val="00721FA9"/>
    <w:rsid w:val="007220C2"/>
    <w:rsid w:val="007256F7"/>
    <w:rsid w:val="007338BD"/>
    <w:rsid w:val="00735687"/>
    <w:rsid w:val="00737957"/>
    <w:rsid w:val="00737DEE"/>
    <w:rsid w:val="00741142"/>
    <w:rsid w:val="007422E6"/>
    <w:rsid w:val="00743AF2"/>
    <w:rsid w:val="00744D6D"/>
    <w:rsid w:val="00744DC9"/>
    <w:rsid w:val="00747674"/>
    <w:rsid w:val="007478AF"/>
    <w:rsid w:val="00751049"/>
    <w:rsid w:val="00751F59"/>
    <w:rsid w:val="007524F0"/>
    <w:rsid w:val="00752F64"/>
    <w:rsid w:val="00752FB2"/>
    <w:rsid w:val="00756788"/>
    <w:rsid w:val="007610F4"/>
    <w:rsid w:val="00762403"/>
    <w:rsid w:val="0076243F"/>
    <w:rsid w:val="00762A7F"/>
    <w:rsid w:val="00762B24"/>
    <w:rsid w:val="00763AEA"/>
    <w:rsid w:val="00763EF6"/>
    <w:rsid w:val="00767842"/>
    <w:rsid w:val="00767911"/>
    <w:rsid w:val="00767944"/>
    <w:rsid w:val="007708F6"/>
    <w:rsid w:val="00770A3B"/>
    <w:rsid w:val="0077379E"/>
    <w:rsid w:val="0077382A"/>
    <w:rsid w:val="007744A7"/>
    <w:rsid w:val="00774604"/>
    <w:rsid w:val="007763A2"/>
    <w:rsid w:val="0077662D"/>
    <w:rsid w:val="00776679"/>
    <w:rsid w:val="007766DC"/>
    <w:rsid w:val="00776E9C"/>
    <w:rsid w:val="007779C9"/>
    <w:rsid w:val="00777D23"/>
    <w:rsid w:val="0078039D"/>
    <w:rsid w:val="007808E4"/>
    <w:rsid w:val="00781263"/>
    <w:rsid w:val="007828BD"/>
    <w:rsid w:val="00783481"/>
    <w:rsid w:val="00783EC3"/>
    <w:rsid w:val="007848C1"/>
    <w:rsid w:val="00785A0C"/>
    <w:rsid w:val="00786019"/>
    <w:rsid w:val="0078616F"/>
    <w:rsid w:val="007867C0"/>
    <w:rsid w:val="007900D5"/>
    <w:rsid w:val="00790516"/>
    <w:rsid w:val="00791684"/>
    <w:rsid w:val="0079206E"/>
    <w:rsid w:val="0079254F"/>
    <w:rsid w:val="0079269B"/>
    <w:rsid w:val="0079278A"/>
    <w:rsid w:val="00793F89"/>
    <w:rsid w:val="0079420F"/>
    <w:rsid w:val="00795995"/>
    <w:rsid w:val="0079793D"/>
    <w:rsid w:val="007A0230"/>
    <w:rsid w:val="007A1BD6"/>
    <w:rsid w:val="007A3F82"/>
    <w:rsid w:val="007B1AE7"/>
    <w:rsid w:val="007B406B"/>
    <w:rsid w:val="007B4A90"/>
    <w:rsid w:val="007B4E4F"/>
    <w:rsid w:val="007B5714"/>
    <w:rsid w:val="007B6464"/>
    <w:rsid w:val="007B6690"/>
    <w:rsid w:val="007B6D4A"/>
    <w:rsid w:val="007B6E4D"/>
    <w:rsid w:val="007B714F"/>
    <w:rsid w:val="007B7D71"/>
    <w:rsid w:val="007C4DD5"/>
    <w:rsid w:val="007C5425"/>
    <w:rsid w:val="007D013F"/>
    <w:rsid w:val="007D2B6F"/>
    <w:rsid w:val="007D3E0D"/>
    <w:rsid w:val="007D59A6"/>
    <w:rsid w:val="007D6D1E"/>
    <w:rsid w:val="007D715A"/>
    <w:rsid w:val="007D7A61"/>
    <w:rsid w:val="007E1F54"/>
    <w:rsid w:val="007E2956"/>
    <w:rsid w:val="007E32E1"/>
    <w:rsid w:val="007E4A6E"/>
    <w:rsid w:val="007E568E"/>
    <w:rsid w:val="007E6346"/>
    <w:rsid w:val="007E6992"/>
    <w:rsid w:val="007E735B"/>
    <w:rsid w:val="007F1DF4"/>
    <w:rsid w:val="007F1F29"/>
    <w:rsid w:val="007F2314"/>
    <w:rsid w:val="007F2A3C"/>
    <w:rsid w:val="007F2FB3"/>
    <w:rsid w:val="007F4DA6"/>
    <w:rsid w:val="007F538D"/>
    <w:rsid w:val="007F589F"/>
    <w:rsid w:val="007F6708"/>
    <w:rsid w:val="007F6F54"/>
    <w:rsid w:val="007F7AE2"/>
    <w:rsid w:val="0080034B"/>
    <w:rsid w:val="0080138B"/>
    <w:rsid w:val="008017F0"/>
    <w:rsid w:val="0080252F"/>
    <w:rsid w:val="0080273F"/>
    <w:rsid w:val="00802C71"/>
    <w:rsid w:val="0080387C"/>
    <w:rsid w:val="00803E02"/>
    <w:rsid w:val="008045BB"/>
    <w:rsid w:val="00804DE6"/>
    <w:rsid w:val="00805CB9"/>
    <w:rsid w:val="00807290"/>
    <w:rsid w:val="008077A0"/>
    <w:rsid w:val="00811246"/>
    <w:rsid w:val="00811E36"/>
    <w:rsid w:val="0081279E"/>
    <w:rsid w:val="00813F93"/>
    <w:rsid w:val="00815A16"/>
    <w:rsid w:val="0081690A"/>
    <w:rsid w:val="00816921"/>
    <w:rsid w:val="00821D5F"/>
    <w:rsid w:val="00821DC1"/>
    <w:rsid w:val="008234D5"/>
    <w:rsid w:val="00824A4D"/>
    <w:rsid w:val="008254C2"/>
    <w:rsid w:val="008274BA"/>
    <w:rsid w:val="0082775A"/>
    <w:rsid w:val="00832E81"/>
    <w:rsid w:val="008334C2"/>
    <w:rsid w:val="00834B09"/>
    <w:rsid w:val="00835746"/>
    <w:rsid w:val="00836F13"/>
    <w:rsid w:val="00837E57"/>
    <w:rsid w:val="00840698"/>
    <w:rsid w:val="00840D34"/>
    <w:rsid w:val="00841681"/>
    <w:rsid w:val="00841CF8"/>
    <w:rsid w:val="0084226A"/>
    <w:rsid w:val="008445B3"/>
    <w:rsid w:val="008454F0"/>
    <w:rsid w:val="00845908"/>
    <w:rsid w:val="00845F26"/>
    <w:rsid w:val="00847BFF"/>
    <w:rsid w:val="00850661"/>
    <w:rsid w:val="00852DB2"/>
    <w:rsid w:val="008539BF"/>
    <w:rsid w:val="00853EB9"/>
    <w:rsid w:val="0085472D"/>
    <w:rsid w:val="0086014A"/>
    <w:rsid w:val="008607F2"/>
    <w:rsid w:val="008620F8"/>
    <w:rsid w:val="00862339"/>
    <w:rsid w:val="008629B2"/>
    <w:rsid w:val="00863265"/>
    <w:rsid w:val="0086434D"/>
    <w:rsid w:val="00864946"/>
    <w:rsid w:val="00864DA8"/>
    <w:rsid w:val="0086534F"/>
    <w:rsid w:val="0086535F"/>
    <w:rsid w:val="008663D1"/>
    <w:rsid w:val="008672C4"/>
    <w:rsid w:val="00870470"/>
    <w:rsid w:val="008705F3"/>
    <w:rsid w:val="008726FD"/>
    <w:rsid w:val="008744C5"/>
    <w:rsid w:val="00875229"/>
    <w:rsid w:val="008756FF"/>
    <w:rsid w:val="008768B3"/>
    <w:rsid w:val="008815E1"/>
    <w:rsid w:val="00881633"/>
    <w:rsid w:val="00881FE8"/>
    <w:rsid w:val="0088307E"/>
    <w:rsid w:val="00884F7D"/>
    <w:rsid w:val="008851F6"/>
    <w:rsid w:val="0088542B"/>
    <w:rsid w:val="00886AA8"/>
    <w:rsid w:val="00887589"/>
    <w:rsid w:val="00891234"/>
    <w:rsid w:val="0089144E"/>
    <w:rsid w:val="0089158C"/>
    <w:rsid w:val="00892698"/>
    <w:rsid w:val="008940F7"/>
    <w:rsid w:val="00894461"/>
    <w:rsid w:val="00895395"/>
    <w:rsid w:val="00896603"/>
    <w:rsid w:val="008A06E6"/>
    <w:rsid w:val="008A3223"/>
    <w:rsid w:val="008A3297"/>
    <w:rsid w:val="008A34DB"/>
    <w:rsid w:val="008A5CD2"/>
    <w:rsid w:val="008A6130"/>
    <w:rsid w:val="008A71D5"/>
    <w:rsid w:val="008B123E"/>
    <w:rsid w:val="008B228F"/>
    <w:rsid w:val="008B247E"/>
    <w:rsid w:val="008B320A"/>
    <w:rsid w:val="008B3FEF"/>
    <w:rsid w:val="008B4DFE"/>
    <w:rsid w:val="008B5A6F"/>
    <w:rsid w:val="008B5C27"/>
    <w:rsid w:val="008B661F"/>
    <w:rsid w:val="008B6764"/>
    <w:rsid w:val="008B7047"/>
    <w:rsid w:val="008B7895"/>
    <w:rsid w:val="008B7E57"/>
    <w:rsid w:val="008C119E"/>
    <w:rsid w:val="008C180E"/>
    <w:rsid w:val="008C2578"/>
    <w:rsid w:val="008C27D4"/>
    <w:rsid w:val="008C2AD3"/>
    <w:rsid w:val="008C3B2B"/>
    <w:rsid w:val="008C49E9"/>
    <w:rsid w:val="008C5DFD"/>
    <w:rsid w:val="008C73F4"/>
    <w:rsid w:val="008D0294"/>
    <w:rsid w:val="008D2E73"/>
    <w:rsid w:val="008D477C"/>
    <w:rsid w:val="008D4AED"/>
    <w:rsid w:val="008D684C"/>
    <w:rsid w:val="008D6B6F"/>
    <w:rsid w:val="008D7076"/>
    <w:rsid w:val="008D79FE"/>
    <w:rsid w:val="008E04C9"/>
    <w:rsid w:val="008E10A8"/>
    <w:rsid w:val="008E1654"/>
    <w:rsid w:val="008E1C2E"/>
    <w:rsid w:val="008E32AE"/>
    <w:rsid w:val="008E4504"/>
    <w:rsid w:val="008E4D86"/>
    <w:rsid w:val="008E6BC2"/>
    <w:rsid w:val="008F09BF"/>
    <w:rsid w:val="008F2F7C"/>
    <w:rsid w:val="008F6CB6"/>
    <w:rsid w:val="008F74E2"/>
    <w:rsid w:val="00902CAE"/>
    <w:rsid w:val="00903194"/>
    <w:rsid w:val="00903234"/>
    <w:rsid w:val="009046E4"/>
    <w:rsid w:val="00904953"/>
    <w:rsid w:val="0090606A"/>
    <w:rsid w:val="009063B7"/>
    <w:rsid w:val="00906BA9"/>
    <w:rsid w:val="009118D3"/>
    <w:rsid w:val="00912ECD"/>
    <w:rsid w:val="00913A52"/>
    <w:rsid w:val="0091466E"/>
    <w:rsid w:val="00914E04"/>
    <w:rsid w:val="009159F6"/>
    <w:rsid w:val="00915E73"/>
    <w:rsid w:val="0091651F"/>
    <w:rsid w:val="00916B15"/>
    <w:rsid w:val="00917314"/>
    <w:rsid w:val="00922425"/>
    <w:rsid w:val="009226A7"/>
    <w:rsid w:val="00923208"/>
    <w:rsid w:val="00923E57"/>
    <w:rsid w:val="00923F5C"/>
    <w:rsid w:val="00924033"/>
    <w:rsid w:val="00924419"/>
    <w:rsid w:val="00925B33"/>
    <w:rsid w:val="00925EDA"/>
    <w:rsid w:val="00926856"/>
    <w:rsid w:val="00927872"/>
    <w:rsid w:val="00927BA1"/>
    <w:rsid w:val="009304F4"/>
    <w:rsid w:val="0093122C"/>
    <w:rsid w:val="00931522"/>
    <w:rsid w:val="0093356A"/>
    <w:rsid w:val="0093405D"/>
    <w:rsid w:val="009352FA"/>
    <w:rsid w:val="00936819"/>
    <w:rsid w:val="009374D6"/>
    <w:rsid w:val="009379A7"/>
    <w:rsid w:val="009415F9"/>
    <w:rsid w:val="009429C7"/>
    <w:rsid w:val="009462E6"/>
    <w:rsid w:val="00946F93"/>
    <w:rsid w:val="009474DF"/>
    <w:rsid w:val="0094755A"/>
    <w:rsid w:val="00950E19"/>
    <w:rsid w:val="00951FC3"/>
    <w:rsid w:val="00953AE4"/>
    <w:rsid w:val="009563AC"/>
    <w:rsid w:val="00960688"/>
    <w:rsid w:val="00960E13"/>
    <w:rsid w:val="00961BA6"/>
    <w:rsid w:val="00962C7D"/>
    <w:rsid w:val="009638FA"/>
    <w:rsid w:val="009661C5"/>
    <w:rsid w:val="00966811"/>
    <w:rsid w:val="00966CE7"/>
    <w:rsid w:val="00966F25"/>
    <w:rsid w:val="0097059F"/>
    <w:rsid w:val="00970731"/>
    <w:rsid w:val="009714D4"/>
    <w:rsid w:val="00971967"/>
    <w:rsid w:val="00971AA6"/>
    <w:rsid w:val="00973071"/>
    <w:rsid w:val="009746E2"/>
    <w:rsid w:val="00976373"/>
    <w:rsid w:val="00976D81"/>
    <w:rsid w:val="00977334"/>
    <w:rsid w:val="009812D7"/>
    <w:rsid w:val="009823AA"/>
    <w:rsid w:val="009824E3"/>
    <w:rsid w:val="00982D45"/>
    <w:rsid w:val="009830FF"/>
    <w:rsid w:val="00984B8B"/>
    <w:rsid w:val="0098694D"/>
    <w:rsid w:val="0098750B"/>
    <w:rsid w:val="0098767B"/>
    <w:rsid w:val="00987A7F"/>
    <w:rsid w:val="009904D7"/>
    <w:rsid w:val="00992673"/>
    <w:rsid w:val="00992A5A"/>
    <w:rsid w:val="00992FD7"/>
    <w:rsid w:val="00993953"/>
    <w:rsid w:val="00993B6E"/>
    <w:rsid w:val="00995D9E"/>
    <w:rsid w:val="009968A3"/>
    <w:rsid w:val="00996D67"/>
    <w:rsid w:val="00996EDF"/>
    <w:rsid w:val="009A014B"/>
    <w:rsid w:val="009A0CD1"/>
    <w:rsid w:val="009A0D24"/>
    <w:rsid w:val="009A5602"/>
    <w:rsid w:val="009A581D"/>
    <w:rsid w:val="009A5BAF"/>
    <w:rsid w:val="009A6162"/>
    <w:rsid w:val="009A79D2"/>
    <w:rsid w:val="009B0082"/>
    <w:rsid w:val="009B0AF0"/>
    <w:rsid w:val="009B1C76"/>
    <w:rsid w:val="009B1EB3"/>
    <w:rsid w:val="009B1F81"/>
    <w:rsid w:val="009B3C90"/>
    <w:rsid w:val="009B449D"/>
    <w:rsid w:val="009B657E"/>
    <w:rsid w:val="009B6938"/>
    <w:rsid w:val="009B7A13"/>
    <w:rsid w:val="009C047C"/>
    <w:rsid w:val="009C21E9"/>
    <w:rsid w:val="009C385D"/>
    <w:rsid w:val="009C3C10"/>
    <w:rsid w:val="009C4C1D"/>
    <w:rsid w:val="009C4EA8"/>
    <w:rsid w:val="009C5C89"/>
    <w:rsid w:val="009C5E0C"/>
    <w:rsid w:val="009C7227"/>
    <w:rsid w:val="009C7D9F"/>
    <w:rsid w:val="009C7E4C"/>
    <w:rsid w:val="009D0DDD"/>
    <w:rsid w:val="009D108D"/>
    <w:rsid w:val="009D11E3"/>
    <w:rsid w:val="009D1789"/>
    <w:rsid w:val="009D20BA"/>
    <w:rsid w:val="009D2A43"/>
    <w:rsid w:val="009D3692"/>
    <w:rsid w:val="009D370C"/>
    <w:rsid w:val="009D63BB"/>
    <w:rsid w:val="009D687C"/>
    <w:rsid w:val="009D7502"/>
    <w:rsid w:val="009E06DB"/>
    <w:rsid w:val="009E0C1C"/>
    <w:rsid w:val="009E0F11"/>
    <w:rsid w:val="009E2A79"/>
    <w:rsid w:val="009E2CAF"/>
    <w:rsid w:val="009E32FE"/>
    <w:rsid w:val="009E3860"/>
    <w:rsid w:val="009E3CD9"/>
    <w:rsid w:val="009E407E"/>
    <w:rsid w:val="009E4493"/>
    <w:rsid w:val="009E4E1E"/>
    <w:rsid w:val="009E54D0"/>
    <w:rsid w:val="009E5B5F"/>
    <w:rsid w:val="009E63F8"/>
    <w:rsid w:val="009E6CB0"/>
    <w:rsid w:val="009E7919"/>
    <w:rsid w:val="009F0EC8"/>
    <w:rsid w:val="009F1030"/>
    <w:rsid w:val="009F1857"/>
    <w:rsid w:val="009F1ABA"/>
    <w:rsid w:val="009F1C65"/>
    <w:rsid w:val="009F2849"/>
    <w:rsid w:val="009F3F50"/>
    <w:rsid w:val="009F4295"/>
    <w:rsid w:val="009F55DE"/>
    <w:rsid w:val="009F73D9"/>
    <w:rsid w:val="009F7430"/>
    <w:rsid w:val="009F7C05"/>
    <w:rsid w:val="009F7C12"/>
    <w:rsid w:val="00A00944"/>
    <w:rsid w:val="00A022A6"/>
    <w:rsid w:val="00A037D5"/>
    <w:rsid w:val="00A041E5"/>
    <w:rsid w:val="00A046F1"/>
    <w:rsid w:val="00A04B43"/>
    <w:rsid w:val="00A05932"/>
    <w:rsid w:val="00A0710F"/>
    <w:rsid w:val="00A10A34"/>
    <w:rsid w:val="00A11220"/>
    <w:rsid w:val="00A12441"/>
    <w:rsid w:val="00A12815"/>
    <w:rsid w:val="00A12913"/>
    <w:rsid w:val="00A14BA0"/>
    <w:rsid w:val="00A15AC7"/>
    <w:rsid w:val="00A16576"/>
    <w:rsid w:val="00A16B8E"/>
    <w:rsid w:val="00A17A4A"/>
    <w:rsid w:val="00A17B48"/>
    <w:rsid w:val="00A211C2"/>
    <w:rsid w:val="00A22012"/>
    <w:rsid w:val="00A229B7"/>
    <w:rsid w:val="00A22CA7"/>
    <w:rsid w:val="00A23570"/>
    <w:rsid w:val="00A2711B"/>
    <w:rsid w:val="00A27178"/>
    <w:rsid w:val="00A277EA"/>
    <w:rsid w:val="00A27B22"/>
    <w:rsid w:val="00A30791"/>
    <w:rsid w:val="00A30B20"/>
    <w:rsid w:val="00A31C2A"/>
    <w:rsid w:val="00A31DDD"/>
    <w:rsid w:val="00A32896"/>
    <w:rsid w:val="00A335DF"/>
    <w:rsid w:val="00A33845"/>
    <w:rsid w:val="00A338EF"/>
    <w:rsid w:val="00A35857"/>
    <w:rsid w:val="00A35C50"/>
    <w:rsid w:val="00A35F51"/>
    <w:rsid w:val="00A3706A"/>
    <w:rsid w:val="00A37FA3"/>
    <w:rsid w:val="00A40654"/>
    <w:rsid w:val="00A41471"/>
    <w:rsid w:val="00A41C60"/>
    <w:rsid w:val="00A4324A"/>
    <w:rsid w:val="00A439FB"/>
    <w:rsid w:val="00A43FD5"/>
    <w:rsid w:val="00A473DA"/>
    <w:rsid w:val="00A47FBA"/>
    <w:rsid w:val="00A500B0"/>
    <w:rsid w:val="00A5049E"/>
    <w:rsid w:val="00A504F8"/>
    <w:rsid w:val="00A50A6A"/>
    <w:rsid w:val="00A50ED4"/>
    <w:rsid w:val="00A51BE0"/>
    <w:rsid w:val="00A5424A"/>
    <w:rsid w:val="00A572EB"/>
    <w:rsid w:val="00A6177B"/>
    <w:rsid w:val="00A61E9F"/>
    <w:rsid w:val="00A6341C"/>
    <w:rsid w:val="00A654D4"/>
    <w:rsid w:val="00A664B4"/>
    <w:rsid w:val="00A7038C"/>
    <w:rsid w:val="00A703E2"/>
    <w:rsid w:val="00A706A8"/>
    <w:rsid w:val="00A71874"/>
    <w:rsid w:val="00A71A06"/>
    <w:rsid w:val="00A7228F"/>
    <w:rsid w:val="00A72AD1"/>
    <w:rsid w:val="00A72CB1"/>
    <w:rsid w:val="00A7338A"/>
    <w:rsid w:val="00A7453E"/>
    <w:rsid w:val="00A745BA"/>
    <w:rsid w:val="00A74B88"/>
    <w:rsid w:val="00A764BA"/>
    <w:rsid w:val="00A76D71"/>
    <w:rsid w:val="00A774DD"/>
    <w:rsid w:val="00A776EB"/>
    <w:rsid w:val="00A813A6"/>
    <w:rsid w:val="00A8286A"/>
    <w:rsid w:val="00A828DA"/>
    <w:rsid w:val="00A83393"/>
    <w:rsid w:val="00A833D6"/>
    <w:rsid w:val="00A863E6"/>
    <w:rsid w:val="00A9087E"/>
    <w:rsid w:val="00A90D70"/>
    <w:rsid w:val="00A922CF"/>
    <w:rsid w:val="00A93901"/>
    <w:rsid w:val="00A947A6"/>
    <w:rsid w:val="00A952FF"/>
    <w:rsid w:val="00A95AC8"/>
    <w:rsid w:val="00A97D3D"/>
    <w:rsid w:val="00AA014A"/>
    <w:rsid w:val="00AA2DD3"/>
    <w:rsid w:val="00AA3699"/>
    <w:rsid w:val="00AA414E"/>
    <w:rsid w:val="00AA504C"/>
    <w:rsid w:val="00AA5920"/>
    <w:rsid w:val="00AA5961"/>
    <w:rsid w:val="00AA5A54"/>
    <w:rsid w:val="00AA6F56"/>
    <w:rsid w:val="00AA77DC"/>
    <w:rsid w:val="00AA7CC0"/>
    <w:rsid w:val="00AB09BE"/>
    <w:rsid w:val="00AB10C0"/>
    <w:rsid w:val="00AB11EB"/>
    <w:rsid w:val="00AB1646"/>
    <w:rsid w:val="00AB1D77"/>
    <w:rsid w:val="00AB2245"/>
    <w:rsid w:val="00AB25FA"/>
    <w:rsid w:val="00AB3499"/>
    <w:rsid w:val="00AB400C"/>
    <w:rsid w:val="00AB414F"/>
    <w:rsid w:val="00AB415C"/>
    <w:rsid w:val="00AB46C4"/>
    <w:rsid w:val="00AB4977"/>
    <w:rsid w:val="00AB525C"/>
    <w:rsid w:val="00AB5406"/>
    <w:rsid w:val="00AC1ECB"/>
    <w:rsid w:val="00AC22E5"/>
    <w:rsid w:val="00AC2C49"/>
    <w:rsid w:val="00AC3A64"/>
    <w:rsid w:val="00AC52CD"/>
    <w:rsid w:val="00AD0447"/>
    <w:rsid w:val="00AD2074"/>
    <w:rsid w:val="00AD24B5"/>
    <w:rsid w:val="00AD31F2"/>
    <w:rsid w:val="00AD3514"/>
    <w:rsid w:val="00AD38EF"/>
    <w:rsid w:val="00AD3B72"/>
    <w:rsid w:val="00AD4921"/>
    <w:rsid w:val="00AD742E"/>
    <w:rsid w:val="00AE0706"/>
    <w:rsid w:val="00AE1A75"/>
    <w:rsid w:val="00AE1D11"/>
    <w:rsid w:val="00AE2256"/>
    <w:rsid w:val="00AE2426"/>
    <w:rsid w:val="00AE3BB9"/>
    <w:rsid w:val="00AE48EB"/>
    <w:rsid w:val="00AE54D7"/>
    <w:rsid w:val="00AE63DA"/>
    <w:rsid w:val="00AE6688"/>
    <w:rsid w:val="00AE7558"/>
    <w:rsid w:val="00AE7886"/>
    <w:rsid w:val="00AF05EF"/>
    <w:rsid w:val="00AF1B0F"/>
    <w:rsid w:val="00AF3384"/>
    <w:rsid w:val="00AF367E"/>
    <w:rsid w:val="00AF4D69"/>
    <w:rsid w:val="00AF524C"/>
    <w:rsid w:val="00AF587F"/>
    <w:rsid w:val="00AF74BF"/>
    <w:rsid w:val="00AF758E"/>
    <w:rsid w:val="00B019CB"/>
    <w:rsid w:val="00B01F98"/>
    <w:rsid w:val="00B0212B"/>
    <w:rsid w:val="00B030EF"/>
    <w:rsid w:val="00B03DD4"/>
    <w:rsid w:val="00B04133"/>
    <w:rsid w:val="00B060EE"/>
    <w:rsid w:val="00B06AFC"/>
    <w:rsid w:val="00B10A26"/>
    <w:rsid w:val="00B10A7E"/>
    <w:rsid w:val="00B10BDD"/>
    <w:rsid w:val="00B117A9"/>
    <w:rsid w:val="00B11CF7"/>
    <w:rsid w:val="00B1393A"/>
    <w:rsid w:val="00B14B16"/>
    <w:rsid w:val="00B177AC"/>
    <w:rsid w:val="00B17C0C"/>
    <w:rsid w:val="00B2101F"/>
    <w:rsid w:val="00B2190D"/>
    <w:rsid w:val="00B224B3"/>
    <w:rsid w:val="00B225BA"/>
    <w:rsid w:val="00B22B0C"/>
    <w:rsid w:val="00B23DB2"/>
    <w:rsid w:val="00B23F63"/>
    <w:rsid w:val="00B2495A"/>
    <w:rsid w:val="00B26D4D"/>
    <w:rsid w:val="00B27335"/>
    <w:rsid w:val="00B2778B"/>
    <w:rsid w:val="00B27837"/>
    <w:rsid w:val="00B31ABF"/>
    <w:rsid w:val="00B31F2F"/>
    <w:rsid w:val="00B349F0"/>
    <w:rsid w:val="00B35A3A"/>
    <w:rsid w:val="00B40474"/>
    <w:rsid w:val="00B42B6E"/>
    <w:rsid w:val="00B42EE8"/>
    <w:rsid w:val="00B43189"/>
    <w:rsid w:val="00B432C2"/>
    <w:rsid w:val="00B45117"/>
    <w:rsid w:val="00B45279"/>
    <w:rsid w:val="00B463C2"/>
    <w:rsid w:val="00B46B9A"/>
    <w:rsid w:val="00B47C5D"/>
    <w:rsid w:val="00B50497"/>
    <w:rsid w:val="00B509A6"/>
    <w:rsid w:val="00B50A70"/>
    <w:rsid w:val="00B512BF"/>
    <w:rsid w:val="00B5174B"/>
    <w:rsid w:val="00B52F70"/>
    <w:rsid w:val="00B5390B"/>
    <w:rsid w:val="00B53C39"/>
    <w:rsid w:val="00B54BD6"/>
    <w:rsid w:val="00B54F94"/>
    <w:rsid w:val="00B558C8"/>
    <w:rsid w:val="00B56007"/>
    <w:rsid w:val="00B57155"/>
    <w:rsid w:val="00B57775"/>
    <w:rsid w:val="00B602AA"/>
    <w:rsid w:val="00B61CB4"/>
    <w:rsid w:val="00B61DC3"/>
    <w:rsid w:val="00B62EA7"/>
    <w:rsid w:val="00B631EA"/>
    <w:rsid w:val="00B637F1"/>
    <w:rsid w:val="00B659C2"/>
    <w:rsid w:val="00B65FAD"/>
    <w:rsid w:val="00B66016"/>
    <w:rsid w:val="00B66704"/>
    <w:rsid w:val="00B67017"/>
    <w:rsid w:val="00B7103B"/>
    <w:rsid w:val="00B71CA4"/>
    <w:rsid w:val="00B737FE"/>
    <w:rsid w:val="00B74002"/>
    <w:rsid w:val="00B74E88"/>
    <w:rsid w:val="00B74FAB"/>
    <w:rsid w:val="00B767AA"/>
    <w:rsid w:val="00B77184"/>
    <w:rsid w:val="00B77EE1"/>
    <w:rsid w:val="00B802F8"/>
    <w:rsid w:val="00B80402"/>
    <w:rsid w:val="00B80C5C"/>
    <w:rsid w:val="00B82468"/>
    <w:rsid w:val="00B82632"/>
    <w:rsid w:val="00B8280F"/>
    <w:rsid w:val="00B82EA0"/>
    <w:rsid w:val="00B82FF9"/>
    <w:rsid w:val="00B83CD5"/>
    <w:rsid w:val="00B8451B"/>
    <w:rsid w:val="00B85896"/>
    <w:rsid w:val="00B85E51"/>
    <w:rsid w:val="00B864BE"/>
    <w:rsid w:val="00B90D14"/>
    <w:rsid w:val="00B92BB3"/>
    <w:rsid w:val="00B931B2"/>
    <w:rsid w:val="00B943DC"/>
    <w:rsid w:val="00B94F6D"/>
    <w:rsid w:val="00B95984"/>
    <w:rsid w:val="00BA0B99"/>
    <w:rsid w:val="00BA1A5B"/>
    <w:rsid w:val="00BA1F4E"/>
    <w:rsid w:val="00BA302A"/>
    <w:rsid w:val="00BA53C3"/>
    <w:rsid w:val="00BA58AA"/>
    <w:rsid w:val="00BA60DC"/>
    <w:rsid w:val="00BA6D16"/>
    <w:rsid w:val="00BA6F6B"/>
    <w:rsid w:val="00BA735B"/>
    <w:rsid w:val="00BA7D23"/>
    <w:rsid w:val="00BA7E3C"/>
    <w:rsid w:val="00BB1D7C"/>
    <w:rsid w:val="00BB20A9"/>
    <w:rsid w:val="00BB295F"/>
    <w:rsid w:val="00BB29F6"/>
    <w:rsid w:val="00BB3854"/>
    <w:rsid w:val="00BB3936"/>
    <w:rsid w:val="00BB3A85"/>
    <w:rsid w:val="00BB488C"/>
    <w:rsid w:val="00BB54E0"/>
    <w:rsid w:val="00BB7DD5"/>
    <w:rsid w:val="00BC42C6"/>
    <w:rsid w:val="00BC7C87"/>
    <w:rsid w:val="00BD02C3"/>
    <w:rsid w:val="00BD0E31"/>
    <w:rsid w:val="00BD16D4"/>
    <w:rsid w:val="00BD39BE"/>
    <w:rsid w:val="00BD3D3E"/>
    <w:rsid w:val="00BD48E4"/>
    <w:rsid w:val="00BD4DF4"/>
    <w:rsid w:val="00BD5B30"/>
    <w:rsid w:val="00BD5E48"/>
    <w:rsid w:val="00BD6224"/>
    <w:rsid w:val="00BD6434"/>
    <w:rsid w:val="00BD7BBB"/>
    <w:rsid w:val="00BE279E"/>
    <w:rsid w:val="00BE3786"/>
    <w:rsid w:val="00BE7DED"/>
    <w:rsid w:val="00BF0BFC"/>
    <w:rsid w:val="00BF0C65"/>
    <w:rsid w:val="00BF1035"/>
    <w:rsid w:val="00BF25CB"/>
    <w:rsid w:val="00BF3640"/>
    <w:rsid w:val="00BF382B"/>
    <w:rsid w:val="00BF486F"/>
    <w:rsid w:val="00BF5118"/>
    <w:rsid w:val="00BF5228"/>
    <w:rsid w:val="00BF53BA"/>
    <w:rsid w:val="00BF59DF"/>
    <w:rsid w:val="00BF6597"/>
    <w:rsid w:val="00BF684A"/>
    <w:rsid w:val="00BF7F8D"/>
    <w:rsid w:val="00C0141A"/>
    <w:rsid w:val="00C01A58"/>
    <w:rsid w:val="00C03D6D"/>
    <w:rsid w:val="00C05924"/>
    <w:rsid w:val="00C06253"/>
    <w:rsid w:val="00C070B9"/>
    <w:rsid w:val="00C108BC"/>
    <w:rsid w:val="00C10980"/>
    <w:rsid w:val="00C128FE"/>
    <w:rsid w:val="00C12DE9"/>
    <w:rsid w:val="00C12EDE"/>
    <w:rsid w:val="00C15AD1"/>
    <w:rsid w:val="00C16026"/>
    <w:rsid w:val="00C17209"/>
    <w:rsid w:val="00C17E72"/>
    <w:rsid w:val="00C208F1"/>
    <w:rsid w:val="00C21376"/>
    <w:rsid w:val="00C2211B"/>
    <w:rsid w:val="00C241DE"/>
    <w:rsid w:val="00C25891"/>
    <w:rsid w:val="00C260F1"/>
    <w:rsid w:val="00C26242"/>
    <w:rsid w:val="00C27E92"/>
    <w:rsid w:val="00C27FF4"/>
    <w:rsid w:val="00C30099"/>
    <w:rsid w:val="00C30C88"/>
    <w:rsid w:val="00C3194B"/>
    <w:rsid w:val="00C31FE6"/>
    <w:rsid w:val="00C321AE"/>
    <w:rsid w:val="00C32D87"/>
    <w:rsid w:val="00C33001"/>
    <w:rsid w:val="00C330AE"/>
    <w:rsid w:val="00C33618"/>
    <w:rsid w:val="00C34695"/>
    <w:rsid w:val="00C35268"/>
    <w:rsid w:val="00C358FC"/>
    <w:rsid w:val="00C359EE"/>
    <w:rsid w:val="00C35FB2"/>
    <w:rsid w:val="00C36E6C"/>
    <w:rsid w:val="00C3745C"/>
    <w:rsid w:val="00C37CC4"/>
    <w:rsid w:val="00C403CD"/>
    <w:rsid w:val="00C43397"/>
    <w:rsid w:val="00C44DAD"/>
    <w:rsid w:val="00C46F57"/>
    <w:rsid w:val="00C4775C"/>
    <w:rsid w:val="00C50364"/>
    <w:rsid w:val="00C51968"/>
    <w:rsid w:val="00C52BA3"/>
    <w:rsid w:val="00C53064"/>
    <w:rsid w:val="00C5336F"/>
    <w:rsid w:val="00C5423A"/>
    <w:rsid w:val="00C54429"/>
    <w:rsid w:val="00C56371"/>
    <w:rsid w:val="00C5642E"/>
    <w:rsid w:val="00C5694E"/>
    <w:rsid w:val="00C56F6A"/>
    <w:rsid w:val="00C57831"/>
    <w:rsid w:val="00C60E1B"/>
    <w:rsid w:val="00C6103E"/>
    <w:rsid w:val="00C628C6"/>
    <w:rsid w:val="00C63AF9"/>
    <w:rsid w:val="00C63EB5"/>
    <w:rsid w:val="00C649B9"/>
    <w:rsid w:val="00C6551D"/>
    <w:rsid w:val="00C658D2"/>
    <w:rsid w:val="00C67C57"/>
    <w:rsid w:val="00C71C17"/>
    <w:rsid w:val="00C723DA"/>
    <w:rsid w:val="00C740CE"/>
    <w:rsid w:val="00C744F2"/>
    <w:rsid w:val="00C74AB6"/>
    <w:rsid w:val="00C74F21"/>
    <w:rsid w:val="00C7533A"/>
    <w:rsid w:val="00C75732"/>
    <w:rsid w:val="00C76D28"/>
    <w:rsid w:val="00C7714E"/>
    <w:rsid w:val="00C77679"/>
    <w:rsid w:val="00C777D9"/>
    <w:rsid w:val="00C80C05"/>
    <w:rsid w:val="00C815CB"/>
    <w:rsid w:val="00C82006"/>
    <w:rsid w:val="00C826F3"/>
    <w:rsid w:val="00C8314F"/>
    <w:rsid w:val="00C8466C"/>
    <w:rsid w:val="00C84D8E"/>
    <w:rsid w:val="00C85946"/>
    <w:rsid w:val="00C878B0"/>
    <w:rsid w:val="00C94516"/>
    <w:rsid w:val="00C94785"/>
    <w:rsid w:val="00C94867"/>
    <w:rsid w:val="00C94FBE"/>
    <w:rsid w:val="00C95ED4"/>
    <w:rsid w:val="00C97BAB"/>
    <w:rsid w:val="00CA1182"/>
    <w:rsid w:val="00CA3169"/>
    <w:rsid w:val="00CA3601"/>
    <w:rsid w:val="00CA3FF0"/>
    <w:rsid w:val="00CA4ADF"/>
    <w:rsid w:val="00CA4D76"/>
    <w:rsid w:val="00CA4F23"/>
    <w:rsid w:val="00CA71D4"/>
    <w:rsid w:val="00CB187F"/>
    <w:rsid w:val="00CB2888"/>
    <w:rsid w:val="00CB3A14"/>
    <w:rsid w:val="00CB437E"/>
    <w:rsid w:val="00CB4EC9"/>
    <w:rsid w:val="00CB7523"/>
    <w:rsid w:val="00CC0269"/>
    <w:rsid w:val="00CC084C"/>
    <w:rsid w:val="00CC20FA"/>
    <w:rsid w:val="00CC3253"/>
    <w:rsid w:val="00CC3892"/>
    <w:rsid w:val="00CC3AA3"/>
    <w:rsid w:val="00CC4D32"/>
    <w:rsid w:val="00CC5C9A"/>
    <w:rsid w:val="00CC5D75"/>
    <w:rsid w:val="00CC5DF5"/>
    <w:rsid w:val="00CC673F"/>
    <w:rsid w:val="00CC78CF"/>
    <w:rsid w:val="00CC7DB2"/>
    <w:rsid w:val="00CD0A0F"/>
    <w:rsid w:val="00CD0B22"/>
    <w:rsid w:val="00CD213F"/>
    <w:rsid w:val="00CD4760"/>
    <w:rsid w:val="00CD606B"/>
    <w:rsid w:val="00CE146E"/>
    <w:rsid w:val="00CE1A20"/>
    <w:rsid w:val="00CE1EF5"/>
    <w:rsid w:val="00CE5163"/>
    <w:rsid w:val="00CE538B"/>
    <w:rsid w:val="00CE6DAD"/>
    <w:rsid w:val="00CE7AB2"/>
    <w:rsid w:val="00CF053A"/>
    <w:rsid w:val="00CF0791"/>
    <w:rsid w:val="00CF30CE"/>
    <w:rsid w:val="00CF46E1"/>
    <w:rsid w:val="00CF6662"/>
    <w:rsid w:val="00CF6BA3"/>
    <w:rsid w:val="00D00764"/>
    <w:rsid w:val="00D011A4"/>
    <w:rsid w:val="00D028D0"/>
    <w:rsid w:val="00D03954"/>
    <w:rsid w:val="00D03A9B"/>
    <w:rsid w:val="00D048C1"/>
    <w:rsid w:val="00D076E8"/>
    <w:rsid w:val="00D07D1D"/>
    <w:rsid w:val="00D100A1"/>
    <w:rsid w:val="00D1059A"/>
    <w:rsid w:val="00D10904"/>
    <w:rsid w:val="00D12BAF"/>
    <w:rsid w:val="00D12DFC"/>
    <w:rsid w:val="00D13EDE"/>
    <w:rsid w:val="00D14A05"/>
    <w:rsid w:val="00D15594"/>
    <w:rsid w:val="00D15F68"/>
    <w:rsid w:val="00D17DE7"/>
    <w:rsid w:val="00D214A2"/>
    <w:rsid w:val="00D217DE"/>
    <w:rsid w:val="00D21CB6"/>
    <w:rsid w:val="00D22267"/>
    <w:rsid w:val="00D22898"/>
    <w:rsid w:val="00D23A33"/>
    <w:rsid w:val="00D23ACC"/>
    <w:rsid w:val="00D23CB8"/>
    <w:rsid w:val="00D2428E"/>
    <w:rsid w:val="00D255E2"/>
    <w:rsid w:val="00D26B94"/>
    <w:rsid w:val="00D26B9B"/>
    <w:rsid w:val="00D27230"/>
    <w:rsid w:val="00D27DD7"/>
    <w:rsid w:val="00D30C1B"/>
    <w:rsid w:val="00D3176E"/>
    <w:rsid w:val="00D32C5A"/>
    <w:rsid w:val="00D339BF"/>
    <w:rsid w:val="00D37365"/>
    <w:rsid w:val="00D373A2"/>
    <w:rsid w:val="00D378F6"/>
    <w:rsid w:val="00D41733"/>
    <w:rsid w:val="00D42209"/>
    <w:rsid w:val="00D428A4"/>
    <w:rsid w:val="00D42E57"/>
    <w:rsid w:val="00D43150"/>
    <w:rsid w:val="00D4320D"/>
    <w:rsid w:val="00D4387F"/>
    <w:rsid w:val="00D43AFE"/>
    <w:rsid w:val="00D44C83"/>
    <w:rsid w:val="00D45CA4"/>
    <w:rsid w:val="00D51281"/>
    <w:rsid w:val="00D51CA6"/>
    <w:rsid w:val="00D536BE"/>
    <w:rsid w:val="00D54EB3"/>
    <w:rsid w:val="00D54FEB"/>
    <w:rsid w:val="00D5553E"/>
    <w:rsid w:val="00D60786"/>
    <w:rsid w:val="00D60AB8"/>
    <w:rsid w:val="00D61C1D"/>
    <w:rsid w:val="00D61C9B"/>
    <w:rsid w:val="00D6389C"/>
    <w:rsid w:val="00D64FC5"/>
    <w:rsid w:val="00D650E0"/>
    <w:rsid w:val="00D65C05"/>
    <w:rsid w:val="00D675C6"/>
    <w:rsid w:val="00D70A78"/>
    <w:rsid w:val="00D70DD2"/>
    <w:rsid w:val="00D715AD"/>
    <w:rsid w:val="00D725C0"/>
    <w:rsid w:val="00D75BFD"/>
    <w:rsid w:val="00D75C27"/>
    <w:rsid w:val="00D80ADF"/>
    <w:rsid w:val="00D80F1B"/>
    <w:rsid w:val="00D8183D"/>
    <w:rsid w:val="00D81AD6"/>
    <w:rsid w:val="00D81CDE"/>
    <w:rsid w:val="00D82653"/>
    <w:rsid w:val="00D83EC2"/>
    <w:rsid w:val="00D84E34"/>
    <w:rsid w:val="00D855D6"/>
    <w:rsid w:val="00D85707"/>
    <w:rsid w:val="00D85FC9"/>
    <w:rsid w:val="00D86CD8"/>
    <w:rsid w:val="00D875AB"/>
    <w:rsid w:val="00D87689"/>
    <w:rsid w:val="00D90147"/>
    <w:rsid w:val="00D92B92"/>
    <w:rsid w:val="00D9367D"/>
    <w:rsid w:val="00D93A2B"/>
    <w:rsid w:val="00D94682"/>
    <w:rsid w:val="00D94F47"/>
    <w:rsid w:val="00D95CE4"/>
    <w:rsid w:val="00D96D08"/>
    <w:rsid w:val="00D972FB"/>
    <w:rsid w:val="00D97543"/>
    <w:rsid w:val="00D97AA1"/>
    <w:rsid w:val="00DA21F6"/>
    <w:rsid w:val="00DA3416"/>
    <w:rsid w:val="00DA482F"/>
    <w:rsid w:val="00DA6458"/>
    <w:rsid w:val="00DA6C40"/>
    <w:rsid w:val="00DB30DC"/>
    <w:rsid w:val="00DB4913"/>
    <w:rsid w:val="00DB66F0"/>
    <w:rsid w:val="00DC1E31"/>
    <w:rsid w:val="00DC39EE"/>
    <w:rsid w:val="00DC55D6"/>
    <w:rsid w:val="00DD0462"/>
    <w:rsid w:val="00DD092D"/>
    <w:rsid w:val="00DD1CFB"/>
    <w:rsid w:val="00DD2218"/>
    <w:rsid w:val="00DD38DB"/>
    <w:rsid w:val="00DD3C0D"/>
    <w:rsid w:val="00DD3DBF"/>
    <w:rsid w:val="00DD3FD5"/>
    <w:rsid w:val="00DD4062"/>
    <w:rsid w:val="00DD5A96"/>
    <w:rsid w:val="00DD60E3"/>
    <w:rsid w:val="00DD793E"/>
    <w:rsid w:val="00DE2C7E"/>
    <w:rsid w:val="00DE445A"/>
    <w:rsid w:val="00DE48E8"/>
    <w:rsid w:val="00DE4C18"/>
    <w:rsid w:val="00DE4DF2"/>
    <w:rsid w:val="00DE5F9E"/>
    <w:rsid w:val="00DE6785"/>
    <w:rsid w:val="00DE7520"/>
    <w:rsid w:val="00DF017B"/>
    <w:rsid w:val="00DF2012"/>
    <w:rsid w:val="00DF2665"/>
    <w:rsid w:val="00DF2E34"/>
    <w:rsid w:val="00DF4322"/>
    <w:rsid w:val="00DF43EB"/>
    <w:rsid w:val="00DF4737"/>
    <w:rsid w:val="00DF4A93"/>
    <w:rsid w:val="00DF50FD"/>
    <w:rsid w:val="00DF5495"/>
    <w:rsid w:val="00DF5C70"/>
    <w:rsid w:val="00DF5CED"/>
    <w:rsid w:val="00DF7958"/>
    <w:rsid w:val="00E001F1"/>
    <w:rsid w:val="00E00670"/>
    <w:rsid w:val="00E00D3D"/>
    <w:rsid w:val="00E0224F"/>
    <w:rsid w:val="00E03219"/>
    <w:rsid w:val="00E03A16"/>
    <w:rsid w:val="00E03F2D"/>
    <w:rsid w:val="00E043E5"/>
    <w:rsid w:val="00E05E88"/>
    <w:rsid w:val="00E07181"/>
    <w:rsid w:val="00E0741E"/>
    <w:rsid w:val="00E109B9"/>
    <w:rsid w:val="00E10C3F"/>
    <w:rsid w:val="00E121F2"/>
    <w:rsid w:val="00E12806"/>
    <w:rsid w:val="00E15BED"/>
    <w:rsid w:val="00E162FF"/>
    <w:rsid w:val="00E20119"/>
    <w:rsid w:val="00E20FFF"/>
    <w:rsid w:val="00E2165F"/>
    <w:rsid w:val="00E2177F"/>
    <w:rsid w:val="00E240EB"/>
    <w:rsid w:val="00E253EF"/>
    <w:rsid w:val="00E25E4F"/>
    <w:rsid w:val="00E26155"/>
    <w:rsid w:val="00E30C3F"/>
    <w:rsid w:val="00E31EF5"/>
    <w:rsid w:val="00E31F9B"/>
    <w:rsid w:val="00E32A4A"/>
    <w:rsid w:val="00E32BD7"/>
    <w:rsid w:val="00E34220"/>
    <w:rsid w:val="00E35AAE"/>
    <w:rsid w:val="00E3674B"/>
    <w:rsid w:val="00E36AD9"/>
    <w:rsid w:val="00E37453"/>
    <w:rsid w:val="00E37729"/>
    <w:rsid w:val="00E37BD8"/>
    <w:rsid w:val="00E40066"/>
    <w:rsid w:val="00E411BC"/>
    <w:rsid w:val="00E442E1"/>
    <w:rsid w:val="00E447F6"/>
    <w:rsid w:val="00E456FA"/>
    <w:rsid w:val="00E47E25"/>
    <w:rsid w:val="00E47FD0"/>
    <w:rsid w:val="00E5234E"/>
    <w:rsid w:val="00E551A8"/>
    <w:rsid w:val="00E55A91"/>
    <w:rsid w:val="00E561AE"/>
    <w:rsid w:val="00E56300"/>
    <w:rsid w:val="00E56798"/>
    <w:rsid w:val="00E56DE3"/>
    <w:rsid w:val="00E6000E"/>
    <w:rsid w:val="00E60648"/>
    <w:rsid w:val="00E608C1"/>
    <w:rsid w:val="00E62799"/>
    <w:rsid w:val="00E63D1B"/>
    <w:rsid w:val="00E640A5"/>
    <w:rsid w:val="00E643D0"/>
    <w:rsid w:val="00E65443"/>
    <w:rsid w:val="00E667BF"/>
    <w:rsid w:val="00E67ACA"/>
    <w:rsid w:val="00E67FC6"/>
    <w:rsid w:val="00E70243"/>
    <w:rsid w:val="00E70EDD"/>
    <w:rsid w:val="00E727CE"/>
    <w:rsid w:val="00E72BDF"/>
    <w:rsid w:val="00E737D8"/>
    <w:rsid w:val="00E73A04"/>
    <w:rsid w:val="00E7449E"/>
    <w:rsid w:val="00E75C7B"/>
    <w:rsid w:val="00E75DCB"/>
    <w:rsid w:val="00E767FE"/>
    <w:rsid w:val="00E80192"/>
    <w:rsid w:val="00E81678"/>
    <w:rsid w:val="00E816D9"/>
    <w:rsid w:val="00E82BC4"/>
    <w:rsid w:val="00E84B46"/>
    <w:rsid w:val="00E86C9E"/>
    <w:rsid w:val="00E87CD6"/>
    <w:rsid w:val="00E87CFB"/>
    <w:rsid w:val="00E9075D"/>
    <w:rsid w:val="00E91163"/>
    <w:rsid w:val="00E915F2"/>
    <w:rsid w:val="00E95540"/>
    <w:rsid w:val="00E95871"/>
    <w:rsid w:val="00E960CC"/>
    <w:rsid w:val="00EA1186"/>
    <w:rsid w:val="00EA1198"/>
    <w:rsid w:val="00EA172F"/>
    <w:rsid w:val="00EA2180"/>
    <w:rsid w:val="00EA265A"/>
    <w:rsid w:val="00EA3D3C"/>
    <w:rsid w:val="00EA40FB"/>
    <w:rsid w:val="00EA45FB"/>
    <w:rsid w:val="00EA719A"/>
    <w:rsid w:val="00EA7901"/>
    <w:rsid w:val="00EB05E7"/>
    <w:rsid w:val="00EB08F2"/>
    <w:rsid w:val="00EB0B8E"/>
    <w:rsid w:val="00EB28A3"/>
    <w:rsid w:val="00EB30A8"/>
    <w:rsid w:val="00EB3669"/>
    <w:rsid w:val="00EB38EC"/>
    <w:rsid w:val="00EB3B29"/>
    <w:rsid w:val="00EB592F"/>
    <w:rsid w:val="00EB68A1"/>
    <w:rsid w:val="00EC06E0"/>
    <w:rsid w:val="00EC16AF"/>
    <w:rsid w:val="00EC1DAB"/>
    <w:rsid w:val="00EC26B0"/>
    <w:rsid w:val="00EC4044"/>
    <w:rsid w:val="00EC56C6"/>
    <w:rsid w:val="00EC5847"/>
    <w:rsid w:val="00EC58D5"/>
    <w:rsid w:val="00EC6517"/>
    <w:rsid w:val="00EC68D1"/>
    <w:rsid w:val="00EC77B1"/>
    <w:rsid w:val="00ED0A8B"/>
    <w:rsid w:val="00ED2438"/>
    <w:rsid w:val="00ED2850"/>
    <w:rsid w:val="00ED2E1A"/>
    <w:rsid w:val="00ED339D"/>
    <w:rsid w:val="00ED35B6"/>
    <w:rsid w:val="00ED5AC7"/>
    <w:rsid w:val="00ED5EB4"/>
    <w:rsid w:val="00ED614E"/>
    <w:rsid w:val="00EE07F0"/>
    <w:rsid w:val="00EE1EA4"/>
    <w:rsid w:val="00EE21BD"/>
    <w:rsid w:val="00EE2EC8"/>
    <w:rsid w:val="00EE3158"/>
    <w:rsid w:val="00EE3EEE"/>
    <w:rsid w:val="00EE48F7"/>
    <w:rsid w:val="00EE50C7"/>
    <w:rsid w:val="00EE59DC"/>
    <w:rsid w:val="00EE6BBD"/>
    <w:rsid w:val="00EE7D27"/>
    <w:rsid w:val="00EF0872"/>
    <w:rsid w:val="00EF0E33"/>
    <w:rsid w:val="00EF248C"/>
    <w:rsid w:val="00EF2A4F"/>
    <w:rsid w:val="00EF2E8A"/>
    <w:rsid w:val="00EF3419"/>
    <w:rsid w:val="00EF5062"/>
    <w:rsid w:val="00EF5513"/>
    <w:rsid w:val="00EF5A20"/>
    <w:rsid w:val="00EF7358"/>
    <w:rsid w:val="00EF7CFA"/>
    <w:rsid w:val="00F00C2F"/>
    <w:rsid w:val="00F010C9"/>
    <w:rsid w:val="00F01286"/>
    <w:rsid w:val="00F01B33"/>
    <w:rsid w:val="00F01C31"/>
    <w:rsid w:val="00F02A17"/>
    <w:rsid w:val="00F04B89"/>
    <w:rsid w:val="00F0544E"/>
    <w:rsid w:val="00F06FDE"/>
    <w:rsid w:val="00F07612"/>
    <w:rsid w:val="00F076E4"/>
    <w:rsid w:val="00F11B18"/>
    <w:rsid w:val="00F12445"/>
    <w:rsid w:val="00F13000"/>
    <w:rsid w:val="00F13583"/>
    <w:rsid w:val="00F145E4"/>
    <w:rsid w:val="00F15E0F"/>
    <w:rsid w:val="00F1653D"/>
    <w:rsid w:val="00F17662"/>
    <w:rsid w:val="00F2075D"/>
    <w:rsid w:val="00F21F52"/>
    <w:rsid w:val="00F2323C"/>
    <w:rsid w:val="00F23426"/>
    <w:rsid w:val="00F247D2"/>
    <w:rsid w:val="00F24803"/>
    <w:rsid w:val="00F258E3"/>
    <w:rsid w:val="00F26BF6"/>
    <w:rsid w:val="00F30776"/>
    <w:rsid w:val="00F312E2"/>
    <w:rsid w:val="00F316C0"/>
    <w:rsid w:val="00F3368A"/>
    <w:rsid w:val="00F33FC9"/>
    <w:rsid w:val="00F354C8"/>
    <w:rsid w:val="00F359DD"/>
    <w:rsid w:val="00F3602C"/>
    <w:rsid w:val="00F37040"/>
    <w:rsid w:val="00F40975"/>
    <w:rsid w:val="00F40A85"/>
    <w:rsid w:val="00F41405"/>
    <w:rsid w:val="00F42127"/>
    <w:rsid w:val="00F421FB"/>
    <w:rsid w:val="00F42567"/>
    <w:rsid w:val="00F42C4E"/>
    <w:rsid w:val="00F454C2"/>
    <w:rsid w:val="00F46FBB"/>
    <w:rsid w:val="00F4729F"/>
    <w:rsid w:val="00F51820"/>
    <w:rsid w:val="00F52D0D"/>
    <w:rsid w:val="00F52FEE"/>
    <w:rsid w:val="00F54DDB"/>
    <w:rsid w:val="00F5522D"/>
    <w:rsid w:val="00F5603C"/>
    <w:rsid w:val="00F56702"/>
    <w:rsid w:val="00F56F50"/>
    <w:rsid w:val="00F6177F"/>
    <w:rsid w:val="00F61D4E"/>
    <w:rsid w:val="00F637C1"/>
    <w:rsid w:val="00F65C31"/>
    <w:rsid w:val="00F65C9F"/>
    <w:rsid w:val="00F65FAA"/>
    <w:rsid w:val="00F67028"/>
    <w:rsid w:val="00F720C7"/>
    <w:rsid w:val="00F72102"/>
    <w:rsid w:val="00F72F16"/>
    <w:rsid w:val="00F7545F"/>
    <w:rsid w:val="00F77B31"/>
    <w:rsid w:val="00F77B6E"/>
    <w:rsid w:val="00F77E0F"/>
    <w:rsid w:val="00F77EAB"/>
    <w:rsid w:val="00F81061"/>
    <w:rsid w:val="00F811CB"/>
    <w:rsid w:val="00F81DC9"/>
    <w:rsid w:val="00F82D01"/>
    <w:rsid w:val="00F82E9D"/>
    <w:rsid w:val="00F842FB"/>
    <w:rsid w:val="00F85DA7"/>
    <w:rsid w:val="00F86212"/>
    <w:rsid w:val="00F87531"/>
    <w:rsid w:val="00F918EE"/>
    <w:rsid w:val="00F92F8E"/>
    <w:rsid w:val="00F941B4"/>
    <w:rsid w:val="00F958A6"/>
    <w:rsid w:val="00F959E0"/>
    <w:rsid w:val="00F963D9"/>
    <w:rsid w:val="00FA4751"/>
    <w:rsid w:val="00FA6948"/>
    <w:rsid w:val="00FA6E9B"/>
    <w:rsid w:val="00FA7191"/>
    <w:rsid w:val="00FA7910"/>
    <w:rsid w:val="00FB0358"/>
    <w:rsid w:val="00FB23DA"/>
    <w:rsid w:val="00FB5EE9"/>
    <w:rsid w:val="00FB61C9"/>
    <w:rsid w:val="00FB662B"/>
    <w:rsid w:val="00FB6FAF"/>
    <w:rsid w:val="00FC0AF5"/>
    <w:rsid w:val="00FC1D7D"/>
    <w:rsid w:val="00FC2D8A"/>
    <w:rsid w:val="00FC457D"/>
    <w:rsid w:val="00FC5BB9"/>
    <w:rsid w:val="00FC6BB1"/>
    <w:rsid w:val="00FD08EE"/>
    <w:rsid w:val="00FD144A"/>
    <w:rsid w:val="00FD2FA7"/>
    <w:rsid w:val="00FD2FD4"/>
    <w:rsid w:val="00FD34AD"/>
    <w:rsid w:val="00FD35B3"/>
    <w:rsid w:val="00FD5DB4"/>
    <w:rsid w:val="00FD6DCB"/>
    <w:rsid w:val="00FD707F"/>
    <w:rsid w:val="00FD7B9F"/>
    <w:rsid w:val="00FE045E"/>
    <w:rsid w:val="00FE0716"/>
    <w:rsid w:val="00FE1171"/>
    <w:rsid w:val="00FE12FC"/>
    <w:rsid w:val="00FE1930"/>
    <w:rsid w:val="00FE1A24"/>
    <w:rsid w:val="00FE1DD3"/>
    <w:rsid w:val="00FE1EA8"/>
    <w:rsid w:val="00FE2BAC"/>
    <w:rsid w:val="00FE3980"/>
    <w:rsid w:val="00FE4829"/>
    <w:rsid w:val="00FE4BA8"/>
    <w:rsid w:val="00FE5C98"/>
    <w:rsid w:val="00FF0043"/>
    <w:rsid w:val="00FF1017"/>
    <w:rsid w:val="00FF236B"/>
    <w:rsid w:val="00FF2D38"/>
    <w:rsid w:val="00FF327D"/>
    <w:rsid w:val="00FF3731"/>
    <w:rsid w:val="00FF4CB1"/>
    <w:rsid w:val="00FF5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E660E"/>
  <w15:docId w15:val="{83515068-9C77-4929-A134-453859BA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44A"/>
    <w:pPr>
      <w:spacing w:before="120" w:after="120"/>
    </w:pPr>
    <w:rPr>
      <w:rFonts w:asciiTheme="minorHAnsi" w:eastAsiaTheme="minorHAnsi" w:hAnsiTheme="minorHAnsi" w:cstheme="minorBidi"/>
      <w:szCs w:val="22"/>
    </w:rPr>
  </w:style>
  <w:style w:type="paragraph" w:styleId="Heading1">
    <w:name w:val="heading 1"/>
    <w:basedOn w:val="Normal"/>
    <w:next w:val="Normal"/>
    <w:link w:val="Heading1Char"/>
    <w:uiPriority w:val="9"/>
    <w:qFormat/>
    <w:rsid w:val="00FD144A"/>
    <w:pPr>
      <w:keepNext/>
      <w:keepLines/>
      <w:contextualSpacing/>
      <w:outlineLvl w:val="0"/>
    </w:pPr>
    <w:rPr>
      <w:rFonts w:asciiTheme="majorHAnsi" w:eastAsiaTheme="majorEastAsia" w:hAnsiTheme="majorHAnsi" w:cstheme="majorBidi"/>
      <w:color w:val="001B35" w:themeColor="accent1"/>
      <w:sz w:val="72"/>
      <w:szCs w:val="32"/>
    </w:rPr>
  </w:style>
  <w:style w:type="paragraph" w:styleId="Heading2">
    <w:name w:val="heading 2"/>
    <w:basedOn w:val="Normal"/>
    <w:next w:val="Normal"/>
    <w:link w:val="Heading2Char"/>
    <w:uiPriority w:val="9"/>
    <w:unhideWhenUsed/>
    <w:qFormat/>
    <w:rsid w:val="00FD144A"/>
    <w:pPr>
      <w:keepNext/>
      <w:keepLines/>
      <w:spacing w:before="360"/>
      <w:outlineLvl w:val="1"/>
    </w:pPr>
    <w:rPr>
      <w:rFonts w:asciiTheme="majorHAnsi" w:eastAsiaTheme="majorEastAsia" w:hAnsiTheme="majorHAnsi" w:cstheme="majorBidi"/>
      <w:color w:val="15659B" w:themeColor="accent4"/>
      <w:sz w:val="48"/>
      <w:szCs w:val="48"/>
    </w:rPr>
  </w:style>
  <w:style w:type="paragraph" w:styleId="Heading3">
    <w:name w:val="heading 3"/>
    <w:basedOn w:val="Normal"/>
    <w:next w:val="Normal"/>
    <w:link w:val="Heading3Char"/>
    <w:uiPriority w:val="9"/>
    <w:unhideWhenUsed/>
    <w:qFormat/>
    <w:rsid w:val="00FD144A"/>
    <w:pPr>
      <w:keepNext/>
      <w:keepLines/>
      <w:spacing w:before="240"/>
      <w:outlineLvl w:val="2"/>
    </w:pPr>
    <w:rPr>
      <w:rFonts w:asciiTheme="majorHAnsi" w:eastAsiaTheme="majorEastAsia" w:hAnsiTheme="majorHAnsi" w:cstheme="majorBidi"/>
      <w:color w:val="15659B" w:themeColor="accent4"/>
      <w:sz w:val="40"/>
      <w:szCs w:val="40"/>
    </w:rPr>
  </w:style>
  <w:style w:type="paragraph" w:styleId="Heading4">
    <w:name w:val="heading 4"/>
    <w:basedOn w:val="Normal"/>
    <w:next w:val="Normal"/>
    <w:link w:val="Heading4Char"/>
    <w:uiPriority w:val="9"/>
    <w:unhideWhenUsed/>
    <w:qFormat/>
    <w:rsid w:val="00FD144A"/>
    <w:pPr>
      <w:keepNext/>
      <w:keepLines/>
      <w:spacing w:before="240"/>
      <w:outlineLvl w:val="3"/>
    </w:pPr>
    <w:rPr>
      <w:rFonts w:asciiTheme="majorHAnsi" w:eastAsiaTheme="majorEastAsia" w:hAnsiTheme="majorHAnsi" w:cstheme="majorBidi"/>
      <w:iCs/>
      <w:color w:val="15659B" w:themeColor="accent4"/>
      <w:sz w:val="32"/>
      <w:szCs w:val="28"/>
    </w:rPr>
  </w:style>
  <w:style w:type="paragraph" w:styleId="Heading5">
    <w:name w:val="heading 5"/>
    <w:basedOn w:val="Normal"/>
    <w:next w:val="Normal"/>
    <w:link w:val="Heading5Char"/>
    <w:uiPriority w:val="9"/>
    <w:unhideWhenUsed/>
    <w:qFormat/>
    <w:rsid w:val="00FD144A"/>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qFormat/>
    <w:rsid w:val="00FD144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FD144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FD144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qFormat/>
    <w:rsid w:val="00FD6DC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44A"/>
    <w:pPr>
      <w:tabs>
        <w:tab w:val="center" w:pos="4513"/>
        <w:tab w:val="right" w:pos="9026"/>
      </w:tabs>
      <w:spacing w:after="0"/>
    </w:pPr>
  </w:style>
  <w:style w:type="paragraph" w:styleId="Footer">
    <w:name w:val="footer"/>
    <w:basedOn w:val="Normal"/>
    <w:link w:val="FooterChar"/>
    <w:uiPriority w:val="99"/>
    <w:unhideWhenUsed/>
    <w:rsid w:val="00FD144A"/>
    <w:pPr>
      <w:tabs>
        <w:tab w:val="center" w:pos="4513"/>
        <w:tab w:val="right" w:pos="9026"/>
      </w:tabs>
      <w:spacing w:after="0"/>
    </w:pPr>
  </w:style>
  <w:style w:type="paragraph" w:styleId="ListNumber">
    <w:name w:val="List Number"/>
    <w:basedOn w:val="Normal"/>
    <w:qFormat/>
    <w:rsid w:val="007D715A"/>
    <w:pPr>
      <w:numPr>
        <w:numId w:val="1"/>
      </w:numPr>
      <w:contextualSpacing/>
    </w:pPr>
  </w:style>
  <w:style w:type="character" w:styleId="Hyperlink">
    <w:name w:val="Hyperlink"/>
    <w:basedOn w:val="DefaultParagraphFont"/>
    <w:uiPriority w:val="99"/>
    <w:unhideWhenUsed/>
    <w:rsid w:val="00FD144A"/>
    <w:rPr>
      <w:color w:val="15659B" w:themeColor="accent4"/>
      <w:u w:val="single"/>
    </w:rPr>
  </w:style>
  <w:style w:type="paragraph" w:styleId="FootnoteText">
    <w:name w:val="footnote text"/>
    <w:basedOn w:val="Normal"/>
    <w:link w:val="FootnoteTextChar1"/>
    <w:autoRedefine/>
    <w:uiPriority w:val="99"/>
    <w:rsid w:val="004102D6"/>
    <w:pPr>
      <w:tabs>
        <w:tab w:val="left" w:pos="4590"/>
        <w:tab w:val="right" w:pos="9450"/>
      </w:tabs>
      <w:spacing w:line="220" w:lineRule="exact"/>
      <w:ind w:right="187"/>
    </w:pPr>
    <w:rPr>
      <w:sz w:val="16"/>
    </w:rPr>
  </w:style>
  <w:style w:type="character" w:customStyle="1" w:styleId="FootnoteTextChar1">
    <w:name w:val="Footnote Text Char1"/>
    <w:basedOn w:val="DefaultParagraphFont"/>
    <w:link w:val="FootnoteText"/>
    <w:uiPriority w:val="99"/>
    <w:rsid w:val="004102D6"/>
    <w:rPr>
      <w:rFonts w:asciiTheme="minorHAnsi" w:eastAsiaTheme="minorHAnsi" w:hAnsiTheme="minorHAnsi" w:cstheme="minorBidi"/>
      <w:sz w:val="16"/>
      <w:szCs w:val="22"/>
    </w:rPr>
  </w:style>
  <w:style w:type="paragraph" w:styleId="ListBullet2">
    <w:name w:val="List Bullet 2"/>
    <w:aliases w:val="Dot-dash bullet"/>
    <w:basedOn w:val="Normal"/>
    <w:uiPriority w:val="99"/>
    <w:unhideWhenUsed/>
    <w:rsid w:val="00FD144A"/>
    <w:pPr>
      <w:numPr>
        <w:numId w:val="34"/>
      </w:numPr>
      <w:ind w:left="567" w:hanging="567"/>
      <w:contextualSpacing/>
    </w:pPr>
  </w:style>
  <w:style w:type="character" w:customStyle="1" w:styleId="Heading1Char">
    <w:name w:val="Heading 1 Char"/>
    <w:basedOn w:val="DefaultParagraphFont"/>
    <w:link w:val="Heading1"/>
    <w:uiPriority w:val="9"/>
    <w:rsid w:val="00FD144A"/>
    <w:rPr>
      <w:rFonts w:asciiTheme="majorHAnsi" w:eastAsiaTheme="majorEastAsia" w:hAnsiTheme="majorHAnsi" w:cstheme="majorBidi"/>
      <w:color w:val="001B35" w:themeColor="accent1"/>
      <w:sz w:val="72"/>
      <w:szCs w:val="32"/>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uiPriority w:val="99"/>
    <w:unhideWhenUsed/>
    <w:rsid w:val="00FD144A"/>
    <w:pPr>
      <w:numPr>
        <w:numId w:val="33"/>
      </w:numPr>
      <w:ind w:left="567" w:hanging="567"/>
      <w:contextualSpacing/>
    </w:pPr>
  </w:style>
  <w:style w:type="character" w:customStyle="1" w:styleId="Heading2Char">
    <w:name w:val="Heading 2 Char"/>
    <w:basedOn w:val="DefaultParagraphFont"/>
    <w:link w:val="Heading2"/>
    <w:uiPriority w:val="9"/>
    <w:rsid w:val="00FD144A"/>
    <w:rPr>
      <w:rFonts w:asciiTheme="majorHAnsi" w:eastAsiaTheme="majorEastAsia" w:hAnsiTheme="majorHAnsi" w:cstheme="majorBidi"/>
      <w:color w:val="15659B" w:themeColor="accent4"/>
      <w:sz w:val="48"/>
      <w:szCs w:val="48"/>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contextualSpacing w:val="0"/>
    </w:pPr>
  </w:style>
  <w:style w:type="paragraph" w:styleId="TOC4">
    <w:name w:val="toc 4"/>
    <w:basedOn w:val="Normal"/>
    <w:next w:val="Normal"/>
    <w:autoRedefine/>
    <w:uiPriority w:val="39"/>
    <w:unhideWhenUsed/>
    <w:rsid w:val="00FD144A"/>
    <w:pPr>
      <w:spacing w:after="100"/>
      <w:ind w:left="442"/>
    </w:p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2"/>
    <w:next w:val="Normal"/>
    <w:uiPriority w:val="39"/>
    <w:unhideWhenUsed/>
    <w:qFormat/>
    <w:rsid w:val="00FD144A"/>
    <w:pPr>
      <w:spacing w:after="480"/>
      <w:outlineLvl w:val="9"/>
    </w:pPr>
    <w:rPr>
      <w:lang w:val="en-US"/>
    </w:rPr>
  </w:style>
  <w:style w:type="paragraph" w:styleId="TOC1">
    <w:name w:val="toc 1"/>
    <w:basedOn w:val="Normal"/>
    <w:next w:val="Normal"/>
    <w:autoRedefine/>
    <w:uiPriority w:val="39"/>
    <w:unhideWhenUsed/>
    <w:rsid w:val="00FD144A"/>
    <w:pPr>
      <w:tabs>
        <w:tab w:val="right" w:leader="dot" w:pos="9016"/>
      </w:tabs>
      <w:spacing w:after="100"/>
    </w:pPr>
  </w:style>
  <w:style w:type="paragraph" w:styleId="TOC2">
    <w:name w:val="toc 2"/>
    <w:basedOn w:val="Normal"/>
    <w:next w:val="Normal"/>
    <w:autoRedefine/>
    <w:uiPriority w:val="39"/>
    <w:unhideWhenUsed/>
    <w:rsid w:val="004102D6"/>
    <w:pPr>
      <w:keepNext/>
      <w:tabs>
        <w:tab w:val="right" w:leader="dot" w:pos="9015"/>
      </w:tabs>
      <w:spacing w:after="100"/>
    </w:pPr>
  </w:style>
  <w:style w:type="paragraph" w:styleId="TOC3">
    <w:name w:val="toc 3"/>
    <w:basedOn w:val="Normal"/>
    <w:next w:val="Normal"/>
    <w:autoRedefine/>
    <w:uiPriority w:val="39"/>
    <w:unhideWhenUsed/>
    <w:rsid w:val="00FD144A"/>
    <w:pPr>
      <w:spacing w:after="100"/>
      <w:ind w:left="221"/>
    </w:pPr>
  </w:style>
  <w:style w:type="character" w:customStyle="1" w:styleId="Heading3Char">
    <w:name w:val="Heading 3 Char"/>
    <w:basedOn w:val="DefaultParagraphFont"/>
    <w:link w:val="Heading3"/>
    <w:uiPriority w:val="9"/>
    <w:rsid w:val="00FD144A"/>
    <w:rPr>
      <w:rFonts w:asciiTheme="majorHAnsi" w:eastAsiaTheme="majorEastAsia" w:hAnsiTheme="majorHAnsi" w:cstheme="majorBidi"/>
      <w:color w:val="15659B" w:themeColor="accent4"/>
      <w:sz w:val="40"/>
      <w:szCs w:val="40"/>
    </w:rPr>
  </w:style>
  <w:style w:type="character" w:customStyle="1" w:styleId="Heading4Char">
    <w:name w:val="Heading 4 Char"/>
    <w:basedOn w:val="DefaultParagraphFont"/>
    <w:link w:val="Heading4"/>
    <w:uiPriority w:val="9"/>
    <w:rsid w:val="00FD144A"/>
    <w:rPr>
      <w:rFonts w:asciiTheme="majorHAnsi" w:eastAsiaTheme="majorEastAsia" w:hAnsiTheme="majorHAnsi" w:cstheme="majorBidi"/>
      <w:iCs/>
      <w:color w:val="15659B" w:themeColor="accent4"/>
      <w:sz w:val="32"/>
      <w:szCs w:val="28"/>
    </w:rPr>
  </w:style>
  <w:style w:type="character" w:customStyle="1" w:styleId="Heading5Char">
    <w:name w:val="Heading 5 Char"/>
    <w:basedOn w:val="DefaultParagraphFont"/>
    <w:link w:val="Heading5"/>
    <w:uiPriority w:val="9"/>
    <w:rsid w:val="00FD144A"/>
    <w:rPr>
      <w:rFonts w:asciiTheme="majorHAnsi" w:eastAsiaTheme="majorEastAsia" w:hAnsiTheme="majorHAnsi" w:cstheme="majorBidi"/>
      <w:color w:val="15659B" w:themeColor="accent4"/>
      <w:sz w:val="26"/>
      <w:szCs w:val="26"/>
    </w:rPr>
  </w:style>
  <w:style w:type="character" w:customStyle="1" w:styleId="Heading6Char">
    <w:name w:val="Heading 6 Char"/>
    <w:basedOn w:val="DefaultParagraphFont"/>
    <w:link w:val="Heading6"/>
    <w:uiPriority w:val="9"/>
    <w:rsid w:val="00FD144A"/>
    <w:rPr>
      <w:rFonts w:asciiTheme="majorHAnsi" w:eastAsiaTheme="majorEastAsia" w:hAnsiTheme="majorHAnsi" w:cstheme="majorBidi"/>
      <w:color w:val="000000" w:themeColor="text1"/>
      <w:sz w:val="24"/>
      <w:szCs w:val="22"/>
    </w:rPr>
  </w:style>
  <w:style w:type="paragraph" w:styleId="BalloonText">
    <w:name w:val="Balloon Text"/>
    <w:basedOn w:val="Normal"/>
    <w:link w:val="BalloonTextChar"/>
    <w:uiPriority w:val="99"/>
    <w:unhideWhenUsed/>
    <w:rsid w:val="00FD14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FD144A"/>
    <w:rPr>
      <w:rFonts w:ascii="Segoe UI" w:eastAsiaTheme="minorHAnsi" w:hAnsi="Segoe UI" w:cs="Segoe UI"/>
      <w:sz w:val="18"/>
      <w:szCs w:val="18"/>
    </w:rPr>
  </w:style>
  <w:style w:type="numbering" w:customStyle="1" w:styleId="StyleBulleted">
    <w:name w:val="Style Bulleted"/>
    <w:basedOn w:val="NoList"/>
    <w:rsid w:val="00A35F51"/>
    <w:pPr>
      <w:numPr>
        <w:numId w:val="4"/>
      </w:numPr>
    </w:pPr>
  </w:style>
  <w:style w:type="table" w:styleId="TableGrid">
    <w:name w:val="Table Grid"/>
    <w:aliases w:val="DISR plain Table 1"/>
    <w:basedOn w:val="TableNormal"/>
    <w:uiPriority w:val="39"/>
    <w:rsid w:val="00187A4E"/>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4102D6"/>
    <w:pPr>
      <w:widowControl w:val="0"/>
      <w:spacing w:before="80" w:after="8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left"/>
      </w:pPr>
      <w:rPr>
        <w:rFonts w:asciiTheme="minorHAnsi" w:hAnsiTheme="minorHAnsi"/>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5659B" w:themeFill="accent4"/>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basedOn w:val="DefaultParagraphFont"/>
    <w:uiPriority w:val="99"/>
    <w:unhideWhenUsed/>
    <w:rsid w:val="00FD144A"/>
    <w:rPr>
      <w:sz w:val="16"/>
      <w:szCs w:val="16"/>
    </w:rPr>
  </w:style>
  <w:style w:type="paragraph" w:styleId="CommentText">
    <w:name w:val="annotation text"/>
    <w:basedOn w:val="Normal"/>
    <w:link w:val="CommentTextChar"/>
    <w:uiPriority w:val="99"/>
    <w:unhideWhenUsed/>
    <w:rsid w:val="00FD144A"/>
    <w:rPr>
      <w:szCs w:val="20"/>
    </w:rPr>
  </w:style>
  <w:style w:type="character" w:customStyle="1" w:styleId="CommentTextChar">
    <w:name w:val="Comment Text Char"/>
    <w:basedOn w:val="DefaultParagraphFont"/>
    <w:link w:val="CommentText"/>
    <w:uiPriority w:val="99"/>
    <w:rsid w:val="00FD14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FD144A"/>
    <w:rPr>
      <w:b/>
      <w:bCs/>
    </w:rPr>
  </w:style>
  <w:style w:type="character" w:customStyle="1" w:styleId="CommentSubjectChar">
    <w:name w:val="Comment Subject Char"/>
    <w:basedOn w:val="CommentTextChar"/>
    <w:link w:val="CommentSubject"/>
    <w:uiPriority w:val="99"/>
    <w:rsid w:val="00FD144A"/>
    <w:rPr>
      <w:rFonts w:asciiTheme="minorHAnsi" w:eastAsiaTheme="minorHAnsi" w:hAnsiTheme="minorHAnsi" w:cstheme="minorBidi"/>
      <w:b/>
      <w:bCs/>
    </w:rPr>
  </w:style>
  <w:style w:type="paragraph" w:styleId="ListParagraph">
    <w:name w:val="List Paragraph"/>
    <w:basedOn w:val="Normal"/>
    <w:uiPriority w:val="34"/>
    <w:qFormat/>
    <w:rsid w:val="00FD144A"/>
    <w:pPr>
      <w:numPr>
        <w:numId w:val="13"/>
      </w:numPr>
      <w:spacing w:before="0"/>
    </w:pPr>
  </w:style>
  <w:style w:type="character" w:styleId="Emphasis">
    <w:name w:val="Emphasis"/>
    <w:basedOn w:val="DefaultParagraphFont"/>
    <w:uiPriority w:val="20"/>
    <w:qFormat/>
    <w:rsid w:val="00FD144A"/>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FD144A"/>
    <w:rPr>
      <w:b/>
      <w:bCs/>
    </w:rPr>
  </w:style>
  <w:style w:type="paragraph" w:styleId="Revision">
    <w:name w:val="Revision"/>
    <w:hidden/>
    <w:uiPriority w:val="99"/>
    <w:semiHidden/>
    <w:rsid w:val="00FD144A"/>
    <w:rPr>
      <w:rFonts w:asciiTheme="minorHAnsi" w:eastAsiaTheme="minorHAnsi" w:hAnsiTheme="minorHAnsi" w:cstheme="minorBidi"/>
      <w:szCs w:val="22"/>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6"/>
    <w:qFormat/>
    <w:rsid w:val="00C95ED4"/>
  </w:style>
  <w:style w:type="paragraph" w:customStyle="1" w:styleId="Heading3Appendix">
    <w:name w:val="Heading 3 Appendix"/>
    <w:basedOn w:val="Heading3"/>
    <w:qFormat/>
    <w:rsid w:val="009B6938"/>
  </w:style>
  <w:style w:type="character" w:styleId="FollowedHyperlink">
    <w:name w:val="FollowedHyperlink"/>
    <w:basedOn w:val="DefaultParagraphFont"/>
    <w:uiPriority w:val="99"/>
    <w:unhideWhenUsed/>
    <w:rsid w:val="00FD144A"/>
    <w:rPr>
      <w:color w:val="954F72" w:themeColor="followedHyperlink"/>
      <w:u w:val="single"/>
    </w:rPr>
  </w:style>
  <w:style w:type="paragraph" w:styleId="TOC5">
    <w:name w:val="toc 5"/>
    <w:basedOn w:val="Normal"/>
    <w:next w:val="Normal"/>
    <w:autoRedefine/>
    <w:uiPriority w:val="39"/>
    <w:unhideWhenUsed/>
    <w:rsid w:val="00FD144A"/>
    <w:pPr>
      <w:spacing w:after="100"/>
      <w:ind w:left="601"/>
    </w:pPr>
  </w:style>
  <w:style w:type="paragraph" w:customStyle="1" w:styleId="NormalANZICList">
    <w:name w:val="Normal + ANZIC List"/>
    <w:basedOn w:val="Normal"/>
    <w:qFormat/>
    <w:rsid w:val="00F312E2"/>
    <w:pPr>
      <w:spacing w:after="40"/>
    </w:pPr>
    <w:rPr>
      <w:sz w:val="16"/>
    </w:rPr>
  </w:style>
  <w:style w:type="paragraph" w:customStyle="1" w:styleId="NormalANZSICBold">
    <w:name w:val="Normal + ANZSIC + Bold"/>
    <w:basedOn w:val="NormalANZICList"/>
    <w:qFormat/>
    <w:rsid w:val="00F312E2"/>
    <w:rPr>
      <w:b/>
    </w:rPr>
  </w:style>
  <w:style w:type="paragraph" w:customStyle="1" w:styleId="Heading4small">
    <w:name w:val="Heading 4 small"/>
    <w:basedOn w:val="Heading4"/>
    <w:qFormat/>
    <w:rsid w:val="006906C7"/>
    <w:rPr>
      <w:sz w:val="16"/>
      <w:szCs w:val="16"/>
    </w:rPr>
  </w:style>
  <w:style w:type="paragraph" w:styleId="NormalWeb">
    <w:name w:val="Normal (Web)"/>
    <w:basedOn w:val="Normal"/>
    <w:uiPriority w:val="99"/>
    <w:unhideWhenUsed/>
    <w:rsid w:val="00FD144A"/>
    <w:pPr>
      <w:spacing w:before="100" w:beforeAutospacing="1" w:after="100" w:afterAutospacing="1"/>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FD144A"/>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FD144A"/>
    <w:rPr>
      <w:rFonts w:asciiTheme="majorHAnsi" w:eastAsiaTheme="majorEastAsia" w:hAnsiTheme="majorHAnsi" w:cstheme="majorBidi"/>
      <w:color w:val="001B35" w:themeColor="accent1"/>
      <w:spacing w:val="-10"/>
      <w:kern w:val="28"/>
      <w:sz w:val="72"/>
      <w:szCs w:val="72"/>
    </w:rPr>
  </w:style>
  <w:style w:type="paragraph" w:customStyle="1" w:styleId="NormalHeaderrow">
    <w:name w:val="Normal + Header row"/>
    <w:basedOn w:val="Normal"/>
    <w:qFormat/>
    <w:rsid w:val="00AA77DC"/>
    <w:rPr>
      <w:rFonts w:eastAsiaTheme="minorEastAsia"/>
      <w:b/>
      <w:iCs/>
      <w:color w:val="FFFFFF" w:themeColor="background1"/>
      <w:sz w:val="22"/>
    </w:rPr>
  </w:style>
  <w:style w:type="paragraph" w:styleId="TOC6">
    <w:name w:val="toc 6"/>
    <w:basedOn w:val="Normal"/>
    <w:next w:val="Normal"/>
    <w:autoRedefine/>
    <w:uiPriority w:val="39"/>
    <w:unhideWhenUsed/>
    <w:rsid w:val="009C5E0C"/>
    <w:pPr>
      <w:spacing w:before="0" w:after="0"/>
      <w:ind w:left="1000"/>
    </w:pPr>
    <w:rPr>
      <w:rFonts w:cstheme="minorHAnsi"/>
      <w:iCs/>
      <w:szCs w:val="20"/>
    </w:rPr>
  </w:style>
  <w:style w:type="paragraph" w:customStyle="1" w:styleId="definition">
    <w:name w:val="definition"/>
    <w:basedOn w:val="Normal"/>
    <w:rsid w:val="009A581D"/>
    <w:pPr>
      <w:spacing w:before="100" w:beforeAutospacing="1" w:after="100" w:afterAutospacing="1"/>
    </w:pPr>
    <w:rPr>
      <w:rFonts w:ascii="Times New Roman" w:hAnsi="Times New Roman"/>
      <w:iCs/>
      <w:sz w:val="24"/>
      <w:lang w:eastAsia="en-AU"/>
    </w:rPr>
  </w:style>
  <w:style w:type="paragraph" w:customStyle="1" w:styleId="paragraph">
    <w:name w:val="paragraph"/>
    <w:aliases w:val="a"/>
    <w:basedOn w:val="Normal"/>
    <w:rsid w:val="009A581D"/>
    <w:pPr>
      <w:spacing w:before="100" w:beforeAutospacing="1" w:after="100" w:afterAutospacing="1"/>
    </w:pPr>
    <w:rPr>
      <w:rFonts w:ascii="Times New Roman" w:hAnsi="Times New Roman"/>
      <w:iCs/>
      <w:sz w:val="24"/>
      <w:lang w:eastAsia="en-AU"/>
    </w:rPr>
  </w:style>
  <w:style w:type="character" w:customStyle="1" w:styleId="FooterChar">
    <w:name w:val="Footer Char"/>
    <w:basedOn w:val="DefaultParagraphFont"/>
    <w:link w:val="Footer"/>
    <w:uiPriority w:val="99"/>
    <w:rsid w:val="00FD144A"/>
    <w:rPr>
      <w:rFonts w:asciiTheme="minorHAnsi" w:eastAsiaTheme="minorHAnsi" w:hAnsiTheme="minorHAnsi" w:cstheme="minorBidi"/>
      <w:szCs w:val="22"/>
    </w:rPr>
  </w:style>
  <w:style w:type="character" w:styleId="BookTitle">
    <w:name w:val="Book Title"/>
    <w:basedOn w:val="DefaultParagraphFont"/>
    <w:uiPriority w:val="33"/>
    <w:qFormat/>
    <w:rsid w:val="004A1D60"/>
    <w:rPr>
      <w:b/>
      <w:bCs/>
      <w:i/>
      <w:iCs/>
      <w:spacing w:val="5"/>
    </w:rPr>
  </w:style>
  <w:style w:type="character" w:styleId="UnresolvedMention">
    <w:name w:val="Unresolved Mention"/>
    <w:basedOn w:val="DefaultParagraphFont"/>
    <w:uiPriority w:val="99"/>
    <w:semiHidden/>
    <w:unhideWhenUsed/>
    <w:rsid w:val="00FD144A"/>
    <w:rPr>
      <w:color w:val="605E5C"/>
      <w:shd w:val="clear" w:color="auto" w:fill="E1DFDD"/>
    </w:rPr>
  </w:style>
  <w:style w:type="table" w:customStyle="1" w:styleId="TableGrid1">
    <w:name w:val="Table Grid1"/>
    <w:basedOn w:val="TableNormal"/>
    <w:next w:val="TableGrid"/>
    <w:rsid w:val="008726FD"/>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27DD7"/>
    <w:pPr>
      <w:numPr>
        <w:numId w:val="18"/>
      </w:numPr>
    </w:pPr>
  </w:style>
  <w:style w:type="paragraph" w:styleId="NoSpacing">
    <w:name w:val="No Spacing"/>
    <w:link w:val="NoSpacingChar"/>
    <w:uiPriority w:val="1"/>
    <w:qFormat/>
    <w:rsid w:val="00FD144A"/>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FD144A"/>
    <w:rPr>
      <w:rFonts w:asciiTheme="minorHAnsi" w:eastAsiaTheme="minorEastAsia" w:hAnsiTheme="minorHAnsi" w:cstheme="minorBidi"/>
      <w:sz w:val="22"/>
      <w:szCs w:val="22"/>
      <w:lang w:val="en-US"/>
    </w:rPr>
  </w:style>
  <w:style w:type="paragraph" w:customStyle="1" w:styleId="pf0">
    <w:name w:val="pf0"/>
    <w:basedOn w:val="Normal"/>
    <w:rsid w:val="001523AD"/>
    <w:pPr>
      <w:spacing w:before="100" w:beforeAutospacing="1" w:after="100" w:afterAutospacing="1"/>
      <w:ind w:left="640"/>
    </w:pPr>
    <w:rPr>
      <w:rFonts w:ascii="Times New Roman" w:hAnsi="Times New Roman"/>
      <w:iCs/>
      <w:sz w:val="24"/>
      <w:lang w:eastAsia="en-AU"/>
    </w:rPr>
  </w:style>
  <w:style w:type="paragraph" w:customStyle="1" w:styleId="pf1">
    <w:name w:val="pf1"/>
    <w:basedOn w:val="Normal"/>
    <w:rsid w:val="001523AD"/>
    <w:pPr>
      <w:spacing w:before="100" w:beforeAutospacing="1" w:after="100" w:afterAutospacing="1"/>
    </w:pPr>
    <w:rPr>
      <w:rFonts w:ascii="Times New Roman" w:hAnsi="Times New Roman"/>
      <w:iCs/>
      <w:sz w:val="24"/>
      <w:lang w:eastAsia="en-AU"/>
    </w:rPr>
  </w:style>
  <w:style w:type="character" w:customStyle="1" w:styleId="cf01">
    <w:name w:val="cf01"/>
    <w:basedOn w:val="DefaultParagraphFont"/>
    <w:rsid w:val="001523AD"/>
    <w:rPr>
      <w:rFonts w:ascii="Segoe UI" w:hAnsi="Segoe UI" w:cs="Segoe UI" w:hint="default"/>
      <w:color w:val="333333"/>
      <w:sz w:val="18"/>
      <w:szCs w:val="18"/>
    </w:rPr>
  </w:style>
  <w:style w:type="character" w:customStyle="1" w:styleId="cf11">
    <w:name w:val="cf11"/>
    <w:basedOn w:val="DefaultParagraphFont"/>
    <w:rsid w:val="001523AD"/>
    <w:rPr>
      <w:rFonts w:ascii="Segoe UI" w:hAnsi="Segoe UI" w:cs="Segoe UI" w:hint="default"/>
      <w:sz w:val="18"/>
      <w:szCs w:val="18"/>
    </w:rPr>
  </w:style>
  <w:style w:type="paragraph" w:styleId="TOC7">
    <w:name w:val="toc 7"/>
    <w:basedOn w:val="Normal"/>
    <w:next w:val="Normal"/>
    <w:autoRedefine/>
    <w:unhideWhenUsed/>
    <w:rsid w:val="00E35AAE"/>
    <w:pPr>
      <w:spacing w:before="0" w:after="0"/>
      <w:ind w:left="1200"/>
    </w:pPr>
    <w:rPr>
      <w:rFonts w:cstheme="minorHAnsi"/>
      <w:iCs/>
      <w:szCs w:val="20"/>
    </w:rPr>
  </w:style>
  <w:style w:type="paragraph" w:styleId="TOC8">
    <w:name w:val="toc 8"/>
    <w:basedOn w:val="Normal"/>
    <w:next w:val="Normal"/>
    <w:autoRedefine/>
    <w:unhideWhenUsed/>
    <w:rsid w:val="00E35AAE"/>
    <w:pPr>
      <w:spacing w:before="0" w:after="0"/>
      <w:ind w:left="1400"/>
    </w:pPr>
    <w:rPr>
      <w:rFonts w:cstheme="minorHAnsi"/>
      <w:iCs/>
      <w:szCs w:val="20"/>
    </w:rPr>
  </w:style>
  <w:style w:type="paragraph" w:styleId="TOC9">
    <w:name w:val="toc 9"/>
    <w:basedOn w:val="Normal"/>
    <w:next w:val="Normal"/>
    <w:autoRedefine/>
    <w:unhideWhenUsed/>
    <w:rsid w:val="00E35AAE"/>
    <w:pPr>
      <w:spacing w:before="0" w:after="0"/>
      <w:ind w:left="1600"/>
    </w:pPr>
    <w:rPr>
      <w:rFonts w:cstheme="minorHAnsi"/>
      <w:iCs/>
      <w:szCs w:val="20"/>
    </w:rPr>
  </w:style>
  <w:style w:type="character" w:customStyle="1" w:styleId="HeaderChar">
    <w:name w:val="Header Char"/>
    <w:basedOn w:val="DefaultParagraphFont"/>
    <w:link w:val="Header"/>
    <w:uiPriority w:val="99"/>
    <w:rsid w:val="00FD144A"/>
    <w:rPr>
      <w:rFonts w:asciiTheme="minorHAnsi" w:eastAsiaTheme="minorHAnsi" w:hAnsiTheme="minorHAnsi" w:cstheme="minorBidi"/>
      <w:szCs w:val="22"/>
    </w:rPr>
  </w:style>
  <w:style w:type="table" w:customStyle="1" w:styleId="Verticaltable">
    <w:name w:val="Vertical table"/>
    <w:basedOn w:val="TableNormal"/>
    <w:uiPriority w:val="99"/>
    <w:rsid w:val="00FD144A"/>
    <w:rPr>
      <w:rFonts w:asciiTheme="minorHAnsi" w:eastAsiaTheme="minorHAnsi" w:hAnsiTheme="minorHAnsi" w:cstheme="minorBidi"/>
      <w:sz w:val="22"/>
      <w:szCs w:val="22"/>
    </w:r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paragraph" w:styleId="Subtitle">
    <w:name w:val="Subtitle"/>
    <w:basedOn w:val="Normal"/>
    <w:next w:val="Normal"/>
    <w:link w:val="SubtitleChar"/>
    <w:uiPriority w:val="11"/>
    <w:qFormat/>
    <w:rsid w:val="00FD144A"/>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FD144A"/>
    <w:rPr>
      <w:rFonts w:asciiTheme="minorHAnsi" w:eastAsiaTheme="minorEastAsia" w:hAnsiTheme="minorHAnsi" w:cstheme="minorBidi"/>
      <w:color w:val="15659B" w:themeColor="accent4"/>
      <w:sz w:val="40"/>
      <w:szCs w:val="22"/>
    </w:rPr>
  </w:style>
  <w:style w:type="paragraph" w:styleId="Quote">
    <w:name w:val="Quote"/>
    <w:basedOn w:val="Normal"/>
    <w:next w:val="Normal"/>
    <w:link w:val="QuoteChar"/>
    <w:uiPriority w:val="29"/>
    <w:qFormat/>
    <w:rsid w:val="00FD144A"/>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FD144A"/>
    <w:rPr>
      <w:rFonts w:asciiTheme="minorHAnsi" w:eastAsiaTheme="minorHAnsi" w:hAnsiTheme="minorHAnsi" w:cstheme="minorBidi"/>
      <w:iCs/>
      <w:color w:val="000000" w:themeColor="text1"/>
      <w:sz w:val="22"/>
      <w:szCs w:val="24"/>
    </w:rPr>
  </w:style>
  <w:style w:type="table" w:styleId="PlainTable2">
    <w:name w:val="Plain Table 2"/>
    <w:basedOn w:val="TableNormal"/>
    <w:uiPriority w:val="42"/>
    <w:rsid w:val="00FD144A"/>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D144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FD144A"/>
    <w:rPr>
      <w:b/>
      <w:iCs/>
      <w:szCs w:val="18"/>
    </w:rPr>
  </w:style>
  <w:style w:type="character" w:styleId="PlaceholderText">
    <w:name w:val="Placeholder Text"/>
    <w:basedOn w:val="DefaultParagraphFont"/>
    <w:uiPriority w:val="99"/>
    <w:semiHidden/>
    <w:rsid w:val="00FD144A"/>
    <w:rPr>
      <w:color w:val="808080"/>
    </w:rPr>
  </w:style>
  <w:style w:type="paragraph" w:customStyle="1" w:styleId="Address">
    <w:name w:val="Address"/>
    <w:basedOn w:val="Subtitle"/>
    <w:qFormat/>
    <w:rsid w:val="00FD144A"/>
    <w:pPr>
      <w:spacing w:after="0"/>
    </w:pPr>
    <w:rPr>
      <w:sz w:val="24"/>
    </w:rPr>
  </w:style>
  <w:style w:type="table" w:styleId="ListTable3-Accent2">
    <w:name w:val="List Table 3 Accent 2"/>
    <w:basedOn w:val="TableNormal"/>
    <w:uiPriority w:val="48"/>
    <w:rsid w:val="00FD144A"/>
    <w:rPr>
      <w:rFonts w:asciiTheme="minorHAnsi" w:eastAsiaTheme="minorHAnsi" w:hAnsiTheme="minorHAnsi" w:cstheme="minorBidi"/>
      <w:sz w:val="22"/>
      <w:szCs w:val="22"/>
    </w:r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FD144A"/>
    <w:rPr>
      <w:rFonts w:asciiTheme="minorHAnsi" w:eastAsiaTheme="minorHAnsi" w:hAnsiTheme="minorHAnsi" w:cstheme="minorBidi"/>
      <w:sz w:val="22"/>
      <w:szCs w:val="22"/>
    </w:r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FD144A"/>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FD144A"/>
    <w:rPr>
      <w:rFonts w:asciiTheme="minorHAnsi" w:eastAsiaTheme="minorHAnsi" w:hAnsiTheme="minorHAnsi" w:cstheme="minorBidi"/>
      <w:b/>
      <w:iCs/>
      <w:sz w:val="24"/>
      <w:szCs w:val="22"/>
    </w:rPr>
  </w:style>
  <w:style w:type="paragraph" w:customStyle="1" w:styleId="Calloutbox">
    <w:name w:val="Call out box"/>
    <w:basedOn w:val="Normal"/>
    <w:qFormat/>
    <w:rsid w:val="00FD144A"/>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table" w:styleId="GridTable4-Accent2">
    <w:name w:val="Grid Table 4 Accent 2"/>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FD144A"/>
    <w:rPr>
      <w:rFonts w:asciiTheme="minorHAnsi" w:eastAsiaTheme="minorHAnsi" w:hAnsiTheme="minorHAnsi" w:cstheme="minorBidi"/>
      <w:sz w:val="22"/>
      <w:szCs w:val="22"/>
    </w:r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FD144A"/>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FD144A"/>
    <w:rPr>
      <w:szCs w:val="40"/>
    </w:rPr>
  </w:style>
  <w:style w:type="character" w:customStyle="1" w:styleId="AuthoranddateChar">
    <w:name w:val="Author and date Char"/>
    <w:basedOn w:val="SubtitleChar"/>
    <w:link w:val="Authoranddate"/>
    <w:rsid w:val="00FD144A"/>
    <w:rPr>
      <w:rFonts w:asciiTheme="minorHAnsi" w:eastAsiaTheme="minorEastAsia" w:hAnsiTheme="minorHAnsi" w:cstheme="minorBidi"/>
      <w:color w:val="15659B" w:themeColor="accent4"/>
      <w:sz w:val="40"/>
      <w:szCs w:val="40"/>
    </w:rPr>
  </w:style>
  <w:style w:type="character" w:customStyle="1" w:styleId="Heading7Char">
    <w:name w:val="Heading 7 Char"/>
    <w:basedOn w:val="DefaultParagraphFont"/>
    <w:link w:val="Heading7"/>
    <w:uiPriority w:val="9"/>
    <w:rsid w:val="00FD144A"/>
    <w:rPr>
      <w:rFonts w:asciiTheme="majorHAnsi" w:eastAsiaTheme="majorEastAsia" w:hAnsiTheme="majorHAnsi" w:cstheme="majorBidi"/>
      <w:b/>
      <w:iCs/>
      <w:color w:val="001B35" w:themeColor="accent1"/>
      <w:sz w:val="22"/>
      <w:szCs w:val="22"/>
    </w:rPr>
  </w:style>
  <w:style w:type="table" w:styleId="GridTable4">
    <w:name w:val="Grid Table 4"/>
    <w:basedOn w:val="TableNormal"/>
    <w:uiPriority w:val="49"/>
    <w:rsid w:val="00FD144A"/>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FD144A"/>
    <w:rPr>
      <w:rFonts w:asciiTheme="minorHAnsi" w:eastAsiaTheme="minorHAnsi" w:hAnsiTheme="minorHAnsi" w:cstheme="minorBidi"/>
      <w:sz w:val="22"/>
      <w:szCs w:val="22"/>
    </w:r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character" w:customStyle="1" w:styleId="Heading8Char">
    <w:name w:val="Heading 8 Char"/>
    <w:basedOn w:val="DefaultParagraphFont"/>
    <w:link w:val="Heading8"/>
    <w:uiPriority w:val="9"/>
    <w:rsid w:val="00FD144A"/>
    <w:rPr>
      <w:rFonts w:asciiTheme="majorHAnsi" w:eastAsiaTheme="majorEastAsia" w:hAnsiTheme="majorHAnsi" w:cstheme="majorBidi"/>
      <w:color w:val="272727" w:themeColor="text1" w:themeTint="D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8238">
      <w:bodyDiv w:val="1"/>
      <w:marLeft w:val="0"/>
      <w:marRight w:val="0"/>
      <w:marTop w:val="0"/>
      <w:marBottom w:val="0"/>
      <w:divBdr>
        <w:top w:val="none" w:sz="0" w:space="0" w:color="auto"/>
        <w:left w:val="none" w:sz="0" w:space="0" w:color="auto"/>
        <w:bottom w:val="none" w:sz="0" w:space="0" w:color="auto"/>
        <w:right w:val="none" w:sz="0" w:space="0" w:color="auto"/>
      </w:divBdr>
    </w:div>
    <w:div w:id="212622263">
      <w:bodyDiv w:val="1"/>
      <w:marLeft w:val="0"/>
      <w:marRight w:val="0"/>
      <w:marTop w:val="0"/>
      <w:marBottom w:val="0"/>
      <w:divBdr>
        <w:top w:val="none" w:sz="0" w:space="0" w:color="auto"/>
        <w:left w:val="none" w:sz="0" w:space="0" w:color="auto"/>
        <w:bottom w:val="none" w:sz="0" w:space="0" w:color="auto"/>
        <w:right w:val="none" w:sz="0" w:space="0" w:color="auto"/>
      </w:divBdr>
    </w:div>
    <w:div w:id="330641732">
      <w:bodyDiv w:val="1"/>
      <w:marLeft w:val="0"/>
      <w:marRight w:val="0"/>
      <w:marTop w:val="0"/>
      <w:marBottom w:val="0"/>
      <w:divBdr>
        <w:top w:val="none" w:sz="0" w:space="0" w:color="auto"/>
        <w:left w:val="none" w:sz="0" w:space="0" w:color="auto"/>
        <w:bottom w:val="none" w:sz="0" w:space="0" w:color="auto"/>
        <w:right w:val="none" w:sz="0" w:space="0" w:color="auto"/>
      </w:divBdr>
    </w:div>
    <w:div w:id="493423838">
      <w:bodyDiv w:val="1"/>
      <w:marLeft w:val="0"/>
      <w:marRight w:val="0"/>
      <w:marTop w:val="0"/>
      <w:marBottom w:val="0"/>
      <w:divBdr>
        <w:top w:val="none" w:sz="0" w:space="0" w:color="auto"/>
        <w:left w:val="none" w:sz="0" w:space="0" w:color="auto"/>
        <w:bottom w:val="none" w:sz="0" w:space="0" w:color="auto"/>
        <w:right w:val="none" w:sz="0" w:space="0" w:color="auto"/>
      </w:divBdr>
    </w:div>
    <w:div w:id="609318061">
      <w:bodyDiv w:val="1"/>
      <w:marLeft w:val="0"/>
      <w:marRight w:val="0"/>
      <w:marTop w:val="0"/>
      <w:marBottom w:val="0"/>
      <w:divBdr>
        <w:top w:val="none" w:sz="0" w:space="0" w:color="auto"/>
        <w:left w:val="none" w:sz="0" w:space="0" w:color="auto"/>
        <w:bottom w:val="none" w:sz="0" w:space="0" w:color="auto"/>
        <w:right w:val="none" w:sz="0" w:space="0" w:color="auto"/>
      </w:divBdr>
    </w:div>
    <w:div w:id="646587102">
      <w:bodyDiv w:val="1"/>
      <w:marLeft w:val="0"/>
      <w:marRight w:val="0"/>
      <w:marTop w:val="0"/>
      <w:marBottom w:val="0"/>
      <w:divBdr>
        <w:top w:val="none" w:sz="0" w:space="0" w:color="auto"/>
        <w:left w:val="none" w:sz="0" w:space="0" w:color="auto"/>
        <w:bottom w:val="none" w:sz="0" w:space="0" w:color="auto"/>
        <w:right w:val="none" w:sz="0" w:space="0" w:color="auto"/>
      </w:divBdr>
    </w:div>
    <w:div w:id="809059692">
      <w:bodyDiv w:val="1"/>
      <w:marLeft w:val="0"/>
      <w:marRight w:val="0"/>
      <w:marTop w:val="0"/>
      <w:marBottom w:val="0"/>
      <w:divBdr>
        <w:top w:val="none" w:sz="0" w:space="0" w:color="auto"/>
        <w:left w:val="none" w:sz="0" w:space="0" w:color="auto"/>
        <w:bottom w:val="none" w:sz="0" w:space="0" w:color="auto"/>
        <w:right w:val="none" w:sz="0" w:space="0" w:color="auto"/>
      </w:divBdr>
    </w:div>
    <w:div w:id="96554565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136548">
      <w:bodyDiv w:val="1"/>
      <w:marLeft w:val="0"/>
      <w:marRight w:val="0"/>
      <w:marTop w:val="0"/>
      <w:marBottom w:val="0"/>
      <w:divBdr>
        <w:top w:val="none" w:sz="0" w:space="0" w:color="auto"/>
        <w:left w:val="none" w:sz="0" w:space="0" w:color="auto"/>
        <w:bottom w:val="none" w:sz="0" w:space="0" w:color="auto"/>
        <w:right w:val="none" w:sz="0" w:space="0" w:color="auto"/>
      </w:divBdr>
    </w:div>
    <w:div w:id="1050616031">
      <w:bodyDiv w:val="1"/>
      <w:marLeft w:val="0"/>
      <w:marRight w:val="0"/>
      <w:marTop w:val="0"/>
      <w:marBottom w:val="0"/>
      <w:divBdr>
        <w:top w:val="none" w:sz="0" w:space="0" w:color="auto"/>
        <w:left w:val="none" w:sz="0" w:space="0" w:color="auto"/>
        <w:bottom w:val="none" w:sz="0" w:space="0" w:color="auto"/>
        <w:right w:val="none" w:sz="0" w:space="0" w:color="auto"/>
      </w:divBdr>
    </w:div>
    <w:div w:id="1102720774">
      <w:bodyDiv w:val="1"/>
      <w:marLeft w:val="0"/>
      <w:marRight w:val="0"/>
      <w:marTop w:val="0"/>
      <w:marBottom w:val="0"/>
      <w:divBdr>
        <w:top w:val="none" w:sz="0" w:space="0" w:color="auto"/>
        <w:left w:val="none" w:sz="0" w:space="0" w:color="auto"/>
        <w:bottom w:val="none" w:sz="0" w:space="0" w:color="auto"/>
        <w:right w:val="none" w:sz="0" w:space="0" w:color="auto"/>
      </w:divBdr>
    </w:div>
    <w:div w:id="1193956904">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41467434">
      <w:bodyDiv w:val="1"/>
      <w:marLeft w:val="0"/>
      <w:marRight w:val="0"/>
      <w:marTop w:val="0"/>
      <w:marBottom w:val="0"/>
      <w:divBdr>
        <w:top w:val="none" w:sz="0" w:space="0" w:color="auto"/>
        <w:left w:val="none" w:sz="0" w:space="0" w:color="auto"/>
        <w:bottom w:val="none" w:sz="0" w:space="0" w:color="auto"/>
        <w:right w:val="none" w:sz="0" w:space="0" w:color="auto"/>
      </w:divBdr>
    </w:div>
    <w:div w:id="1383942101">
      <w:bodyDiv w:val="1"/>
      <w:marLeft w:val="0"/>
      <w:marRight w:val="0"/>
      <w:marTop w:val="0"/>
      <w:marBottom w:val="0"/>
      <w:divBdr>
        <w:top w:val="none" w:sz="0" w:space="0" w:color="auto"/>
        <w:left w:val="none" w:sz="0" w:space="0" w:color="auto"/>
        <w:bottom w:val="none" w:sz="0" w:space="0" w:color="auto"/>
        <w:right w:val="none" w:sz="0" w:space="0" w:color="auto"/>
      </w:divBdr>
    </w:div>
    <w:div w:id="138505787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7329209">
      <w:bodyDiv w:val="1"/>
      <w:marLeft w:val="0"/>
      <w:marRight w:val="0"/>
      <w:marTop w:val="0"/>
      <w:marBottom w:val="0"/>
      <w:divBdr>
        <w:top w:val="none" w:sz="0" w:space="0" w:color="auto"/>
        <w:left w:val="none" w:sz="0" w:space="0" w:color="auto"/>
        <w:bottom w:val="none" w:sz="0" w:space="0" w:color="auto"/>
        <w:right w:val="none" w:sz="0" w:space="0" w:color="auto"/>
      </w:divBdr>
    </w:div>
    <w:div w:id="1859125907">
      <w:bodyDiv w:val="1"/>
      <w:marLeft w:val="0"/>
      <w:marRight w:val="0"/>
      <w:marTop w:val="0"/>
      <w:marBottom w:val="0"/>
      <w:divBdr>
        <w:top w:val="none" w:sz="0" w:space="0" w:color="auto"/>
        <w:left w:val="none" w:sz="0" w:space="0" w:color="auto"/>
        <w:bottom w:val="none" w:sz="0" w:space="0" w:color="auto"/>
        <w:right w:val="none" w:sz="0" w:space="0" w:color="auto"/>
      </w:divBdr>
    </w:div>
    <w:div w:id="2109959693">
      <w:bodyDiv w:val="1"/>
      <w:marLeft w:val="0"/>
      <w:marRight w:val="0"/>
      <w:marTop w:val="0"/>
      <w:marBottom w:val="0"/>
      <w:divBdr>
        <w:top w:val="none" w:sz="0" w:space="0" w:color="auto"/>
        <w:left w:val="none" w:sz="0" w:space="0" w:color="auto"/>
        <w:bottom w:val="none" w:sz="0" w:space="0" w:color="auto"/>
        <w:right w:val="none" w:sz="0" w:space="0" w:color="auto"/>
      </w:divBdr>
    </w:div>
    <w:div w:id="21261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lation.gov.au/Details/F2018L01372" TargetMode="External"/><Relationship Id="rId26" Type="http://schemas.openxmlformats.org/officeDocument/2006/relationships/hyperlink" Target="https://business.gov.au/-/media/grants-and-programs/tradex/tradex-scheme-review-of-decision-request-form-pdf.pdf?sc_lang=en&amp;hash=DB6CCBB6DC5F3CF7B4AF9F6E9158B7AC" TargetMode="External"/><Relationship Id="rId39" Type="http://schemas.openxmlformats.org/officeDocument/2006/relationships/hyperlink" Target="http://www.business.gov.au/" TargetMode="External"/><Relationship Id="rId21" Type="http://schemas.openxmlformats.org/officeDocument/2006/relationships/hyperlink" Target="mailto:tradex@industry.gov.au" TargetMode="External"/><Relationship Id="rId34" Type="http://schemas.openxmlformats.org/officeDocument/2006/relationships/hyperlink" Target="https://www.industry.gov.au/sites/g/files/net3906/f/July%202018/document/pdf/conflict-of-interest-and-insider-trading-policy.pdf"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www.abf.gov.au/help-and-support-subsite/CustomsNotices/2021-20.pdf" TargetMode="External"/><Relationship Id="rId29" Type="http://schemas.openxmlformats.org/officeDocument/2006/relationships/hyperlink" Target="https://business.gov.au/-/media/grants-and-programs/tradex/tradex-scheme-duty-liability-and-payment-form-pdf.ashx?sc_lang=en&amp;hash=6EFA8C5CA5525E59BD0BA925617A9D4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radex@industry.gov.au" TargetMode="External"/><Relationship Id="rId32" Type="http://schemas.openxmlformats.org/officeDocument/2006/relationships/hyperlink" Target="mailto:tradex@industry.gov.au"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23" Type="http://schemas.openxmlformats.org/officeDocument/2006/relationships/hyperlink" Target="https://www.abf.gov.au/" TargetMode="External"/><Relationship Id="rId28" Type="http://schemas.openxmlformats.org/officeDocument/2006/relationships/hyperlink" Target="mailto:Tradex@industry.gov.au" TargetMode="External"/><Relationship Id="rId36" Type="http://schemas.openxmlformats.org/officeDocument/2006/relationships/hyperlink" Target="https://www.business.gov.au/contact-us" TargetMode="External"/><Relationship Id="rId10" Type="http://schemas.openxmlformats.org/officeDocument/2006/relationships/webSettings" Target="webSettings.xml"/><Relationship Id="rId19" Type="http://schemas.openxmlformats.org/officeDocument/2006/relationships/hyperlink" Target="mailto:tradex@industry.gov.au" TargetMode="External"/><Relationship Id="rId31" Type="http://schemas.openxmlformats.org/officeDocument/2006/relationships/hyperlink" Target="https://business.gov.au/-/media/grants-and-programs/tradex/tradex-scheme-application-for-variation-of-tradex-order-word.docx?sc_lang=en&amp;hash=CDB02132E7BE421DF320B6B31716464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abf.gov.au/importing-exporting-and-manufacturing/tariff-classification/current-tariff/schedule-3" TargetMode="External"/><Relationship Id="rId27" Type="http://schemas.openxmlformats.org/officeDocument/2006/relationships/hyperlink" Target="https://www.art.gov.au/" TargetMode="External"/><Relationship Id="rId30" Type="http://schemas.openxmlformats.org/officeDocument/2006/relationships/hyperlink" Target="mailto:tradex@industry.gov.au" TargetMode="External"/><Relationship Id="rId35" Type="http://schemas.openxmlformats.org/officeDocument/2006/relationships/hyperlink" Target="https://www.industry.gov.au/data-and-publications/privacy-policy"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au/Details/C2017C00053" TargetMode="External"/><Relationship Id="rId25" Type="http://schemas.openxmlformats.org/officeDocument/2006/relationships/hyperlink" Target="file://prod.protected.ind/User/user06/CCole/desktop/tradex@industry.gov.au" TargetMode="External"/><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business.gov.au/about/customer-service-char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g.gov.au/integrity/publications/fraud-control-policy" TargetMode="External"/><Relationship Id="rId2" Type="http://schemas.openxmlformats.org/officeDocument/2006/relationships/hyperlink" Target="https://www.anao.gov.au/" TargetMode="External"/><Relationship Id="rId1" Type="http://schemas.openxmlformats.org/officeDocument/2006/relationships/hyperlink" Target="https://www.gold.org/" TargetMode="External"/><Relationship Id="rId6" Type="http://schemas.openxmlformats.org/officeDocument/2006/relationships/hyperlink" Target="http://www.ombudsman.gov.au/"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report.dotx" TargetMode="External"/></Relationships>
</file>

<file path=word/theme/theme1.xml><?xml version="1.0" encoding="utf-8"?>
<a:theme xmlns:a="http://schemas.openxmlformats.org/drawingml/2006/main" name="Office Theme">
  <a:themeElements>
    <a:clrScheme name="DISR Corporate">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corporate">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Customer Information Guide Update</TermName>
          <TermId xmlns="http://schemas.microsoft.com/office/infopath/2007/PartnerControls">ca2918d4-409c-404d-b7fa-f919555aee6f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97</Value>
      <Value>1411</Value>
      <Value>3</Value>
      <Value>47482</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f42a5d77-63fb-4900-9351-73f828a02bbd</TermId>
        </TermInfo>
      </Terms>
    </g7bcb40ba23249a78edca7d43a67c1c9>
    <Comments xmlns="http://schemas.microsoft.com/sharepoint/v3">Include comments from Alision on 13 Sep 2022, approved by Mark Wright 13 Sep 2022.</Comments>
    <_dlc_DocId xmlns="2a251b7e-61e4-4816-a71f-b295a9ad20fb">YZXQVS7QACYM-314329265-216</_dlc_DocId>
    <_dlc_DocIdUrl xmlns="2a251b7e-61e4-4816-a71f-b295a9ad20fb">
      <Url>https://dochub/div/ausindustry/programmesprojectstaskforces/tradex/_layouts/15/DocIdRedir.aspx?ID=YZXQVS7QACYM-314329265-216</Url>
      <Description>YZXQVS7QACYM-314329265-216</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39305D601F542B7B1E9779F613A80" ma:contentTypeVersion="14" ma:contentTypeDescription="Create a new document." ma:contentTypeScope="" ma:versionID="ab78aaeeccb7f15edfd9505cb4b56d3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009c3790e9174d8cbc8495d09560af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www.w3.org/XML/1998/namespace"/>
    <ds:schemaRef ds:uri="2a251b7e-61e4-4816-a71f-b295a9ad20fb"/>
    <ds:schemaRef ds:uri="http://purl.org/dc/elements/1.1/"/>
    <ds:schemaRef ds:uri="http://schemas.microsoft.com/office/infopath/2007/PartnerControls"/>
    <ds:schemaRef ds:uri="http://purl.org/dc/terms/"/>
    <ds:schemaRef ds:uri="http://schemas.microsoft.com/sharepoint/v4"/>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9B6CA6-55EC-418E-8136-5AD637E15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A075C-FDC5-468E-A541-32A5E304B8A3}">
  <ds:schemaRefs>
    <ds:schemaRef ds:uri="http://schemas.microsoft.com/sharepoint/events"/>
  </ds:schemaRefs>
</ds:datastoreItem>
</file>

<file path=customXml/itemProps5.xml><?xml version="1.0" encoding="utf-8"?>
<ds:datastoreItem xmlns:ds="http://schemas.openxmlformats.org/officeDocument/2006/customXml" ds:itemID="{788F003F-E3B3-42CD-9D12-BC79ACC4ED3E}">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DISR-report</Template>
  <TotalTime>16</TotalTime>
  <Pages>23</Pages>
  <Words>7458</Words>
  <Characters>40052</Characters>
  <DocSecurity>0</DocSecurity>
  <Lines>852</Lines>
  <Paragraphs>572</Paragraphs>
  <ScaleCrop>false</ScaleCrop>
  <HeadingPairs>
    <vt:vector size="2" baseType="variant">
      <vt:variant>
        <vt:lpstr>Title</vt:lpstr>
      </vt:variant>
      <vt:variant>
        <vt:i4>1</vt:i4>
      </vt:variant>
    </vt:vector>
  </HeadingPairs>
  <TitlesOfParts>
    <vt:vector size="1" baseType="lpstr">
      <vt:lpstr>Tradex Scheme Policy and Administrative Guidelines</vt:lpstr>
    </vt:vector>
  </TitlesOfParts>
  <LinksUpToDate>false</LinksUpToDate>
  <CharactersWithSpaces>46938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Tradex Scheme Policy and Administrative Guidelines</dc:title>
  <dc:subject/>
  <cp:keywords/>
  <dc:description/>
  <cp:lastPrinted>2025-02-19T03:11:00Z</cp:lastPrinted>
  <dcterms:created xsi:type="dcterms:W3CDTF">2025-02-17T04:13:00Z</dcterms:created>
  <dcterms:modified xsi:type="dcterms:W3CDTF">2025-02-19T03:11:00Z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0x0101006CB39305D601F542B7B1E9779F613A80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ategories">
    <vt:lpwstr/>
  </property>
  <property fmtid="{D5CDD505-2E9C-101B-9397-08002B2CF9AE}" pid="13" name="Approval Level">
    <vt:lpwstr/>
  </property>
  <property fmtid="{D5CDD505-2E9C-101B-9397-08002B2CF9AE}" pid="14" name="_NewReviewCycle">
    <vt:lpwstr/>
  </property>
  <property fmtid="{D5CDD505-2E9C-101B-9397-08002B2CF9AE}" pid="15" name="Assigned To">
    <vt:lpwstr/>
  </property>
  <property fmtid="{D5CDD505-2E9C-101B-9397-08002B2CF9AE}" pid="16" name="DocHub_Year">
    <vt:lpwstr>36882;#2022|4a777a70-2aa9-481e-a746-cca47d761c8e</vt:lpwstr>
  </property>
  <property fmtid="{D5CDD505-2E9C-101B-9397-08002B2CF9AE}" pid="17" name="DocHub_DocumentType">
    <vt:lpwstr>1411;#Guide|a4ca7698-9492-435d-8c80-0e92d5f30f1b</vt:lpwstr>
  </property>
  <property fmtid="{D5CDD505-2E9C-101B-9397-08002B2CF9AE}" pid="18" name="DocHub_SecurityClassification">
    <vt:lpwstr>3;#OFFICIAL|6106d03b-a1a0-4e30-9d91-d5e9fb4314f9</vt:lpwstr>
  </property>
  <property fmtid="{D5CDD505-2E9C-101B-9397-08002B2CF9AE}" pid="19" name="DocHub_WorkActivity">
    <vt:lpwstr>97;#Governance|f42a5d77-63fb-4900-9351-73f828a02bbd</vt:lpwstr>
  </property>
  <property fmtid="{D5CDD505-2E9C-101B-9397-08002B2CF9AE}" pid="20" name="DocHub_Keywords">
    <vt:lpwstr>47482;#Customer Information Guide Update|ca2918d4-409c-404d-b7fa-f919555aee6f</vt:lpwstr>
  </property>
  <property fmtid="{D5CDD505-2E9C-101B-9397-08002B2CF9AE}" pid="21" name="_dlc_DocIdItemGuid">
    <vt:lpwstr>5edc6a44-ee09-4dfc-b518-aa20c4e5c225</vt:lpwstr>
  </property>
  <property fmtid="{D5CDD505-2E9C-101B-9397-08002B2CF9AE}" pid="22" name="_CopySource">
    <vt:lpwstr/>
  </property>
</Properties>
</file>