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7C2D" w14:textId="08D02313" w:rsidR="00D21CB2" w:rsidRDefault="2568BD0C" w:rsidP="009961F4">
      <w:bookmarkStart w:id="0" w:name="_Toc112760000"/>
      <w:bookmarkStart w:id="1" w:name="_Toc113959045"/>
      <w:r>
        <w:t xml:space="preserve">   </w:t>
      </w:r>
      <w:r w:rsidR="009961F4">
        <w:rPr>
          <w:noProof/>
        </w:rPr>
        <w:drawing>
          <wp:inline distT="0" distB="0" distL="0" distR="0" wp14:anchorId="2AD252CB" wp14:editId="6E15B9AD">
            <wp:extent cx="2742841" cy="780415"/>
            <wp:effectExtent l="0" t="0" r="635" b="635"/>
            <wp:docPr id="1" name="Picture 1" descr="De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176" cy="791607"/>
                    </a:xfrm>
                    <a:prstGeom prst="rect">
                      <a:avLst/>
                    </a:prstGeom>
                    <a:noFill/>
                    <a:ln>
                      <a:noFill/>
                    </a:ln>
                  </pic:spPr>
                </pic:pic>
              </a:graphicData>
            </a:graphic>
          </wp:inline>
        </w:drawing>
      </w:r>
      <w:r w:rsidR="009961F4">
        <w:rPr>
          <w:noProof/>
        </w:rPr>
        <mc:AlternateContent>
          <mc:Choice Requires="wps">
            <w:drawing>
              <wp:inline distT="0" distB="0" distL="0" distR="0" wp14:anchorId="249C8AF6" wp14:editId="24CEE854">
                <wp:extent cx="304800" cy="304800"/>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4109B" id="Rectangle 2" o:spid="_x0000_s1026" alt="&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bookmarkEnd w:id="0"/>
      <w:bookmarkEnd w:id="1"/>
    </w:p>
    <w:p w14:paraId="685A241B" w14:textId="77777777" w:rsidR="00261CF3" w:rsidRDefault="00261CF3" w:rsidP="00261CF3">
      <w:pPr>
        <w:spacing w:after="0" w:line="240" w:lineRule="auto"/>
        <w:rPr>
          <w:rFonts w:cstheme="minorHAnsi"/>
          <w:b/>
          <w:bCs/>
          <w:sz w:val="23"/>
          <w:szCs w:val="23"/>
        </w:rPr>
      </w:pPr>
    </w:p>
    <w:p w14:paraId="0720749A" w14:textId="6952D82B" w:rsidR="00C1093B" w:rsidRPr="009961F4" w:rsidRDefault="00C1093B" w:rsidP="27CC6BBE">
      <w:pPr>
        <w:spacing w:after="0" w:line="240" w:lineRule="auto"/>
        <w:rPr>
          <w:rFonts w:ascii="Aptos" w:eastAsia="Aptos" w:hAnsi="Aptos" w:cs="Aptos"/>
          <w:b/>
          <w:bCs/>
        </w:rPr>
      </w:pPr>
      <w:r w:rsidRPr="43D4E53E">
        <w:rPr>
          <w:rFonts w:ascii="Aptos" w:eastAsia="Aptos" w:hAnsi="Aptos" w:cs="Aptos"/>
          <w:b/>
          <w:bCs/>
        </w:rPr>
        <w:t>Guidelines for Use of Tradex Order in Relation to the Importation of Oak Wine Barrels, Staves, Chips or Powder (effective from 1 July 202</w:t>
      </w:r>
      <w:r w:rsidR="3886A223" w:rsidRPr="43D4E53E">
        <w:rPr>
          <w:rFonts w:ascii="Aptos" w:eastAsia="Aptos" w:hAnsi="Aptos" w:cs="Aptos"/>
          <w:b/>
          <w:bCs/>
        </w:rPr>
        <w:t>5</w:t>
      </w:r>
      <w:r w:rsidRPr="43D4E53E">
        <w:rPr>
          <w:rFonts w:ascii="Aptos" w:eastAsia="Aptos" w:hAnsi="Aptos" w:cs="Aptos"/>
          <w:b/>
          <w:bCs/>
        </w:rPr>
        <w:t xml:space="preserve">) </w:t>
      </w:r>
    </w:p>
    <w:p w14:paraId="1BFD5C81" w14:textId="77777777" w:rsidR="00033CCE" w:rsidRPr="00DC2EB3" w:rsidRDefault="00033CCE" w:rsidP="27CC6BBE">
      <w:pPr>
        <w:spacing w:after="0" w:line="240" w:lineRule="auto"/>
        <w:rPr>
          <w:rFonts w:ascii="Aptos" w:eastAsia="Aptos" w:hAnsi="Aptos" w:cs="Aptos"/>
          <w:b/>
          <w:bCs/>
        </w:rPr>
      </w:pPr>
    </w:p>
    <w:p w14:paraId="5ACACB33" w14:textId="07512715" w:rsidR="00D46376" w:rsidRPr="00DC2EB3" w:rsidRDefault="00C1093B" w:rsidP="27CC6BBE">
      <w:pPr>
        <w:pStyle w:val="ListParagraph"/>
        <w:numPr>
          <w:ilvl w:val="0"/>
          <w:numId w:val="1"/>
        </w:numPr>
        <w:spacing w:after="0" w:line="240" w:lineRule="auto"/>
        <w:ind w:left="284" w:hanging="284"/>
        <w:rPr>
          <w:rFonts w:ascii="Aptos" w:eastAsia="Aptos" w:hAnsi="Aptos" w:cs="Aptos"/>
        </w:rPr>
      </w:pPr>
      <w:r w:rsidRPr="27CC6BBE">
        <w:rPr>
          <w:rFonts w:ascii="Aptos" w:eastAsia="Aptos" w:hAnsi="Aptos" w:cs="Aptos"/>
        </w:rPr>
        <w:t xml:space="preserve">An importer may apply for a Tradex Order, and continue to hold that Order, providing the importer supplies at least one imported barrel or quantity of staves, chips or powder to at least one wine maker who has a history of exporting wine oaked from imported barrels, staves, chips or powder or genuinely intends to produce oaked wine that will be exported from imported barrels (or staves/chips/powder) in any twelve month period commencing 1 July each year. If the importer is a wine maker and utilises the barrel, staves, chips or powder themselves, there must similarly be a history of exporting oaked wine or there must be a genuine intention to produce oaked wine that will be exported from imported barrels, staves, </w:t>
      </w:r>
      <w:r w:rsidR="00692EC6" w:rsidRPr="27CC6BBE">
        <w:rPr>
          <w:rFonts w:ascii="Aptos" w:eastAsia="Aptos" w:hAnsi="Aptos" w:cs="Aptos"/>
        </w:rPr>
        <w:t>chips,</w:t>
      </w:r>
      <w:r w:rsidRPr="27CC6BBE">
        <w:rPr>
          <w:rFonts w:ascii="Aptos" w:eastAsia="Aptos" w:hAnsi="Aptos" w:cs="Aptos"/>
        </w:rPr>
        <w:t xml:space="preserve"> or powder in any </w:t>
      </w:r>
      <w:r w:rsidR="00251CA1" w:rsidRPr="27CC6BBE">
        <w:rPr>
          <w:rFonts w:ascii="Aptos" w:eastAsia="Aptos" w:hAnsi="Aptos" w:cs="Aptos"/>
        </w:rPr>
        <w:t>twelve-month</w:t>
      </w:r>
      <w:r w:rsidRPr="27CC6BBE">
        <w:rPr>
          <w:rFonts w:ascii="Aptos" w:eastAsia="Aptos" w:hAnsi="Aptos" w:cs="Aptos"/>
        </w:rPr>
        <w:t xml:space="preserve"> period commencing 1 July each year. This will be known as the “</w:t>
      </w:r>
      <w:r w:rsidRPr="27CC6BBE">
        <w:rPr>
          <w:rFonts w:ascii="Aptos" w:eastAsia="Aptos" w:hAnsi="Aptos" w:cs="Aptos"/>
          <w:b/>
          <w:bCs/>
        </w:rPr>
        <w:t>Intent to Export Test”.</w:t>
      </w:r>
      <w:r w:rsidRPr="27CC6BBE">
        <w:rPr>
          <w:rFonts w:ascii="Aptos" w:eastAsia="Aptos" w:hAnsi="Aptos" w:cs="Aptos"/>
        </w:rPr>
        <w:t xml:space="preserve"> </w:t>
      </w:r>
    </w:p>
    <w:p w14:paraId="5D4E3F49" w14:textId="77777777" w:rsidR="00261CF3" w:rsidRPr="00DC2EB3" w:rsidRDefault="00261CF3" w:rsidP="27CC6BBE">
      <w:pPr>
        <w:pStyle w:val="ListParagraph"/>
        <w:spacing w:after="0" w:line="240" w:lineRule="auto"/>
        <w:ind w:left="284"/>
        <w:rPr>
          <w:rFonts w:ascii="Aptos" w:eastAsia="Aptos" w:hAnsi="Aptos" w:cs="Aptos"/>
        </w:rPr>
      </w:pPr>
    </w:p>
    <w:p w14:paraId="2FA56273" w14:textId="32662D72" w:rsidR="00261CF3" w:rsidRPr="00DC2EB3" w:rsidRDefault="00C1093B" w:rsidP="27CC6BBE">
      <w:pPr>
        <w:pStyle w:val="ListParagraph"/>
        <w:numPr>
          <w:ilvl w:val="0"/>
          <w:numId w:val="1"/>
        </w:numPr>
        <w:spacing w:after="0" w:line="240" w:lineRule="auto"/>
        <w:ind w:left="284" w:hanging="284"/>
        <w:rPr>
          <w:rFonts w:ascii="Aptos" w:eastAsia="Aptos" w:hAnsi="Aptos" w:cs="Aptos"/>
        </w:rPr>
      </w:pPr>
      <w:r w:rsidRPr="27CC6BBE">
        <w:rPr>
          <w:rFonts w:ascii="Aptos" w:eastAsia="Aptos" w:hAnsi="Aptos" w:cs="Aptos"/>
        </w:rPr>
        <w:t xml:space="preserve">In each financial year commencing 1 July, the Department of Industry, Science and Resources (the </w:t>
      </w:r>
      <w:r w:rsidR="00692EC6" w:rsidRPr="27CC6BBE">
        <w:rPr>
          <w:rFonts w:ascii="Aptos" w:eastAsia="Aptos" w:hAnsi="Aptos" w:cs="Aptos"/>
        </w:rPr>
        <w:t>d</w:t>
      </w:r>
      <w:r w:rsidRPr="27CC6BBE">
        <w:rPr>
          <w:rFonts w:ascii="Aptos" w:eastAsia="Aptos" w:hAnsi="Aptos" w:cs="Aptos"/>
        </w:rPr>
        <w:t>epartment) will declare a maximum percentage “</w:t>
      </w:r>
      <w:r w:rsidRPr="27CC6BBE">
        <w:rPr>
          <w:rFonts w:ascii="Aptos" w:eastAsia="Aptos" w:hAnsi="Aptos" w:cs="Aptos"/>
          <w:b/>
          <w:bCs/>
        </w:rPr>
        <w:t>Tradex Import Factor</w:t>
      </w:r>
      <w:r w:rsidRPr="27CC6BBE">
        <w:rPr>
          <w:rFonts w:ascii="Aptos" w:eastAsia="Aptos" w:hAnsi="Aptos" w:cs="Aptos"/>
        </w:rPr>
        <w:t>”</w:t>
      </w:r>
      <w:r w:rsidR="003751B9" w:rsidRPr="27CC6BBE">
        <w:rPr>
          <w:rFonts w:ascii="Aptos" w:eastAsia="Aptos" w:hAnsi="Aptos" w:cs="Aptos"/>
        </w:rPr>
        <w:t xml:space="preserve"> (TIF</w:t>
      </w:r>
      <w:r w:rsidRPr="27CC6BBE">
        <w:rPr>
          <w:rFonts w:ascii="Aptos" w:eastAsia="Aptos" w:hAnsi="Aptos" w:cs="Aptos"/>
        </w:rPr>
        <w:t xml:space="preserve">) that can be used to clear goods using a Tradex Order on a Customs Import Declaration for the ensuing year. The </w:t>
      </w:r>
      <w:r w:rsidR="00DC6FD6" w:rsidRPr="27CC6BBE">
        <w:rPr>
          <w:rFonts w:ascii="Aptos" w:eastAsia="Aptos" w:hAnsi="Aptos" w:cs="Aptos"/>
        </w:rPr>
        <w:t>TIF</w:t>
      </w:r>
      <w:r w:rsidRPr="27CC6BBE">
        <w:rPr>
          <w:rFonts w:ascii="Aptos" w:eastAsia="Aptos" w:hAnsi="Aptos" w:cs="Aptos"/>
        </w:rPr>
        <w:t xml:space="preserve"> is the percentage of Tradex imports to total imports (of oak wine barrels, oak staves, oak </w:t>
      </w:r>
      <w:r w:rsidR="00692EC6" w:rsidRPr="27CC6BBE">
        <w:rPr>
          <w:rFonts w:ascii="Aptos" w:eastAsia="Aptos" w:hAnsi="Aptos" w:cs="Aptos"/>
        </w:rPr>
        <w:t>chips,</w:t>
      </w:r>
      <w:r w:rsidRPr="27CC6BBE">
        <w:rPr>
          <w:rFonts w:ascii="Aptos" w:eastAsia="Aptos" w:hAnsi="Aptos" w:cs="Aptos"/>
        </w:rPr>
        <w:t xml:space="preserve"> or oak powder) in the shipment and will be based on a conservative estimate of the quantity of oaked wine exported in the most recent financial year for which data is available. As there are no actual figures available to determine exactly how much oaked wine is exported each year, this factor </w:t>
      </w:r>
      <w:r w:rsidR="006208C9" w:rsidRPr="27CC6BBE">
        <w:rPr>
          <w:rFonts w:ascii="Aptos" w:eastAsia="Aptos" w:hAnsi="Aptos" w:cs="Aptos"/>
        </w:rPr>
        <w:t>is</w:t>
      </w:r>
      <w:r w:rsidRPr="27CC6BBE">
        <w:rPr>
          <w:rFonts w:ascii="Aptos" w:eastAsia="Aptos" w:hAnsi="Aptos" w:cs="Aptos"/>
        </w:rPr>
        <w:t xml:space="preserve"> determined by the </w:t>
      </w:r>
      <w:r w:rsidR="00692EC6" w:rsidRPr="27CC6BBE">
        <w:rPr>
          <w:rFonts w:ascii="Aptos" w:eastAsia="Aptos" w:hAnsi="Aptos" w:cs="Aptos"/>
        </w:rPr>
        <w:t>d</w:t>
      </w:r>
      <w:r w:rsidRPr="27CC6BBE">
        <w:rPr>
          <w:rFonts w:ascii="Aptos" w:eastAsia="Aptos" w:hAnsi="Aptos" w:cs="Aptos"/>
        </w:rPr>
        <w:t xml:space="preserve">epartment from relevant information obtained from Wine Australia. </w:t>
      </w:r>
    </w:p>
    <w:p w14:paraId="76BE9F21" w14:textId="77777777" w:rsidR="00261CF3" w:rsidRPr="00DC2EB3" w:rsidRDefault="00261CF3" w:rsidP="27CC6BBE">
      <w:pPr>
        <w:pStyle w:val="ListParagraph"/>
        <w:spacing w:line="240" w:lineRule="auto"/>
        <w:rPr>
          <w:rFonts w:ascii="Aptos" w:eastAsia="Aptos" w:hAnsi="Aptos" w:cs="Aptos"/>
        </w:rPr>
      </w:pPr>
    </w:p>
    <w:p w14:paraId="0DB7317B" w14:textId="17CA3949" w:rsidR="00D46376" w:rsidRPr="00DC2EB3" w:rsidRDefault="00C1093B" w:rsidP="27CC6BBE">
      <w:pPr>
        <w:pStyle w:val="ListParagraph"/>
        <w:numPr>
          <w:ilvl w:val="0"/>
          <w:numId w:val="1"/>
        </w:numPr>
        <w:spacing w:after="0" w:line="240" w:lineRule="auto"/>
        <w:ind w:left="284" w:hanging="284"/>
        <w:rPr>
          <w:rFonts w:ascii="Aptos" w:eastAsia="Aptos" w:hAnsi="Aptos" w:cs="Aptos"/>
        </w:rPr>
      </w:pPr>
      <w:r w:rsidRPr="27CC6BBE">
        <w:rPr>
          <w:rFonts w:ascii="Aptos" w:eastAsia="Aptos" w:hAnsi="Aptos" w:cs="Aptos"/>
        </w:rPr>
        <w:t xml:space="preserve">As this is an industry wide arrangement, an importer using a Tradex Order </w:t>
      </w:r>
      <w:r w:rsidR="00927E47" w:rsidRPr="27CC6BBE">
        <w:rPr>
          <w:rFonts w:ascii="Aptos" w:eastAsia="Aptos" w:hAnsi="Aptos" w:cs="Aptos"/>
        </w:rPr>
        <w:t>should</w:t>
      </w:r>
      <w:r w:rsidRPr="27CC6BBE">
        <w:rPr>
          <w:rFonts w:ascii="Aptos" w:eastAsia="Aptos" w:hAnsi="Aptos" w:cs="Aptos"/>
        </w:rPr>
        <w:t xml:space="preserve"> </w:t>
      </w:r>
      <w:r w:rsidRPr="27CC6BBE">
        <w:rPr>
          <w:rFonts w:ascii="Aptos" w:eastAsia="Aptos" w:hAnsi="Aptos" w:cs="Aptos"/>
          <w:u w:val="single"/>
        </w:rPr>
        <w:t xml:space="preserve">not </w:t>
      </w:r>
      <w:r w:rsidRPr="27CC6BBE">
        <w:rPr>
          <w:rFonts w:ascii="Aptos" w:eastAsia="Aptos" w:hAnsi="Aptos" w:cs="Aptos"/>
        </w:rPr>
        <w:t xml:space="preserve">use a higher factor than the prescribed Tradex Import Factor, even if evidence is available to substantiate the fact that their imported barrels/staves/chips/powder will be used to produce a higher percentage of exported oaked wine. Importers who wish to claim a higher percentage </w:t>
      </w:r>
      <w:r w:rsidR="00FF5084" w:rsidRPr="27CC6BBE">
        <w:rPr>
          <w:rFonts w:ascii="Aptos" w:eastAsia="Aptos" w:hAnsi="Aptos" w:cs="Aptos"/>
          <w:u w:val="single"/>
        </w:rPr>
        <w:t>must</w:t>
      </w:r>
      <w:r w:rsidRPr="27CC6BBE">
        <w:rPr>
          <w:rFonts w:ascii="Aptos" w:eastAsia="Aptos" w:hAnsi="Aptos" w:cs="Aptos"/>
        </w:rPr>
        <w:t xml:space="preserve"> pay Customs Duty up front and then use the Customs Duty Drawback arrangements. Where a Tradex Order is used, </w:t>
      </w:r>
      <w:r w:rsidR="00692EC6" w:rsidRPr="27CC6BBE">
        <w:rPr>
          <w:rFonts w:ascii="Aptos" w:eastAsia="Aptos" w:hAnsi="Aptos" w:cs="Aptos"/>
        </w:rPr>
        <w:t>T</w:t>
      </w:r>
      <w:r w:rsidRPr="27CC6BBE">
        <w:rPr>
          <w:rFonts w:ascii="Aptos" w:eastAsia="Aptos" w:hAnsi="Aptos" w:cs="Aptos"/>
        </w:rPr>
        <w:t xml:space="preserve">radex </w:t>
      </w:r>
      <w:r w:rsidR="00692EC6" w:rsidRPr="27CC6BBE">
        <w:rPr>
          <w:rFonts w:ascii="Aptos" w:eastAsia="Aptos" w:hAnsi="Aptos" w:cs="Aptos"/>
        </w:rPr>
        <w:t>d</w:t>
      </w:r>
      <w:r w:rsidRPr="27CC6BBE">
        <w:rPr>
          <w:rFonts w:ascii="Aptos" w:eastAsia="Aptos" w:hAnsi="Aptos" w:cs="Aptos"/>
        </w:rPr>
        <w:t xml:space="preserve">uty will be payable in relation to any percentage higher than the prescribed percentage, where the goods have been entered using a Tradex </w:t>
      </w:r>
      <w:r w:rsidR="00692EC6" w:rsidRPr="27CC6BBE">
        <w:rPr>
          <w:rFonts w:ascii="Aptos" w:eastAsia="Aptos" w:hAnsi="Aptos" w:cs="Aptos"/>
        </w:rPr>
        <w:t>o</w:t>
      </w:r>
      <w:r w:rsidRPr="27CC6BBE">
        <w:rPr>
          <w:rFonts w:ascii="Aptos" w:eastAsia="Aptos" w:hAnsi="Aptos" w:cs="Aptos"/>
        </w:rPr>
        <w:t xml:space="preserve">rder. </w:t>
      </w:r>
    </w:p>
    <w:p w14:paraId="0CCB4CB3" w14:textId="77777777" w:rsidR="00261CF3" w:rsidRPr="00DC2EB3" w:rsidRDefault="00261CF3" w:rsidP="27CC6BBE">
      <w:pPr>
        <w:pStyle w:val="ListParagraph"/>
        <w:spacing w:after="0" w:line="240" w:lineRule="auto"/>
        <w:ind w:left="284"/>
        <w:rPr>
          <w:rFonts w:ascii="Aptos" w:eastAsia="Aptos" w:hAnsi="Aptos" w:cs="Aptos"/>
        </w:rPr>
      </w:pPr>
    </w:p>
    <w:p w14:paraId="6E935EA2" w14:textId="2BAA0009" w:rsidR="00261CF3" w:rsidRPr="00DC2EB3" w:rsidRDefault="00C1093B" w:rsidP="27CC6BBE">
      <w:pPr>
        <w:pStyle w:val="ListParagraph"/>
        <w:numPr>
          <w:ilvl w:val="0"/>
          <w:numId w:val="1"/>
        </w:numPr>
        <w:spacing w:after="0" w:line="240" w:lineRule="auto"/>
        <w:ind w:left="284" w:hanging="284"/>
        <w:rPr>
          <w:rFonts w:ascii="Aptos" w:eastAsia="Aptos" w:hAnsi="Aptos" w:cs="Aptos"/>
        </w:rPr>
      </w:pPr>
      <w:r w:rsidRPr="27CC6BBE">
        <w:rPr>
          <w:rFonts w:ascii="Aptos" w:eastAsia="Aptos" w:hAnsi="Aptos" w:cs="Aptos"/>
        </w:rPr>
        <w:t xml:space="preserve">The </w:t>
      </w:r>
      <w:r w:rsidR="00692EC6" w:rsidRPr="27CC6BBE">
        <w:rPr>
          <w:rFonts w:ascii="Aptos" w:eastAsia="Aptos" w:hAnsi="Aptos" w:cs="Aptos"/>
        </w:rPr>
        <w:t>d</w:t>
      </w:r>
      <w:r w:rsidRPr="27CC6BBE">
        <w:rPr>
          <w:rFonts w:ascii="Aptos" w:eastAsia="Aptos" w:hAnsi="Aptos" w:cs="Aptos"/>
        </w:rPr>
        <w:t xml:space="preserve">epartment agrees that, where the prescribed percentage </w:t>
      </w:r>
      <w:r w:rsidR="00733627" w:rsidRPr="27CC6BBE">
        <w:rPr>
          <w:rFonts w:ascii="Aptos" w:eastAsia="Aptos" w:hAnsi="Aptos" w:cs="Aptos"/>
        </w:rPr>
        <w:t>(</w:t>
      </w:r>
      <w:r w:rsidR="00407AAA" w:rsidRPr="27CC6BBE">
        <w:rPr>
          <w:rFonts w:ascii="Aptos" w:eastAsia="Aptos" w:hAnsi="Aptos" w:cs="Aptos"/>
        </w:rPr>
        <w:t xml:space="preserve">TIF of </w:t>
      </w:r>
      <w:r w:rsidR="005D03EF" w:rsidRPr="27CC6BBE">
        <w:rPr>
          <w:rFonts w:ascii="Aptos" w:eastAsia="Aptos" w:hAnsi="Aptos" w:cs="Aptos"/>
          <w:b/>
          <w:bCs/>
        </w:rPr>
        <w:t>6</w:t>
      </w:r>
      <w:r w:rsidR="3AFFEB8E" w:rsidRPr="27CC6BBE">
        <w:rPr>
          <w:rFonts w:ascii="Aptos" w:eastAsia="Aptos" w:hAnsi="Aptos" w:cs="Aptos"/>
          <w:b/>
          <w:bCs/>
        </w:rPr>
        <w:t>0</w:t>
      </w:r>
      <w:r w:rsidR="00733627" w:rsidRPr="27CC6BBE">
        <w:rPr>
          <w:rFonts w:ascii="Aptos" w:eastAsia="Aptos" w:hAnsi="Aptos" w:cs="Aptos"/>
          <w:b/>
          <w:bCs/>
        </w:rPr>
        <w:t>%</w:t>
      </w:r>
      <w:r w:rsidR="00DC2EB3" w:rsidRPr="27CC6BBE">
        <w:rPr>
          <w:rFonts w:ascii="Aptos" w:eastAsia="Aptos" w:hAnsi="Aptos" w:cs="Aptos"/>
          <w:b/>
          <w:bCs/>
        </w:rPr>
        <w:t xml:space="preserve"> </w:t>
      </w:r>
      <w:r w:rsidR="00DC2EB3" w:rsidRPr="27CC6BBE">
        <w:rPr>
          <w:rFonts w:ascii="Aptos" w:eastAsia="Aptos" w:hAnsi="Aptos" w:cs="Aptos"/>
        </w:rPr>
        <w:t>for the financial year 202</w:t>
      </w:r>
      <w:r w:rsidR="63F3B62C" w:rsidRPr="27CC6BBE">
        <w:rPr>
          <w:rFonts w:ascii="Aptos" w:eastAsia="Aptos" w:hAnsi="Aptos" w:cs="Aptos"/>
        </w:rPr>
        <w:t>5</w:t>
      </w:r>
      <w:r w:rsidR="00DC2EB3" w:rsidRPr="27CC6BBE">
        <w:rPr>
          <w:rFonts w:ascii="Aptos" w:eastAsia="Aptos" w:hAnsi="Aptos" w:cs="Aptos"/>
        </w:rPr>
        <w:t>-2</w:t>
      </w:r>
      <w:r w:rsidR="5801A2EF" w:rsidRPr="27CC6BBE">
        <w:rPr>
          <w:rFonts w:ascii="Aptos" w:eastAsia="Aptos" w:hAnsi="Aptos" w:cs="Aptos"/>
        </w:rPr>
        <w:t>6</w:t>
      </w:r>
      <w:r w:rsidR="00733627" w:rsidRPr="27CC6BBE">
        <w:rPr>
          <w:rFonts w:ascii="Aptos" w:eastAsia="Aptos" w:hAnsi="Aptos" w:cs="Aptos"/>
        </w:rPr>
        <w:t xml:space="preserve">) </w:t>
      </w:r>
      <w:r w:rsidRPr="27CC6BBE">
        <w:rPr>
          <w:rFonts w:ascii="Aptos" w:eastAsia="Aptos" w:hAnsi="Aptos" w:cs="Aptos"/>
        </w:rPr>
        <w:t xml:space="preserve">is used correctly on a Customs Import Declaration </w:t>
      </w:r>
      <w:r w:rsidR="522A4006" w:rsidRPr="27CC6BBE">
        <w:rPr>
          <w:rFonts w:ascii="Aptos" w:eastAsia="Aptos" w:hAnsi="Aptos" w:cs="Aptos"/>
        </w:rPr>
        <w:t xml:space="preserve">from </w:t>
      </w:r>
      <w:r w:rsidRPr="27CC6BBE">
        <w:rPr>
          <w:rFonts w:ascii="Aptos" w:eastAsia="Aptos" w:hAnsi="Aptos" w:cs="Aptos"/>
        </w:rPr>
        <w:t>1 July 202</w:t>
      </w:r>
      <w:r w:rsidR="34D700DF" w:rsidRPr="27CC6BBE">
        <w:rPr>
          <w:rFonts w:ascii="Aptos" w:eastAsia="Aptos" w:hAnsi="Aptos" w:cs="Aptos"/>
        </w:rPr>
        <w:t>5</w:t>
      </w:r>
      <w:r w:rsidRPr="27CC6BBE">
        <w:rPr>
          <w:rFonts w:ascii="Aptos" w:eastAsia="Aptos" w:hAnsi="Aptos" w:cs="Aptos"/>
        </w:rPr>
        <w:t>, no further substantiation will be required for Tradex purposes, other than normal import evidence that may be required for Australian Border Force purposes and evidence that at least one barrel or quantity of staves is supplied to one wine maker who is, or is genuinely intending to, produce wine oaked from imported oak barrels, oak staves, oak chips or oak powder that is subsequently exported</w:t>
      </w:r>
      <w:r w:rsidR="00D46376" w:rsidRPr="27CC6BBE">
        <w:rPr>
          <w:rFonts w:ascii="Aptos" w:eastAsia="Aptos" w:hAnsi="Aptos" w:cs="Aptos"/>
        </w:rPr>
        <w:t>.</w:t>
      </w:r>
    </w:p>
    <w:p w14:paraId="26A25155" w14:textId="77777777" w:rsidR="00261CF3" w:rsidRPr="00DC2EB3" w:rsidRDefault="00261CF3" w:rsidP="27CC6BBE">
      <w:pPr>
        <w:pStyle w:val="ListParagraph"/>
        <w:spacing w:line="240" w:lineRule="auto"/>
        <w:rPr>
          <w:rFonts w:ascii="Aptos" w:eastAsia="Aptos" w:hAnsi="Aptos" w:cs="Aptos"/>
        </w:rPr>
      </w:pPr>
    </w:p>
    <w:p w14:paraId="7F78CD19" w14:textId="000A8694" w:rsidR="00C1093B" w:rsidRPr="00DC2EB3" w:rsidRDefault="00692EC6" w:rsidP="27CC6BBE">
      <w:pPr>
        <w:pStyle w:val="ListParagraph"/>
        <w:numPr>
          <w:ilvl w:val="0"/>
          <w:numId w:val="1"/>
        </w:numPr>
        <w:spacing w:after="0" w:line="240" w:lineRule="auto"/>
        <w:ind w:left="284" w:hanging="284"/>
        <w:rPr>
          <w:rFonts w:ascii="Aptos" w:eastAsia="Aptos" w:hAnsi="Aptos" w:cs="Aptos"/>
        </w:rPr>
      </w:pPr>
      <w:r w:rsidRPr="0E4675FA">
        <w:rPr>
          <w:rFonts w:ascii="Aptos" w:eastAsia="Aptos" w:hAnsi="Aptos" w:cs="Aptos"/>
        </w:rPr>
        <w:t>As</w:t>
      </w:r>
      <w:r w:rsidR="00C1093B" w:rsidRPr="0E4675FA">
        <w:rPr>
          <w:rFonts w:ascii="Aptos" w:eastAsia="Aptos" w:hAnsi="Aptos" w:cs="Aptos"/>
        </w:rPr>
        <w:t xml:space="preserve"> oaked wine produced from imported barrels/staves/chips/powder will normally be exported at least twelve months after the barrels/staves/chips/powder is imported, an extension of time to export must be obtained from the </w:t>
      </w:r>
      <w:r w:rsidRPr="0E4675FA">
        <w:rPr>
          <w:rFonts w:ascii="Aptos" w:eastAsia="Aptos" w:hAnsi="Aptos" w:cs="Aptos"/>
        </w:rPr>
        <w:t>d</w:t>
      </w:r>
      <w:r w:rsidR="00C1093B" w:rsidRPr="0E4675FA">
        <w:rPr>
          <w:rFonts w:ascii="Aptos" w:eastAsia="Aptos" w:hAnsi="Aptos" w:cs="Aptos"/>
        </w:rPr>
        <w:t xml:space="preserve">epartment under section 43 of the </w:t>
      </w:r>
      <w:r w:rsidR="00C1093B" w:rsidRPr="0E4675FA">
        <w:rPr>
          <w:rFonts w:ascii="Aptos" w:eastAsia="Aptos" w:hAnsi="Aptos" w:cs="Aptos"/>
          <w:i/>
          <w:iCs/>
        </w:rPr>
        <w:t>Tradex Scheme Act</w:t>
      </w:r>
      <w:r w:rsidR="00C1093B" w:rsidRPr="0E4675FA">
        <w:rPr>
          <w:rFonts w:ascii="Aptos" w:eastAsia="Aptos" w:hAnsi="Aptos" w:cs="Aptos"/>
        </w:rPr>
        <w:t xml:space="preserve"> 1999. In view of the nature of the goods, the </w:t>
      </w:r>
      <w:r w:rsidRPr="0E4675FA">
        <w:rPr>
          <w:rFonts w:ascii="Aptos" w:eastAsia="Aptos" w:hAnsi="Aptos" w:cs="Aptos"/>
        </w:rPr>
        <w:t>d</w:t>
      </w:r>
      <w:r w:rsidR="00C1093B" w:rsidRPr="0E4675FA">
        <w:rPr>
          <w:rFonts w:ascii="Aptos" w:eastAsia="Aptos" w:hAnsi="Aptos" w:cs="Aptos"/>
        </w:rPr>
        <w:t>epartment will grant a blanket extension for the life of the Tradex Order.</w:t>
      </w:r>
    </w:p>
    <w:p w14:paraId="00EB9171" w14:textId="2C47D92F" w:rsidR="0E4675FA" w:rsidRDefault="0E4675FA" w:rsidP="02304070">
      <w:pPr>
        <w:pStyle w:val="ListParagraph"/>
        <w:spacing w:after="0" w:line="240" w:lineRule="auto"/>
        <w:ind w:left="0" w:firstLine="270"/>
        <w:rPr>
          <w:rFonts w:ascii="Aptos" w:eastAsia="Aptos" w:hAnsi="Aptos" w:cs="Aptos"/>
        </w:rPr>
      </w:pPr>
    </w:p>
    <w:p w14:paraId="0EEBCC87" w14:textId="28D0B4CB" w:rsidR="0549CA69" w:rsidRDefault="0549CA69" w:rsidP="0549CA69">
      <w:pPr>
        <w:pStyle w:val="ListParagraph"/>
        <w:spacing w:after="0" w:line="240" w:lineRule="auto"/>
        <w:ind w:left="0" w:firstLine="270"/>
        <w:rPr>
          <w:rFonts w:ascii="Aptos" w:eastAsia="Aptos" w:hAnsi="Aptos" w:cs="Aptos"/>
        </w:rPr>
      </w:pPr>
    </w:p>
    <w:p w14:paraId="498D5F6E" w14:textId="47C3CEEA" w:rsidR="17105E8F" w:rsidRDefault="1E2927EC" w:rsidP="0DC9D960">
      <w:pPr>
        <w:pStyle w:val="ListParagraph"/>
        <w:spacing w:after="0" w:line="240" w:lineRule="auto"/>
        <w:ind w:left="270" w:right="270"/>
        <w:rPr>
          <w:rFonts w:ascii="Aptos" w:eastAsia="Aptos" w:hAnsi="Aptos" w:cs="Aptos"/>
        </w:rPr>
      </w:pPr>
      <w:r w:rsidRPr="05EBEFFB">
        <w:rPr>
          <w:rFonts w:ascii="Aptos" w:eastAsia="Aptos" w:hAnsi="Aptos" w:cs="Aptos"/>
        </w:rPr>
        <w:t>For more information about the Tradex Scheme, refer to the</w:t>
      </w:r>
      <w:r w:rsidRPr="05EBEFFB">
        <w:rPr>
          <w:rFonts w:ascii="Aptos" w:eastAsia="Aptos" w:hAnsi="Aptos" w:cs="Aptos"/>
          <w:i/>
          <w:iCs/>
        </w:rPr>
        <w:t xml:space="preserve"> Tradex Policy</w:t>
      </w:r>
      <w:r w:rsidR="0E5A0878" w:rsidRPr="05EBEFFB">
        <w:rPr>
          <w:rFonts w:ascii="Aptos" w:eastAsia="Aptos" w:hAnsi="Aptos" w:cs="Aptos"/>
          <w:i/>
          <w:iCs/>
        </w:rPr>
        <w:t xml:space="preserve"> and</w:t>
      </w:r>
      <w:r w:rsidRPr="05EBEFFB">
        <w:rPr>
          <w:rFonts w:ascii="Aptos" w:eastAsia="Aptos" w:hAnsi="Aptos" w:cs="Aptos"/>
          <w:i/>
          <w:iCs/>
        </w:rPr>
        <w:t xml:space="preserve"> Administrative</w:t>
      </w:r>
      <w:r w:rsidR="7E1C14D2" w:rsidRPr="05EBEFFB">
        <w:rPr>
          <w:rFonts w:ascii="Aptos" w:eastAsia="Aptos" w:hAnsi="Aptos" w:cs="Aptos"/>
          <w:i/>
          <w:iCs/>
        </w:rPr>
        <w:t xml:space="preserve"> Guidelines</w:t>
      </w:r>
      <w:r w:rsidR="7E1C14D2" w:rsidRPr="05EBEFFB">
        <w:rPr>
          <w:rFonts w:ascii="Aptos" w:eastAsia="Aptos" w:hAnsi="Aptos" w:cs="Aptos"/>
        </w:rPr>
        <w:t xml:space="preserve"> located under Key Documents at</w:t>
      </w:r>
      <w:r w:rsidR="4ECFB031" w:rsidRPr="05EBEFFB">
        <w:rPr>
          <w:rFonts w:ascii="Aptos" w:eastAsia="Aptos" w:hAnsi="Aptos" w:cs="Aptos"/>
        </w:rPr>
        <w:t xml:space="preserve"> </w:t>
      </w:r>
      <w:hyperlink r:id="rId12" w:anchor="key-documents">
        <w:r w:rsidR="4ECFB031" w:rsidRPr="05EBEFFB">
          <w:rPr>
            <w:rStyle w:val="Hyperlink"/>
            <w:rFonts w:ascii="Aptos" w:eastAsia="Aptos" w:hAnsi="Aptos" w:cs="Aptos"/>
          </w:rPr>
          <w:t>https://business.gov.au/grants-and-programs/tradex-scheme#key-documents</w:t>
        </w:r>
      </w:hyperlink>
      <w:r w:rsidR="4ECFB031" w:rsidRPr="05EBEFFB">
        <w:rPr>
          <w:rFonts w:ascii="Aptos" w:eastAsia="Aptos" w:hAnsi="Aptos" w:cs="Aptos"/>
        </w:rPr>
        <w:t xml:space="preserve"> </w:t>
      </w:r>
    </w:p>
    <w:sectPr w:rsidR="17105E8F" w:rsidSect="00261CF3">
      <w:footerReference w:type="default" r:id="rId13"/>
      <w:pgSz w:w="11906" w:h="16838"/>
      <w:pgMar w:top="1134" w:right="1134" w:bottom="87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50E90" w14:textId="77777777" w:rsidR="00140E87" w:rsidRDefault="00140E87" w:rsidP="00957598">
      <w:pPr>
        <w:spacing w:after="0" w:line="240" w:lineRule="auto"/>
      </w:pPr>
      <w:r>
        <w:separator/>
      </w:r>
    </w:p>
  </w:endnote>
  <w:endnote w:type="continuationSeparator" w:id="0">
    <w:p w14:paraId="27DFEFBF" w14:textId="77777777" w:rsidR="00140E87" w:rsidRDefault="00140E87" w:rsidP="009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1426" w14:textId="4DC2CC21" w:rsidR="00614BEE" w:rsidRDefault="00614BEE">
    <w:pPr>
      <w:pStyle w:val="Footer"/>
      <w:jc w:val="center"/>
    </w:pPr>
  </w:p>
  <w:p w14:paraId="7E9822D8" w14:textId="77777777" w:rsidR="00614BEE" w:rsidRDefault="0061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8DEB" w14:textId="77777777" w:rsidR="00140E87" w:rsidRDefault="00140E87" w:rsidP="00957598">
      <w:pPr>
        <w:spacing w:after="0" w:line="240" w:lineRule="auto"/>
      </w:pPr>
      <w:r>
        <w:separator/>
      </w:r>
    </w:p>
  </w:footnote>
  <w:footnote w:type="continuationSeparator" w:id="0">
    <w:p w14:paraId="12756E1F" w14:textId="77777777" w:rsidR="00140E87" w:rsidRDefault="00140E87" w:rsidP="0095759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PVo/M/brKpQxh" int2:id="CFTQ23N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6EBF"/>
    <w:multiLevelType w:val="hybridMultilevel"/>
    <w:tmpl w:val="CF32643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num w:numId="1" w16cid:durableId="95224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3B"/>
    <w:rsid w:val="0000437F"/>
    <w:rsid w:val="00033CCE"/>
    <w:rsid w:val="001341C0"/>
    <w:rsid w:val="00140E87"/>
    <w:rsid w:val="00251CA1"/>
    <w:rsid w:val="00261CF3"/>
    <w:rsid w:val="002D4D75"/>
    <w:rsid w:val="003751B9"/>
    <w:rsid w:val="00382200"/>
    <w:rsid w:val="003A4271"/>
    <w:rsid w:val="003E40D2"/>
    <w:rsid w:val="00407AAA"/>
    <w:rsid w:val="004D58A2"/>
    <w:rsid w:val="00587406"/>
    <w:rsid w:val="0059792D"/>
    <w:rsid w:val="005D03EF"/>
    <w:rsid w:val="005E3246"/>
    <w:rsid w:val="00614BEE"/>
    <w:rsid w:val="006208C9"/>
    <w:rsid w:val="00630E41"/>
    <w:rsid w:val="00692EC6"/>
    <w:rsid w:val="00733627"/>
    <w:rsid w:val="007D23CD"/>
    <w:rsid w:val="008B1C8B"/>
    <w:rsid w:val="008C02BF"/>
    <w:rsid w:val="00927E47"/>
    <w:rsid w:val="00957598"/>
    <w:rsid w:val="009961F4"/>
    <w:rsid w:val="00A35190"/>
    <w:rsid w:val="00B121EB"/>
    <w:rsid w:val="00B71081"/>
    <w:rsid w:val="00C1093B"/>
    <w:rsid w:val="00CC1B0D"/>
    <w:rsid w:val="00CC7EE7"/>
    <w:rsid w:val="00D21CB2"/>
    <w:rsid w:val="00D46376"/>
    <w:rsid w:val="00DC2EB3"/>
    <w:rsid w:val="00DC6FD6"/>
    <w:rsid w:val="00DF1226"/>
    <w:rsid w:val="00FA6982"/>
    <w:rsid w:val="00FF5084"/>
    <w:rsid w:val="02304070"/>
    <w:rsid w:val="0549CA69"/>
    <w:rsid w:val="05EBEFFB"/>
    <w:rsid w:val="0624EB1E"/>
    <w:rsid w:val="06D2C0E8"/>
    <w:rsid w:val="0BBF90EC"/>
    <w:rsid w:val="0DC9D960"/>
    <w:rsid w:val="0E4675FA"/>
    <w:rsid w:val="0E5A0878"/>
    <w:rsid w:val="154A6C82"/>
    <w:rsid w:val="17105E8F"/>
    <w:rsid w:val="1E2927EC"/>
    <w:rsid w:val="251E6E43"/>
    <w:rsid w:val="2568BD0C"/>
    <w:rsid w:val="25A682AA"/>
    <w:rsid w:val="27CC6BBE"/>
    <w:rsid w:val="28AEADD2"/>
    <w:rsid w:val="34D700DF"/>
    <w:rsid w:val="3886A223"/>
    <w:rsid w:val="3AFFEB8E"/>
    <w:rsid w:val="43D4E53E"/>
    <w:rsid w:val="4697E070"/>
    <w:rsid w:val="4AE389A8"/>
    <w:rsid w:val="4ECFB031"/>
    <w:rsid w:val="522A4006"/>
    <w:rsid w:val="5611A4BE"/>
    <w:rsid w:val="57BC0CF6"/>
    <w:rsid w:val="5801A2EF"/>
    <w:rsid w:val="5EAF64C1"/>
    <w:rsid w:val="5EE109C2"/>
    <w:rsid w:val="623DC0B5"/>
    <w:rsid w:val="63F3B62C"/>
    <w:rsid w:val="64F4B033"/>
    <w:rsid w:val="6A50A8B3"/>
    <w:rsid w:val="74FFE645"/>
    <w:rsid w:val="76C909CB"/>
    <w:rsid w:val="7AB4F653"/>
    <w:rsid w:val="7E1C1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C6650"/>
  <w15:chartTrackingRefBased/>
  <w15:docId w15:val="{065F33EC-929D-4A88-BE92-EF0EE9D3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98"/>
  </w:style>
  <w:style w:type="paragraph" w:styleId="Footer">
    <w:name w:val="footer"/>
    <w:basedOn w:val="Normal"/>
    <w:link w:val="FooterChar"/>
    <w:uiPriority w:val="99"/>
    <w:unhideWhenUsed/>
    <w:rsid w:val="00957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98"/>
  </w:style>
  <w:style w:type="paragraph" w:styleId="ListParagraph">
    <w:name w:val="List Paragraph"/>
    <w:basedOn w:val="Normal"/>
    <w:uiPriority w:val="34"/>
    <w:qFormat/>
    <w:rsid w:val="00D46376"/>
    <w:pPr>
      <w:ind w:left="720"/>
      <w:contextualSpacing/>
    </w:pPr>
  </w:style>
  <w:style w:type="character" w:styleId="Hyperlink">
    <w:name w:val="Hyperlink"/>
    <w:basedOn w:val="DefaultParagraphFont"/>
    <w:uiPriority w:val="99"/>
    <w:unhideWhenUsed/>
    <w:rsid w:val="251E6E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gov.au/grants-and-programs/tradex-schem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TIF for FY2025-26</Comments>
    <TaxCatchAll xmlns="cb71a642-ac37-46a7-972f-57d004987bd8">
      <Value>561</Value>
      <Value>17</Value>
      <Value>2</Value>
      <Value>288</Value>
    </TaxCatchAll>
    <mfdee57536144d05bc10b14326765d27 xmlns="cb71a642-ac37-46a7-972f-57d004987bd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mfdee57536144d05bc10b14326765d27>
    <f127fb096d2245fea362cddc2358919a xmlns="cb71a642-ac37-46a7-972f-57d004987bd8">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f127fb096d2245fea362cddc2358919a>
    <j40fde6eb8a84ae0b4915889da44f0c0 xmlns="cb71a642-ac37-46a7-972f-57d004987bd8">
      <Terms xmlns="http://schemas.microsoft.com/office/infopath/2007/PartnerControls">
        <TermInfo xmlns="http://schemas.microsoft.com/office/infopath/2007/PartnerControls">
          <TermName xmlns="http://schemas.microsoft.com/office/infopath/2007/PartnerControls">2025-26</TermName>
          <TermId xmlns="http://schemas.microsoft.com/office/infopath/2007/PartnerControls">d1010ae7-7ca6-4e45-aeac-40bbddd405e2</TermId>
        </TermInfo>
      </Terms>
    </j40fde6eb8a84ae0b4915889da44f0c0>
    <ac35cbb541a5458ea410b6aa4a3f7f37 xmlns="cb71a642-ac37-46a7-972f-57d004987bd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ac35cbb541a5458ea410b6aa4a3f7f3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5B7C7183714940A34EFFB31192A9AB" ma:contentTypeVersion="14" ma:contentTypeDescription="Create a new document." ma:contentTypeScope="" ma:versionID="da662402702de57acc65f7e2a184c450">
  <xsd:schema xmlns:xsd="http://www.w3.org/2001/XMLSchema" xmlns:xs="http://www.w3.org/2001/XMLSchema" xmlns:p="http://schemas.microsoft.com/office/2006/metadata/properties" xmlns:ns1="http://schemas.microsoft.com/sharepoint/v3" xmlns:ns2="cb71a642-ac37-46a7-972f-57d004987bd8" xmlns:ns3="35911475-da01-443b-bae1-39305b1c2dee" targetNamespace="http://schemas.microsoft.com/office/2006/metadata/properties" ma:root="true" ma:fieldsID="3a1064280d50e23950c86769731bb72a" ns1:_="" ns2:_="" ns3:_="">
    <xsd:import namespace="http://schemas.microsoft.com/sharepoint/v3"/>
    <xsd:import namespace="cb71a642-ac37-46a7-972f-57d004987bd8"/>
    <xsd:import namespace="35911475-da01-443b-bae1-39305b1c2dee"/>
    <xsd:element name="properties">
      <xsd:complexType>
        <xsd:sequence>
          <xsd:element name="documentManagement">
            <xsd:complexType>
              <xsd:all>
                <xsd:element ref="ns2:mfdee57536144d05bc10b14326765d27" minOccurs="0"/>
                <xsd:element ref="ns2:TaxCatchAll" minOccurs="0"/>
                <xsd:element ref="ns2:f127fb096d2245fea362cddc2358919a" minOccurs="0"/>
                <xsd:element ref="ns2:ac35cbb541a5458ea410b6aa4a3f7f37" minOccurs="0"/>
                <xsd:element ref="ns2:j40fde6eb8a84ae0b4915889da44f0c0" minOccurs="0"/>
                <xsd:element ref="ns1:Comment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1a642-ac37-46a7-972f-57d004987bd8" elementFormDefault="qualified">
    <xsd:import namespace="http://schemas.microsoft.com/office/2006/documentManagement/types"/>
    <xsd:import namespace="http://schemas.microsoft.com/office/infopath/2007/PartnerControls"/>
    <xsd:element name="mfdee57536144d05bc10b14326765d27" ma:index="9" ma:taxonomy="true" ma:internalName="mfdee57536144d05bc10b14326765d27" ma:taxonomyFieldName="Stratus_DocumentType" ma:displayName="Document Type" ma:fieldId="{6fdee575-3614-4d05-bc10-b14326765d27}"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97cf978-cef5-4b8d-aa05-2f645d22b5ed}" ma:internalName="TaxCatchAll" ma:showField="CatchAllData" ma:web="cb71a642-ac37-46a7-972f-57d004987bd8">
      <xsd:complexType>
        <xsd:complexContent>
          <xsd:extension base="dms:MultiChoiceLookup">
            <xsd:sequence>
              <xsd:element name="Value" type="dms:Lookup" maxOccurs="unbounded" minOccurs="0" nillable="true"/>
            </xsd:sequence>
          </xsd:extension>
        </xsd:complexContent>
      </xsd:complexType>
    </xsd:element>
    <xsd:element name="f127fb096d2245fea362cddc2358919a" ma:index="12" nillable="true" ma:taxonomy="true" ma:internalName="f127fb096d2245fea362cddc2358919a" ma:taxonomyFieldName="Stratus_WorkActivity" ma:displayName="Work Activity" ma:fieldId="{f127fb09-6d22-45fe-a362-cddc2358919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ac35cbb541a5458ea410b6aa4a3f7f37" ma:index="14" ma:taxonomy="true" ma:internalName="ac35cbb541a5458ea410b6aa4a3f7f37" ma:taxonomyFieldName="Stratus_SecurityClassification" ma:displayName="Security Classification" ma:fieldId="{ac35cbb5-41a5-458e-a410-b6aa4a3f7f3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j40fde6eb8a84ae0b4915889da44f0c0" ma:index="16" nillable="true" ma:taxonomy="true" ma:internalName="j40fde6eb8a84ae0b4915889da44f0c0" ma:taxonomyFieldName="Stratus_Year" ma:displayName="Year" ma:fieldId="{340fde6e-b8a8-4ae0-b491-5889da44f0c0}"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11475-da01-443b-bae1-39305b1c2de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22FC9-0142-462D-B9AF-F94389FD2341}">
  <ds:schemaRefs>
    <ds:schemaRef ds:uri="http://schemas.openxmlformats.org/officeDocument/2006/bibliography"/>
  </ds:schemaRefs>
</ds:datastoreItem>
</file>

<file path=customXml/itemProps2.xml><?xml version="1.0" encoding="utf-8"?>
<ds:datastoreItem xmlns:ds="http://schemas.openxmlformats.org/officeDocument/2006/customXml" ds:itemID="{EB6B4D13-7373-4794-98F2-6C4D7494F588}">
  <ds:schemaRefs>
    <ds:schemaRef ds:uri="cb71a642-ac37-46a7-972f-57d004987bd8"/>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35911475-da01-443b-bae1-39305b1c2dee"/>
    <ds:schemaRef ds:uri="http://purl.org/dc/dcmitype/"/>
    <ds:schemaRef ds:uri="http://schemas.microsoft.com/sharepoint/v3"/>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B88E5DB-9F4A-4767-86A1-D98918B52E82}">
  <ds:schemaRefs>
    <ds:schemaRef ds:uri="http://schemas.microsoft.com/sharepoint/v3/contenttype/forms"/>
  </ds:schemaRefs>
</ds:datastoreItem>
</file>

<file path=customXml/itemProps4.xml><?xml version="1.0" encoding="utf-8"?>
<ds:datastoreItem xmlns:ds="http://schemas.openxmlformats.org/officeDocument/2006/customXml" ds:itemID="{B8C4E80F-76B1-411E-B792-C3B20854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1a642-ac37-46a7-972f-57d004987bd8"/>
    <ds:schemaRef ds:uri="35911475-da01-443b-bae1-39305b1c2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2025-06-27T07:06:00Z</dcterms:created>
  <dcterms:modified xsi:type="dcterms:W3CDTF">2025-06-27T07:06:00Z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0x010100CB5B7C7183714940A34EFFB31192A9AB</vt:lpwstr>
  </property>
  <property fmtid="{D5CDD505-2E9C-101B-9397-08002B2CF9AE}" pid="3" name="_dlc_DocIdItemGuid">
    <vt:lpwstr>91762a10-5a2a-428d-a754-93f8343d43fb</vt:lpwstr>
  </property>
  <property fmtid="{D5CDD505-2E9C-101B-9397-08002B2CF9AE}" pid="4" name="DocHub_Year">
    <vt:lpwstr>41263;#2024-25|50f77124-5f6f-4d5f-9f1c-76c5bde65257</vt:lpwstr>
  </property>
  <property fmtid="{D5CDD505-2E9C-101B-9397-08002B2CF9AE}" pid="5" name="DocHub_DocumentType">
    <vt:lpwstr>96;#Guideline|1cb7cffe-f5b4-42ac-8a71-3f61d9d0fa0a</vt:lpwstr>
  </property>
  <property fmtid="{D5CDD505-2E9C-101B-9397-08002B2CF9AE}" pid="6" name="DocHub_SecurityClassification">
    <vt:lpwstr>3;#OFFICIAL|6106d03b-a1a0-4e30-9d91-d5e9fb4314f9</vt:lpwstr>
  </property>
  <property fmtid="{D5CDD505-2E9C-101B-9397-08002B2CF9AE}" pid="7" name="DocHub_Keywords">
    <vt:lpwstr>34318;#Tradex Duty Calculations|f6d7c4e1-6c66-410d-a97b-424173cb9c94</vt:lpwstr>
  </property>
  <property fmtid="{D5CDD505-2E9C-101B-9397-08002B2CF9AE}" pid="8" name="DocHub_WorkActivity">
    <vt:lpwstr>423;#Compliance Monitoring|03f4d2e6-3ad5-439d-b6c7-0fb6c75d8579</vt:lpwstr>
  </property>
  <property fmtid="{D5CDD505-2E9C-101B-9397-08002B2CF9AE}" pid="9" name="DocHub_TradexActivities">
    <vt:lpwstr>7124;#Compliance L1|c0cd8e4d-563e-4ab6-b6f6-0b52375cbf67</vt:lpwstr>
  </property>
  <property fmtid="{D5CDD505-2E9C-101B-9397-08002B2CF9AE}" pid="10" name="Stratus_WorkActivity">
    <vt:lpwstr>17;#Programme Management|971f31a3-7111-400f-9377-18d4370a5c67</vt:lpwstr>
  </property>
  <property fmtid="{D5CDD505-2E9C-101B-9397-08002B2CF9AE}" pid="11" name="Stratus_DocumentType">
    <vt:lpwstr>288;#Guideline|57771b02-658a-45ea-b3f8-d7ea084e6707</vt:lpwstr>
  </property>
  <property fmtid="{D5CDD505-2E9C-101B-9397-08002B2CF9AE}" pid="12" name="Stratus_Year">
    <vt:lpwstr>561;#2025-26|d1010ae7-7ca6-4e45-aeac-40bbddd405e2</vt:lpwstr>
  </property>
  <property fmtid="{D5CDD505-2E9C-101B-9397-08002B2CF9AE}" pid="13" name="Stratus_SecurityClassification">
    <vt:lpwstr>2;#OFFICIAL|1077e141-03cb-4307-8c0f-d43dc85f509f</vt:lpwstr>
  </property>
</Properties>
</file>