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D7D0" w14:textId="77777777" w:rsidR="000F0647" w:rsidRDefault="00C23F74">
      <w:pPr>
        <w:pStyle w:val="Heading1"/>
        <w:ind w:left="-426"/>
        <w:rPr>
          <w:rFonts w:ascii="SimSun" w:hAnsi="SimSun"/>
          <w:color w:val="1F497D" w:themeColor="text2"/>
          <w:sz w:val="48"/>
          <w:lang w:eastAsia="zh-CN"/>
        </w:rPr>
      </w:pPr>
      <w:r>
        <w:rPr>
          <w:rFonts w:ascii="SimSun" w:hAnsi="SimSun" w:cs="SimSun"/>
          <w:color w:val="1F497D" w:themeColor="text2"/>
          <w:sz w:val="48"/>
          <w:lang w:eastAsia="zh-CN"/>
        </w:rPr>
        <w:t>信仰场所安全保障补助计划</w:t>
      </w:r>
    </w:p>
    <w:p w14:paraId="652E2F16" w14:textId="77777777" w:rsidR="000F0647" w:rsidRDefault="00C23F74">
      <w:pPr>
        <w:pStyle w:val="Heading1"/>
        <w:ind w:left="-426"/>
        <w:rPr>
          <w:rFonts w:ascii="SimSun" w:hAnsi="SimSun"/>
          <w:color w:val="auto"/>
        </w:rPr>
      </w:pPr>
      <w:proofErr w:type="spellStart"/>
      <w:r>
        <w:rPr>
          <w:rFonts w:ascii="SimSun" w:hAnsi="SimSun" w:cs="SimSun"/>
          <w:color w:val="auto"/>
          <w:sz w:val="36"/>
        </w:rPr>
        <w:t>须知</w:t>
      </w:r>
      <w:proofErr w:type="spellEnd"/>
    </w:p>
    <w:p w14:paraId="37D147BE" w14:textId="77777777" w:rsidR="000F0647" w:rsidRDefault="00C23F74">
      <w:pPr>
        <w:jc w:val="right"/>
        <w:rPr>
          <w:rFonts w:ascii="SimSun" w:eastAsia="SimSun" w:hAnsi="SimSun"/>
        </w:rPr>
      </w:pPr>
      <w:r>
        <w:rPr>
          <w:rFonts w:ascii="SimSun" w:eastAsia="SimSun" w:hAnsi="SimSun" w:cs="SimSun"/>
        </w:rPr>
        <w:t>2023年7月24日</w:t>
      </w:r>
    </w:p>
    <w:p w14:paraId="22DD9FDC" w14:textId="77777777" w:rsidR="00EB25DB" w:rsidRDefault="00EB25DB" w:rsidP="00EB25DB">
      <w:pPr>
        <w:spacing w:after="0"/>
        <w:rPr>
          <w:rFonts w:ascii="SimSun" w:eastAsia="SimSun" w:hAnsi="SimSun" w:cs="SimSun"/>
          <w:b/>
          <w:bCs/>
          <w:color w:val="548DD4" w:themeColor="text2" w:themeTint="99"/>
          <w:kern w:val="32"/>
          <w:sz w:val="24"/>
          <w:szCs w:val="52"/>
          <w:lang w:eastAsia="zh-CN"/>
        </w:rPr>
        <w:sectPr w:rsidR="00EB25DB" w:rsidSect="00EB25DB">
          <w:headerReference w:type="default" r:id="rId8"/>
          <w:footerReference w:type="default" r:id="rId9"/>
          <w:pgSz w:w="11906" w:h="16838"/>
          <w:pgMar w:top="284" w:right="720" w:bottom="720" w:left="720" w:header="221" w:footer="0" w:gutter="0"/>
          <w:cols w:space="708"/>
          <w:docGrid w:linePitch="360"/>
        </w:sectPr>
      </w:pPr>
    </w:p>
    <w:p w14:paraId="3262D870" w14:textId="77777777" w:rsidR="00EB25DB" w:rsidRPr="00EB25DB" w:rsidRDefault="00EB25DB" w:rsidP="00EB25DB">
      <w:pPr>
        <w:pStyle w:val="Heading2"/>
        <w:keepNext w:val="0"/>
        <w:spacing w:before="0" w:after="0" w:line="276" w:lineRule="auto"/>
        <w:rPr>
          <w:iCs w:val="0"/>
          <w:color w:val="365F91" w:themeColor="accent1" w:themeShade="BF"/>
          <w:kern w:val="32"/>
          <w:sz w:val="24"/>
          <w:szCs w:val="52"/>
        </w:rPr>
      </w:pPr>
      <w:proofErr w:type="spellStart"/>
      <w:r w:rsidRPr="00EB25DB">
        <w:rPr>
          <w:iCs w:val="0"/>
          <w:color w:val="365F91" w:themeColor="accent1" w:themeShade="BF"/>
          <w:kern w:val="32"/>
          <w:sz w:val="24"/>
          <w:szCs w:val="52"/>
        </w:rPr>
        <w:t>关于信仰场所安全保障</w:t>
      </w:r>
      <w:proofErr w:type="spellEnd"/>
    </w:p>
    <w:p w14:paraId="1515FD9B" w14:textId="77777777" w:rsidR="00EB25DB" w:rsidRPr="00EB25DB" w:rsidRDefault="00EB25DB" w:rsidP="00EB25DB">
      <w:pPr>
        <w:pStyle w:val="Heading2"/>
        <w:keepNext w:val="0"/>
        <w:spacing w:before="0" w:after="0" w:line="276" w:lineRule="auto"/>
        <w:rPr>
          <w:iCs w:val="0"/>
          <w:color w:val="365F91" w:themeColor="accent1" w:themeShade="BF"/>
          <w:kern w:val="32"/>
          <w:sz w:val="24"/>
          <w:szCs w:val="52"/>
        </w:rPr>
      </w:pPr>
      <w:r w:rsidRPr="00EB25DB">
        <w:rPr>
          <w:iCs w:val="0"/>
          <w:color w:val="365F91" w:themeColor="accent1" w:themeShade="BF"/>
          <w:kern w:val="32"/>
          <w:sz w:val="24"/>
          <w:szCs w:val="52"/>
        </w:rPr>
        <w:t>补助计划</w:t>
      </w:r>
    </w:p>
    <w:p w14:paraId="07AEF0A3" w14:textId="77777777" w:rsidR="00EB25DB" w:rsidRDefault="00EB25DB" w:rsidP="00EB25DB">
      <w:pPr>
        <w:spacing w:after="0"/>
        <w:rPr>
          <w:rFonts w:ascii="SimSun" w:eastAsia="SimSun" w:hAnsi="SimSun"/>
          <w:sz w:val="20"/>
          <w:szCs w:val="20"/>
          <w:lang w:eastAsia="zh-CN"/>
        </w:rPr>
      </w:pPr>
      <w:r>
        <w:rPr>
          <w:rFonts w:ascii="SimSun" w:eastAsia="SimSun" w:hAnsi="SimSun" w:cs="SimSun"/>
          <w:sz w:val="20"/>
          <w:szCs w:val="20"/>
          <w:lang w:eastAsia="zh-CN"/>
        </w:rPr>
        <w:t>信仰场所安全保障补助计划在四年内提供 4000 万澳元，提高宗教学校、学前班、礼拜场所和信仰社区中心的安全性。</w:t>
      </w:r>
    </w:p>
    <w:p w14:paraId="5D526213" w14:textId="77777777" w:rsidR="00EB25DB" w:rsidRDefault="00EB25DB" w:rsidP="00EB25DB">
      <w:pPr>
        <w:spacing w:after="0"/>
        <w:rPr>
          <w:rFonts w:ascii="SimSun" w:eastAsia="SimSun" w:hAnsi="SimSun"/>
          <w:sz w:val="20"/>
          <w:szCs w:val="20"/>
          <w:lang w:eastAsia="zh-CN"/>
        </w:rPr>
      </w:pPr>
      <w:r>
        <w:rPr>
          <w:rFonts w:ascii="SimSun" w:eastAsia="SimSun" w:hAnsi="SimSun" w:cs="SimSun"/>
          <w:sz w:val="20"/>
          <w:szCs w:val="20"/>
          <w:lang w:eastAsia="zh-CN"/>
        </w:rPr>
        <w:br/>
        <w:t>此计划将支持符合条件的组织加强安全基础设施和/或聘用安保人员，以应对因宗教和种族偏见引发的犯罪和暴力风险。</w:t>
      </w:r>
    </w:p>
    <w:p w14:paraId="3C8949F8" w14:textId="77777777" w:rsidR="00EB25DB" w:rsidRDefault="00EB25DB" w:rsidP="00EB25DB">
      <w:pPr>
        <w:spacing w:after="0"/>
        <w:rPr>
          <w:rFonts w:ascii="SimSun" w:eastAsia="SimSun" w:hAnsi="SimSun"/>
          <w:sz w:val="20"/>
          <w:szCs w:val="20"/>
          <w:lang w:eastAsia="zh-CN"/>
        </w:rPr>
      </w:pPr>
      <w:r>
        <w:rPr>
          <w:rFonts w:ascii="SimSun" w:eastAsia="SimSun" w:hAnsi="SimSun" w:cs="SimSun"/>
          <w:sz w:val="20"/>
          <w:szCs w:val="20"/>
          <w:lang w:eastAsia="zh-CN"/>
        </w:rPr>
        <w:br/>
        <w:t>此计划根据</w:t>
      </w:r>
      <w:r w:rsidRPr="00763E5F">
        <w:rPr>
          <w:rFonts w:ascii="SimSun" w:eastAsia="SimSun" w:hAnsi="SimSun" w:cs="SimSun"/>
          <w:i/>
          <w:sz w:val="20"/>
          <w:szCs w:val="20"/>
          <w:lang w:eastAsia="zh-CN"/>
        </w:rPr>
        <w:t>《2002年犯罪收益法》（Proceeds of Crime Act 2002）</w:t>
      </w:r>
      <w:r w:rsidRPr="00763E5F">
        <w:rPr>
          <w:rFonts w:ascii="SimSun" w:eastAsia="SimSun" w:hAnsi="SimSun" w:cs="SimSun"/>
          <w:iCs/>
          <w:sz w:val="20"/>
          <w:szCs w:val="20"/>
          <w:lang w:eastAsia="zh-CN"/>
        </w:rPr>
        <w:t>第298条获得资金</w:t>
      </w:r>
      <w:r w:rsidRPr="00763E5F">
        <w:rPr>
          <w:rFonts w:ascii="SimSun" w:eastAsia="SimSun" w:hAnsi="SimSun" w:cs="SimSun"/>
          <w:i/>
          <w:sz w:val="20"/>
          <w:szCs w:val="20"/>
          <w:lang w:eastAsia="zh-CN"/>
        </w:rPr>
        <w:t>。</w:t>
      </w:r>
      <w:r w:rsidRPr="00763E5F">
        <w:rPr>
          <w:rFonts w:ascii="SimSun" w:eastAsia="SimSun" w:hAnsi="SimSun" w:cs="SimSun"/>
          <w:sz w:val="20"/>
          <w:szCs w:val="20"/>
          <w:lang w:eastAsia="zh-CN"/>
        </w:rPr>
        <w:t>这使得犯罪所得可以重新投入到加强澳大利亚社区</w:t>
      </w:r>
      <w:r>
        <w:rPr>
          <w:rFonts w:ascii="SimSun" w:eastAsia="SimSun" w:hAnsi="SimSun" w:cs="SimSun"/>
          <w:sz w:val="20"/>
          <w:szCs w:val="20"/>
          <w:lang w:eastAsia="zh-CN"/>
        </w:rPr>
        <w:t>安全的活动中去。</w:t>
      </w:r>
    </w:p>
    <w:p w14:paraId="79E78B7A" w14:textId="77777777" w:rsidR="00EB25DB" w:rsidRPr="00EB25DB" w:rsidRDefault="00EB25DB" w:rsidP="00EB25DB">
      <w:pPr>
        <w:spacing w:before="120" w:after="0"/>
        <w:rPr>
          <w:rFonts w:eastAsia="SimSun" w:cs="Angsana New"/>
          <w:b/>
          <w:bCs/>
          <w:color w:val="365F91" w:themeColor="accent1" w:themeShade="BF"/>
          <w:kern w:val="32"/>
          <w:sz w:val="24"/>
          <w:szCs w:val="52"/>
        </w:rPr>
      </w:pPr>
      <w:r w:rsidRPr="00EB25DB">
        <w:rPr>
          <w:rFonts w:eastAsia="SimSun" w:cs="Angsana New"/>
          <w:b/>
          <w:bCs/>
          <w:color w:val="365F91" w:themeColor="accent1" w:themeShade="BF"/>
          <w:kern w:val="32"/>
          <w:sz w:val="24"/>
          <w:szCs w:val="52"/>
        </w:rPr>
        <w:t>谁有资格申请？</w:t>
      </w:r>
    </w:p>
    <w:p w14:paraId="42DEC619" w14:textId="77777777" w:rsidR="00EB25DB" w:rsidRDefault="00EB25DB" w:rsidP="00EB25DB">
      <w:pPr>
        <w:spacing w:after="0"/>
        <w:rPr>
          <w:rFonts w:ascii="SimSun" w:eastAsia="SimSun" w:hAnsi="SimSun"/>
          <w:sz w:val="20"/>
          <w:szCs w:val="20"/>
          <w:lang w:eastAsia="zh-CN"/>
        </w:rPr>
      </w:pPr>
      <w:r>
        <w:rPr>
          <w:rFonts w:ascii="SimSun" w:eastAsia="SimSun" w:hAnsi="SimSun" w:cs="SimSun"/>
          <w:sz w:val="20"/>
          <w:szCs w:val="20"/>
          <w:lang w:eastAsia="zh-CN"/>
        </w:rPr>
        <w:t>要符合资格，您必须：</w:t>
      </w:r>
    </w:p>
    <w:p w14:paraId="776293CE" w14:textId="77777777" w:rsidR="00EB25DB" w:rsidRDefault="00EB25DB" w:rsidP="00EB25DB">
      <w:pPr>
        <w:pStyle w:val="ListParagraph1"/>
        <w:numPr>
          <w:ilvl w:val="0"/>
          <w:numId w:val="2"/>
        </w:numPr>
        <w:spacing w:after="0"/>
        <w:rPr>
          <w:rFonts w:ascii="SimSun" w:eastAsia="SimSun" w:hAnsi="SimSun"/>
          <w:b/>
          <w:sz w:val="20"/>
          <w:szCs w:val="20"/>
          <w:lang w:eastAsia="zh-CN"/>
        </w:rPr>
      </w:pPr>
      <w:r>
        <w:rPr>
          <w:rFonts w:ascii="SimSun" w:eastAsia="SimSun" w:hAnsi="SimSun" w:cs="SimSun"/>
          <w:sz w:val="20"/>
          <w:szCs w:val="20"/>
          <w:lang w:eastAsia="zh-CN"/>
        </w:rPr>
        <w:t>与</w:t>
      </w:r>
      <w:r>
        <w:rPr>
          <w:rFonts w:ascii="SimSun" w:eastAsia="SimSun" w:hAnsi="SimSun" w:cs="SimSun"/>
          <w:b/>
          <w:sz w:val="20"/>
          <w:szCs w:val="20"/>
          <w:lang w:eastAsia="zh-CN"/>
        </w:rPr>
        <w:t>符合条件的宗教</w:t>
      </w:r>
      <w:r>
        <w:rPr>
          <w:rFonts w:ascii="SimSun" w:eastAsia="SimSun" w:hAnsi="SimSun" w:cs="SimSun"/>
          <w:sz w:val="20"/>
          <w:szCs w:val="20"/>
          <w:lang w:eastAsia="zh-CN"/>
        </w:rPr>
        <w:t>有关联</w:t>
      </w:r>
    </w:p>
    <w:p w14:paraId="1BCD472A" w14:textId="77777777" w:rsidR="00EB25DB" w:rsidRDefault="00EB25DB" w:rsidP="00EB25DB">
      <w:pPr>
        <w:pStyle w:val="ListParagraph1"/>
        <w:numPr>
          <w:ilvl w:val="0"/>
          <w:numId w:val="2"/>
        </w:numPr>
        <w:spacing w:after="0"/>
        <w:rPr>
          <w:rFonts w:ascii="SimSun" w:eastAsia="SimSun" w:hAnsi="SimSun"/>
          <w:b/>
          <w:sz w:val="20"/>
          <w:szCs w:val="20"/>
          <w:lang w:eastAsia="zh-CN"/>
        </w:rPr>
      </w:pPr>
      <w:r>
        <w:rPr>
          <w:rFonts w:ascii="SimSun" w:eastAsia="SimSun" w:hAnsi="SimSun" w:cs="SimSun"/>
          <w:sz w:val="20"/>
          <w:szCs w:val="20"/>
          <w:lang w:eastAsia="zh-CN"/>
        </w:rPr>
        <w:t>有澳大利亚商业号码（ABN）</w:t>
      </w:r>
    </w:p>
    <w:p w14:paraId="2D2FDD84" w14:textId="77777777" w:rsidR="00EB25DB" w:rsidRDefault="00EB25DB" w:rsidP="00EB25DB">
      <w:pPr>
        <w:pStyle w:val="ListParagraph1"/>
        <w:numPr>
          <w:ilvl w:val="0"/>
          <w:numId w:val="2"/>
        </w:numPr>
        <w:spacing w:after="0"/>
        <w:rPr>
          <w:rFonts w:ascii="SimSun" w:eastAsia="SimSun" w:hAnsi="SimSun"/>
          <w:b/>
          <w:sz w:val="20"/>
          <w:szCs w:val="20"/>
          <w:lang w:eastAsia="zh-CN"/>
        </w:rPr>
      </w:pPr>
      <w:r>
        <w:rPr>
          <w:rFonts w:ascii="SimSun" w:eastAsia="SimSun" w:hAnsi="SimSun" w:cs="SimSun"/>
          <w:sz w:val="20"/>
          <w:szCs w:val="20"/>
          <w:lang w:eastAsia="zh-CN"/>
        </w:rPr>
        <w:t>是符合条件的</w:t>
      </w:r>
      <w:r>
        <w:rPr>
          <w:rFonts w:ascii="SimSun" w:eastAsia="SimSun" w:hAnsi="SimSun" w:cs="SimSun"/>
          <w:b/>
          <w:sz w:val="20"/>
          <w:szCs w:val="20"/>
          <w:lang w:eastAsia="zh-CN"/>
        </w:rPr>
        <w:t>法律实体</w:t>
      </w:r>
      <w:r>
        <w:rPr>
          <w:rFonts w:ascii="SimSun" w:eastAsia="SimSun" w:hAnsi="SimSun" w:cs="SimSun"/>
          <w:sz w:val="20"/>
          <w:szCs w:val="20"/>
          <w:lang w:eastAsia="zh-CN"/>
        </w:rPr>
        <w:t>，即：</w:t>
      </w:r>
    </w:p>
    <w:p w14:paraId="2051E0D4" w14:textId="77777777" w:rsidR="00EB25DB" w:rsidRDefault="00EB25DB" w:rsidP="00EB25DB">
      <w:pPr>
        <w:pStyle w:val="ListParagraph1"/>
        <w:numPr>
          <w:ilvl w:val="1"/>
          <w:numId w:val="2"/>
        </w:numPr>
        <w:spacing w:after="0"/>
        <w:rPr>
          <w:rFonts w:ascii="SimSun" w:eastAsia="SimSun" w:hAnsi="SimSun"/>
          <w:sz w:val="20"/>
          <w:szCs w:val="20"/>
          <w:lang w:eastAsia="zh-CN"/>
        </w:rPr>
      </w:pPr>
      <w:r>
        <w:rPr>
          <w:rFonts w:ascii="SimSun" w:eastAsia="SimSun" w:hAnsi="SimSun" w:cs="SimSun"/>
          <w:sz w:val="20"/>
          <w:szCs w:val="20"/>
          <w:lang w:eastAsia="zh-CN"/>
        </w:rPr>
        <w:t>在澳大利亚注册成立的实体</w:t>
      </w:r>
    </w:p>
    <w:p w14:paraId="002AF09F" w14:textId="77777777" w:rsidR="00EB25DB" w:rsidRDefault="00EB25DB" w:rsidP="00EB25DB">
      <w:pPr>
        <w:pStyle w:val="ListParagraph1"/>
        <w:numPr>
          <w:ilvl w:val="1"/>
          <w:numId w:val="2"/>
        </w:numPr>
        <w:spacing w:after="0"/>
        <w:rPr>
          <w:rFonts w:ascii="SimSun" w:eastAsia="SimSun" w:hAnsi="SimSun"/>
          <w:sz w:val="20"/>
          <w:szCs w:val="20"/>
          <w:lang w:eastAsia="en-AU"/>
        </w:rPr>
      </w:pPr>
      <w:proofErr w:type="spellStart"/>
      <w:r>
        <w:rPr>
          <w:rFonts w:ascii="SimSun" w:eastAsia="SimSun" w:hAnsi="SimSun" w:cs="SimSun"/>
          <w:sz w:val="20"/>
          <w:szCs w:val="20"/>
          <w:lang w:eastAsia="en-AU"/>
        </w:rPr>
        <w:t>法人社团，或</w:t>
      </w:r>
      <w:proofErr w:type="spellEnd"/>
    </w:p>
    <w:p w14:paraId="0A5DC1CE" w14:textId="77777777" w:rsidR="00EB25DB" w:rsidRDefault="00EB25DB" w:rsidP="00EB25DB">
      <w:pPr>
        <w:pStyle w:val="ListParagraph1"/>
        <w:numPr>
          <w:ilvl w:val="1"/>
          <w:numId w:val="2"/>
        </w:numPr>
        <w:spacing w:after="0"/>
        <w:rPr>
          <w:rFonts w:ascii="SimSun" w:eastAsia="SimSun" w:hAnsi="SimSun"/>
          <w:sz w:val="20"/>
          <w:szCs w:val="20"/>
          <w:lang w:eastAsia="zh-CN"/>
        </w:rPr>
      </w:pPr>
      <w:r>
        <w:rPr>
          <w:rFonts w:ascii="SimSun" w:eastAsia="SimSun" w:hAnsi="SimSun" w:cs="SimSun"/>
          <w:sz w:val="20"/>
          <w:szCs w:val="20"/>
          <w:lang w:eastAsia="zh-CN"/>
        </w:rPr>
        <w:t>非营利性法人组织，并且</w:t>
      </w:r>
    </w:p>
    <w:p w14:paraId="49E0BE99" w14:textId="77777777" w:rsidR="00EB25DB" w:rsidRDefault="00EB25DB" w:rsidP="00EB25DB">
      <w:pPr>
        <w:pStyle w:val="ListParagraph1"/>
        <w:numPr>
          <w:ilvl w:val="0"/>
          <w:numId w:val="2"/>
        </w:numPr>
        <w:spacing w:after="0"/>
        <w:rPr>
          <w:rFonts w:ascii="SimSun" w:eastAsia="SimSun" w:hAnsi="SimSun"/>
          <w:sz w:val="20"/>
          <w:szCs w:val="20"/>
          <w:lang w:eastAsia="zh-CN"/>
        </w:rPr>
      </w:pPr>
      <w:r>
        <w:rPr>
          <w:rFonts w:ascii="SimSun" w:eastAsia="SimSun" w:hAnsi="SimSun" w:cs="SimSun"/>
          <w:sz w:val="20"/>
          <w:szCs w:val="20"/>
          <w:lang w:eastAsia="zh-CN"/>
        </w:rPr>
        <w:t>满足签订补助协议的所有要求</w:t>
      </w:r>
    </w:p>
    <w:p w14:paraId="4DFCD5BA" w14:textId="77777777" w:rsidR="00EB25DB" w:rsidRPr="00763E5F" w:rsidRDefault="00EB25DB" w:rsidP="00EB25DB">
      <w:pPr>
        <w:spacing w:before="240" w:after="80"/>
        <w:rPr>
          <w:rFonts w:ascii="SimSun" w:eastAsia="SimSun" w:hAnsi="SimSun"/>
          <w:b/>
          <w:sz w:val="20"/>
          <w:szCs w:val="20"/>
          <w:lang w:eastAsia="zh-CN"/>
        </w:rPr>
      </w:pPr>
      <w:r>
        <w:rPr>
          <w:rFonts w:ascii="SimSun" w:eastAsia="SimSun" w:hAnsi="SimSun" w:cs="SimSun"/>
          <w:sz w:val="20"/>
          <w:szCs w:val="20"/>
          <w:lang w:eastAsia="zh-CN"/>
        </w:rPr>
        <w:t>就本次补助机会而言，</w:t>
      </w:r>
      <w:r w:rsidRPr="00763E5F">
        <w:rPr>
          <w:rFonts w:ascii="SimSun" w:eastAsia="SimSun" w:hAnsi="SimSun" w:cs="SimSun"/>
          <w:b/>
          <w:sz w:val="20"/>
          <w:szCs w:val="20"/>
          <w:lang w:eastAsia="zh-CN"/>
        </w:rPr>
        <w:t>符合条件的宗教</w:t>
      </w:r>
      <w:r w:rsidRPr="00763E5F">
        <w:rPr>
          <w:rFonts w:ascii="SimSun" w:eastAsia="SimSun" w:hAnsi="SimSun" w:cs="SimSun"/>
          <w:sz w:val="20"/>
          <w:szCs w:val="20"/>
          <w:lang w:eastAsia="zh-CN"/>
        </w:rPr>
        <w:t>指澳大利亚统计局（Australian Bureau of Statistics）</w:t>
      </w:r>
      <w:hyperlink r:id="rId10" w:history="1">
        <w:r w:rsidRPr="00763E5F">
          <w:rPr>
            <w:rStyle w:val="Hyperlink"/>
            <w:rFonts w:ascii="SimSun" w:eastAsia="SimSun" w:hAnsi="SimSun" w:cs="SimSun"/>
            <w:i/>
            <w:sz w:val="20"/>
            <w:szCs w:val="20"/>
            <w:lang w:eastAsia="zh-CN"/>
          </w:rPr>
          <w:t>《澳大利亚宗教团体标准分类》</w:t>
        </w:r>
      </w:hyperlink>
      <w:r w:rsidRPr="00763E5F">
        <w:rPr>
          <w:rStyle w:val="Hyperlink"/>
          <w:rFonts w:ascii="SimSun" w:eastAsia="SimSun" w:hAnsi="SimSun" w:cs="SimSun"/>
          <w:i/>
          <w:sz w:val="20"/>
          <w:szCs w:val="20"/>
          <w:lang w:eastAsia="zh-CN"/>
        </w:rPr>
        <w:t>（Australian Standard Classification of Religious Groups）</w:t>
      </w:r>
      <w:r w:rsidRPr="00763E5F">
        <w:rPr>
          <w:rFonts w:ascii="SimSun" w:eastAsia="SimSun" w:hAnsi="SimSun" w:cs="SimSun"/>
          <w:sz w:val="20"/>
          <w:szCs w:val="20"/>
          <w:lang w:eastAsia="zh-CN"/>
        </w:rPr>
        <w:t>中列举的任何宗教团体</w:t>
      </w:r>
      <w:r w:rsidRPr="00763E5F">
        <w:rPr>
          <w:rStyle w:val="Hyperlink"/>
          <w:rFonts w:ascii="SimSun" w:eastAsia="SimSun" w:hAnsi="SimSun" w:cs="SimSun"/>
          <w:iCs/>
          <w:sz w:val="20"/>
          <w:szCs w:val="20"/>
          <w:u w:val="none"/>
          <w:lang w:eastAsia="zh-CN"/>
        </w:rPr>
        <w:t>，</w:t>
      </w:r>
      <w:r w:rsidRPr="00763E5F">
        <w:rPr>
          <w:rFonts w:ascii="SimSun" w:eastAsia="SimSun" w:hAnsi="SimSun" w:cs="SimSun"/>
          <w:sz w:val="20"/>
          <w:szCs w:val="20"/>
          <w:lang w:eastAsia="zh-CN"/>
        </w:rPr>
        <w:t>见表1.3第一至第六组。</w:t>
      </w:r>
    </w:p>
    <w:p w14:paraId="77A02F89" w14:textId="77777777" w:rsidR="00EB25DB" w:rsidRPr="00EB25DB" w:rsidRDefault="00EB25DB" w:rsidP="00EB25DB">
      <w:pPr>
        <w:spacing w:before="120" w:after="0"/>
        <w:rPr>
          <w:rFonts w:eastAsia="SimSun" w:cs="Angsana New"/>
          <w:b/>
          <w:bCs/>
          <w:color w:val="365F91" w:themeColor="accent1" w:themeShade="BF"/>
          <w:kern w:val="32"/>
          <w:sz w:val="24"/>
          <w:szCs w:val="52"/>
        </w:rPr>
      </w:pPr>
      <w:r w:rsidRPr="00EB25DB">
        <w:rPr>
          <w:rFonts w:eastAsia="SimSun" w:cs="Angsana New"/>
          <w:b/>
          <w:bCs/>
          <w:color w:val="365F91" w:themeColor="accent1" w:themeShade="BF"/>
          <w:kern w:val="32"/>
          <w:sz w:val="24"/>
          <w:szCs w:val="52"/>
        </w:rPr>
        <w:t>何时申请</w:t>
      </w:r>
    </w:p>
    <w:p w14:paraId="032AEB26" w14:textId="169A9B52" w:rsidR="00EB25DB" w:rsidRDefault="00EB25DB" w:rsidP="00EB25DB">
      <w:pPr>
        <w:tabs>
          <w:tab w:val="left" w:pos="2895"/>
        </w:tabs>
        <w:rPr>
          <w:rFonts w:ascii="SimSun" w:eastAsia="SimSun" w:hAnsi="SimSun" w:cs="Angsana New"/>
          <w:b/>
          <w:bCs/>
          <w:color w:val="548DD4" w:themeColor="text2" w:themeTint="99"/>
          <w:kern w:val="32"/>
          <w:sz w:val="24"/>
          <w:szCs w:val="52"/>
          <w:lang w:eastAsia="zh-CN"/>
        </w:rPr>
      </w:pPr>
      <w:r>
        <w:rPr>
          <w:rFonts w:ascii="SimSun" w:eastAsia="SimSun" w:hAnsi="SimSun" w:cs="SimSun"/>
          <w:sz w:val="20"/>
          <w:szCs w:val="20"/>
          <w:lang w:eastAsia="zh-CN"/>
        </w:rPr>
        <w:t>资助申请于</w:t>
      </w:r>
      <w:r>
        <w:rPr>
          <w:rFonts w:ascii="SimSun" w:eastAsia="SimSun" w:hAnsi="SimSun" w:cs="SimSun"/>
          <w:b/>
          <w:sz w:val="20"/>
          <w:szCs w:val="20"/>
          <w:lang w:eastAsia="zh-CN"/>
        </w:rPr>
        <w:t>2023年7月31日</w:t>
      </w:r>
      <w:r>
        <w:rPr>
          <w:rFonts w:ascii="SimSun" w:eastAsia="SimSun" w:hAnsi="SimSun" w:cs="SimSun"/>
          <w:sz w:val="20"/>
          <w:szCs w:val="20"/>
          <w:lang w:eastAsia="zh-CN"/>
        </w:rPr>
        <w:t>开放，截止时间为澳大利亚东部标准时间（AEST）</w:t>
      </w:r>
      <w:r>
        <w:rPr>
          <w:rFonts w:ascii="SimSun" w:eastAsia="SimSun" w:hAnsi="SimSun" w:cs="SimSun"/>
          <w:b/>
          <w:sz w:val="20"/>
          <w:szCs w:val="20"/>
          <w:lang w:eastAsia="zh-CN"/>
        </w:rPr>
        <w:t>2023年9月11日</w:t>
      </w:r>
      <w:r>
        <w:rPr>
          <w:rFonts w:ascii="SimSun" w:eastAsia="SimSun" w:hAnsi="SimSun" w:cs="SimSun"/>
          <w:bCs/>
          <w:sz w:val="20"/>
          <w:szCs w:val="20"/>
          <w:lang w:eastAsia="zh-CN"/>
        </w:rPr>
        <w:t>下午5点。</w:t>
      </w:r>
      <w:r>
        <w:rPr>
          <w:rFonts w:ascii="SimSun" w:eastAsia="SimSun" w:hAnsi="SimSun" w:cs="SimSun"/>
          <w:sz w:val="20"/>
          <w:szCs w:val="20"/>
          <w:lang w:eastAsia="zh-CN"/>
        </w:rPr>
        <w:t>申请门户将开放6周，以便各组织寻求指导并提交高质量申请材料。</w:t>
      </w:r>
      <w:r>
        <w:rPr>
          <w:rFonts w:ascii="SimSun" w:eastAsia="SimSun" w:hAnsi="SimSun" w:cs="SimSun"/>
          <w:sz w:val="20"/>
          <w:szCs w:val="20"/>
          <w:lang w:eastAsia="zh-CN"/>
        </w:rPr>
        <w:br w:type="column"/>
      </w:r>
      <w:r w:rsidRPr="00EB25DB">
        <w:rPr>
          <w:rFonts w:eastAsia="SimSun" w:cs="Angsana New"/>
          <w:b/>
          <w:bCs/>
          <w:color w:val="365F91" w:themeColor="accent1" w:themeShade="BF"/>
          <w:kern w:val="32"/>
          <w:sz w:val="24"/>
          <w:szCs w:val="52"/>
        </w:rPr>
        <w:t>补助可以用来做什么？</w:t>
      </w:r>
    </w:p>
    <w:p w14:paraId="208BB718" w14:textId="77777777" w:rsidR="00EB25DB" w:rsidRDefault="00EB25DB" w:rsidP="00EB25DB">
      <w:pPr>
        <w:spacing w:after="0"/>
        <w:rPr>
          <w:rFonts w:ascii="SimSun" w:eastAsia="SimSun" w:hAnsi="SimSun"/>
          <w:sz w:val="20"/>
          <w:szCs w:val="20"/>
          <w:lang w:eastAsia="en-AU"/>
        </w:rPr>
      </w:pPr>
      <w:r>
        <w:rPr>
          <w:rFonts w:ascii="SimSun" w:eastAsia="SimSun" w:hAnsi="SimSun" w:cs="SimSun"/>
          <w:sz w:val="20"/>
          <w:szCs w:val="20"/>
          <w:lang w:eastAsia="zh-CN"/>
        </w:rPr>
        <w:t>您可以使用补助安装或升级安全基础设施或在您的场所聘用安保人员。</w:t>
      </w:r>
      <w:proofErr w:type="spellStart"/>
      <w:r>
        <w:rPr>
          <w:rFonts w:ascii="SimSun" w:eastAsia="SimSun" w:hAnsi="SimSun" w:cs="SimSun"/>
          <w:sz w:val="20"/>
          <w:szCs w:val="20"/>
          <w:lang w:eastAsia="en-AU"/>
        </w:rPr>
        <w:t>这包括但不限于</w:t>
      </w:r>
      <w:proofErr w:type="spellEnd"/>
      <w:r>
        <w:rPr>
          <w:rFonts w:ascii="SimSun" w:eastAsia="SimSun" w:hAnsi="SimSun" w:cs="SimSun"/>
          <w:sz w:val="20"/>
          <w:szCs w:val="20"/>
          <w:lang w:eastAsia="en-AU"/>
        </w:rPr>
        <w:t>：</w:t>
      </w:r>
    </w:p>
    <w:p w14:paraId="2AFBE698"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安全摄像系统</w:t>
      </w:r>
      <w:proofErr w:type="spellEnd"/>
    </w:p>
    <w:p w14:paraId="1CCA1BA7"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门禁控制</w:t>
      </w:r>
      <w:proofErr w:type="spellEnd"/>
    </w:p>
    <w:p w14:paraId="1093A59F"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围栏和大门</w:t>
      </w:r>
      <w:proofErr w:type="spellEnd"/>
    </w:p>
    <w:p w14:paraId="0B4570F9"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安全照明</w:t>
      </w:r>
      <w:proofErr w:type="spellEnd"/>
    </w:p>
    <w:p w14:paraId="020BBA61"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防盗窗</w:t>
      </w:r>
      <w:proofErr w:type="spellEnd"/>
    </w:p>
    <w:p w14:paraId="16F9DE60"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警报系统，以及</w:t>
      </w:r>
      <w:proofErr w:type="spellEnd"/>
    </w:p>
    <w:p w14:paraId="0AD4D921" w14:textId="77777777" w:rsidR="00EB25DB" w:rsidRDefault="00EB25DB" w:rsidP="00EB25DB">
      <w:pPr>
        <w:pStyle w:val="ListParagraph1"/>
        <w:numPr>
          <w:ilvl w:val="0"/>
          <w:numId w:val="3"/>
        </w:numPr>
        <w:spacing w:after="0" w:line="240" w:lineRule="auto"/>
        <w:rPr>
          <w:rFonts w:ascii="SimSun" w:eastAsia="SimSun" w:hAnsi="SimSun"/>
          <w:sz w:val="20"/>
          <w:szCs w:val="20"/>
          <w:lang w:eastAsia="en-AU"/>
        </w:rPr>
      </w:pPr>
      <w:proofErr w:type="spellStart"/>
      <w:r>
        <w:rPr>
          <w:rFonts w:ascii="SimSun" w:eastAsia="SimSun" w:hAnsi="SimSun" w:cs="SimSun"/>
          <w:sz w:val="20"/>
          <w:szCs w:val="20"/>
          <w:lang w:eastAsia="en-AU"/>
        </w:rPr>
        <w:t>聘用持证安保人员</w:t>
      </w:r>
      <w:proofErr w:type="spellEnd"/>
      <w:r>
        <w:rPr>
          <w:rFonts w:ascii="SimSun" w:eastAsia="SimSun" w:hAnsi="SimSun" w:cs="SimSun"/>
          <w:sz w:val="20"/>
          <w:szCs w:val="20"/>
          <w:lang w:eastAsia="en-AU"/>
        </w:rPr>
        <w:t>。</w:t>
      </w:r>
    </w:p>
    <w:p w14:paraId="229A7FB6" w14:textId="77777777" w:rsidR="00EB25DB" w:rsidRDefault="00EB25DB" w:rsidP="00EB25DB">
      <w:pPr>
        <w:spacing w:after="0" w:line="240" w:lineRule="auto"/>
        <w:rPr>
          <w:rFonts w:ascii="SimSun" w:eastAsia="SimSun" w:hAnsi="SimSun"/>
          <w:sz w:val="20"/>
          <w:szCs w:val="20"/>
          <w:lang w:eastAsia="en-AU"/>
        </w:rPr>
      </w:pPr>
    </w:p>
    <w:p w14:paraId="1C222FDA" w14:textId="77777777" w:rsidR="00EB25DB" w:rsidRDefault="00EB25DB" w:rsidP="00EB25DB">
      <w:pPr>
        <w:spacing w:after="0" w:line="240" w:lineRule="auto"/>
        <w:rPr>
          <w:rFonts w:ascii="SimSun" w:eastAsia="SimSun" w:hAnsi="SimSun"/>
          <w:sz w:val="20"/>
          <w:szCs w:val="20"/>
          <w:lang w:eastAsia="zh-CN"/>
        </w:rPr>
      </w:pPr>
      <w:r>
        <w:rPr>
          <w:rFonts w:ascii="SimSun" w:eastAsia="SimSun" w:hAnsi="SimSun" w:cs="SimSun"/>
          <w:sz w:val="20"/>
          <w:szCs w:val="20"/>
          <w:lang w:eastAsia="zh-CN"/>
        </w:rPr>
        <w:t>欲详细了解符合条件的活动，请参阅《补助机会指南》。</w:t>
      </w:r>
    </w:p>
    <w:p w14:paraId="669283A7" w14:textId="77777777" w:rsidR="00EB25DB" w:rsidRPr="00EB25DB" w:rsidRDefault="00EB25DB" w:rsidP="00EB25DB">
      <w:pPr>
        <w:spacing w:before="120" w:after="0"/>
        <w:rPr>
          <w:rFonts w:eastAsia="SimSun" w:cs="Angsana New"/>
          <w:b/>
          <w:bCs/>
          <w:color w:val="365F91" w:themeColor="accent1" w:themeShade="BF"/>
          <w:kern w:val="32"/>
          <w:sz w:val="24"/>
          <w:szCs w:val="52"/>
        </w:rPr>
      </w:pPr>
      <w:proofErr w:type="spellStart"/>
      <w:r w:rsidRPr="00EB25DB">
        <w:rPr>
          <w:rFonts w:eastAsia="SimSun" w:cs="Angsana New"/>
          <w:b/>
          <w:bCs/>
          <w:color w:val="365F91" w:themeColor="accent1" w:themeShade="BF"/>
          <w:kern w:val="32"/>
          <w:sz w:val="24"/>
          <w:szCs w:val="52"/>
        </w:rPr>
        <w:t>如何申请</w:t>
      </w:r>
      <w:proofErr w:type="spellEnd"/>
    </w:p>
    <w:p w14:paraId="1DD1861F" w14:textId="77777777" w:rsidR="00EB25DB" w:rsidRDefault="00EB25DB" w:rsidP="00EB25DB">
      <w:pPr>
        <w:spacing w:after="0"/>
        <w:rPr>
          <w:rFonts w:ascii="SimSun" w:eastAsia="SimSun" w:hAnsi="SimSun"/>
          <w:sz w:val="20"/>
          <w:szCs w:val="20"/>
          <w:lang w:eastAsia="zh-CN"/>
        </w:rPr>
      </w:pPr>
      <w:proofErr w:type="spellStart"/>
      <w:r>
        <w:rPr>
          <w:rFonts w:ascii="SimSun" w:eastAsia="SimSun" w:hAnsi="SimSun" w:cs="SimSun"/>
          <w:sz w:val="20"/>
          <w:szCs w:val="20"/>
          <w:lang w:eastAsia="en-AU"/>
        </w:rPr>
        <w:t>申请之前，</w:t>
      </w:r>
      <w:r w:rsidRPr="00763E5F">
        <w:rPr>
          <w:rFonts w:ascii="SimSun" w:eastAsia="SimSun" w:hAnsi="SimSun" w:cs="SimSun"/>
          <w:sz w:val="20"/>
          <w:szCs w:val="20"/>
          <w:lang w:eastAsia="en-AU"/>
        </w:rPr>
        <w:t>我们建议您阅读并理解在</w:t>
      </w:r>
      <w:proofErr w:type="spellEnd"/>
      <w:r w:rsidRPr="00763E5F">
        <w:rPr>
          <w:rFonts w:ascii="SimSun" w:eastAsia="SimSun" w:hAnsi="SimSun" w:cs="SimSun"/>
          <w:sz w:val="20"/>
          <w:szCs w:val="20"/>
          <w:lang w:eastAsia="en-AU"/>
        </w:rPr>
        <w:t xml:space="preserve"> </w:t>
      </w:r>
      <w:hyperlink r:id="rId11" w:history="1">
        <w:r w:rsidRPr="00763E5F">
          <w:rPr>
            <w:rStyle w:val="Hyperlink"/>
            <w:rFonts w:ascii="SimSun" w:eastAsia="SimSun" w:hAnsi="SimSun" w:cs="SimSun"/>
            <w:sz w:val="20"/>
            <w:szCs w:val="20"/>
            <w:lang w:eastAsia="en-AU"/>
          </w:rPr>
          <w:t>business.gov.au</w:t>
        </w:r>
      </w:hyperlink>
      <w:r w:rsidRPr="00763E5F">
        <w:rPr>
          <w:rFonts w:ascii="SimSun" w:eastAsia="SimSun" w:hAnsi="SimSun" w:cs="SimSun"/>
          <w:sz w:val="20"/>
          <w:szCs w:val="20"/>
          <w:lang w:eastAsia="en-AU"/>
        </w:rPr>
        <w:t xml:space="preserve"> 和 </w:t>
      </w:r>
      <w:proofErr w:type="spellStart"/>
      <w:r w:rsidRPr="00763E5F">
        <w:rPr>
          <w:rFonts w:ascii="SimSun" w:eastAsia="SimSun" w:hAnsi="SimSun" w:cs="SimSun"/>
          <w:sz w:val="20"/>
          <w:szCs w:val="20"/>
          <w:lang w:eastAsia="en-AU"/>
        </w:rPr>
        <w:t>GrantConnect（网址：</w:t>
      </w:r>
      <w:hyperlink r:id="rId12" w:history="1">
        <w:r w:rsidRPr="00763E5F">
          <w:rPr>
            <w:rStyle w:val="Hyperlink"/>
            <w:rFonts w:ascii="SimSun" w:eastAsia="SimSun" w:hAnsi="SimSun" w:cs="SimSun"/>
            <w:sz w:val="20"/>
            <w:szCs w:val="20"/>
            <w:lang w:eastAsia="en-AU"/>
          </w:rPr>
          <w:t>help.grants.gov.au</w:t>
        </w:r>
      </w:hyperlink>
      <w:r w:rsidRPr="00763E5F">
        <w:rPr>
          <w:rFonts w:ascii="SimSun" w:eastAsia="SimSun" w:hAnsi="SimSun" w:cs="SimSun"/>
          <w:sz w:val="20"/>
          <w:szCs w:val="20"/>
          <w:lang w:eastAsia="en-AU"/>
        </w:rPr>
        <w:t>）上发布的《信仰场所补助机会指南》及补助协议样本</w:t>
      </w:r>
      <w:proofErr w:type="spellEnd"/>
      <w:r w:rsidRPr="00763E5F">
        <w:rPr>
          <w:rFonts w:ascii="SimSun" w:eastAsia="SimSun" w:hAnsi="SimSun" w:cs="SimSun"/>
          <w:sz w:val="20"/>
          <w:szCs w:val="20"/>
          <w:lang w:eastAsia="en-AU"/>
        </w:rPr>
        <w:t>。</w:t>
      </w:r>
      <w:r>
        <w:rPr>
          <w:rFonts w:ascii="SimSun" w:eastAsia="SimSun" w:hAnsi="SimSun" w:cs="SimSun"/>
          <w:sz w:val="20"/>
          <w:szCs w:val="20"/>
          <w:lang w:eastAsia="zh-CN"/>
        </w:rPr>
        <w:t>您需创建一个账户才能访问在线门户，以便在安全的网络环境中申请和管理补助金或服务。</w:t>
      </w:r>
    </w:p>
    <w:p w14:paraId="0A130EAF" w14:textId="77777777" w:rsidR="00EB25DB" w:rsidRDefault="00EB25DB" w:rsidP="00EB25DB">
      <w:pPr>
        <w:spacing w:before="80" w:after="0"/>
        <w:rPr>
          <w:rFonts w:ascii="SimSun" w:eastAsia="SimSun" w:hAnsi="SimSun"/>
          <w:sz w:val="20"/>
          <w:szCs w:val="20"/>
          <w:lang w:eastAsia="en-AU"/>
        </w:rPr>
      </w:pPr>
      <w:proofErr w:type="spellStart"/>
      <w:r>
        <w:rPr>
          <w:rFonts w:ascii="SimSun" w:eastAsia="SimSun" w:hAnsi="SimSun" w:cs="SimSun"/>
          <w:sz w:val="20"/>
          <w:szCs w:val="20"/>
          <w:lang w:eastAsia="en-AU"/>
        </w:rPr>
        <w:t>若要申请，您必须</w:t>
      </w:r>
      <w:proofErr w:type="spellEnd"/>
      <w:r>
        <w:rPr>
          <w:rFonts w:ascii="SimSun" w:eastAsia="SimSun" w:hAnsi="SimSun" w:cs="SimSun"/>
          <w:sz w:val="20"/>
          <w:szCs w:val="20"/>
          <w:lang w:eastAsia="en-AU"/>
        </w:rPr>
        <w:t>：</w:t>
      </w:r>
    </w:p>
    <w:p w14:paraId="182704A0" w14:textId="77777777" w:rsidR="00EB25DB" w:rsidRDefault="00EB25DB" w:rsidP="00EB25DB">
      <w:pPr>
        <w:pStyle w:val="ListParagraph1"/>
        <w:numPr>
          <w:ilvl w:val="0"/>
          <w:numId w:val="4"/>
        </w:numPr>
        <w:spacing w:after="0"/>
        <w:rPr>
          <w:rFonts w:ascii="SimSun" w:eastAsia="SimSun" w:hAnsi="SimSun"/>
          <w:sz w:val="20"/>
          <w:szCs w:val="20"/>
          <w:lang w:eastAsia="zh-CN"/>
        </w:rPr>
      </w:pPr>
      <w:r>
        <w:rPr>
          <w:rFonts w:ascii="SimSun" w:eastAsia="SimSun" w:hAnsi="SimSun" w:cs="SimSun"/>
          <w:sz w:val="20"/>
          <w:szCs w:val="20"/>
          <w:lang w:eastAsia="zh-CN"/>
        </w:rPr>
        <w:t>于澳大利亚东部标准时间（AEST）</w:t>
      </w:r>
      <w:r>
        <w:rPr>
          <w:rFonts w:ascii="SimSun" w:eastAsia="SimSun" w:hAnsi="SimSun" w:cs="SimSun"/>
          <w:b/>
          <w:sz w:val="20"/>
          <w:szCs w:val="20"/>
          <w:lang w:eastAsia="zh-CN"/>
        </w:rPr>
        <w:t>2023年9月11日下午5点</w:t>
      </w:r>
      <w:r>
        <w:rPr>
          <w:rFonts w:ascii="SimSun" w:eastAsia="SimSun" w:hAnsi="SimSun" w:cs="SimSun"/>
          <w:sz w:val="20"/>
          <w:szCs w:val="20"/>
          <w:lang w:eastAsia="zh-CN"/>
        </w:rPr>
        <w:t>前，通过门户网站（请访问</w:t>
      </w:r>
      <w:r>
        <w:fldChar w:fldCharType="begin"/>
      </w:r>
      <w:r>
        <w:instrText>HYPERLINK "https://business.gov.au/grants-and-programs/securing-faith-based-places"</w:instrText>
      </w:r>
      <w:r>
        <w:fldChar w:fldCharType="separate"/>
      </w:r>
      <w:r>
        <w:rPr>
          <w:rStyle w:val="Hyperlink"/>
          <w:rFonts w:ascii="SimSun" w:eastAsia="SimSun" w:hAnsi="SimSun" w:cs="SimSun"/>
          <w:sz w:val="20"/>
          <w:szCs w:val="20"/>
          <w:lang w:eastAsia="zh-CN"/>
        </w:rPr>
        <w:t>portal.business.gov.au</w:t>
      </w:r>
      <w:r>
        <w:rPr>
          <w:rStyle w:val="Hyperlink"/>
          <w:rFonts w:ascii="SimSun" w:eastAsia="SimSun" w:hAnsi="SimSun" w:cs="SimSun"/>
          <w:sz w:val="20"/>
          <w:szCs w:val="20"/>
          <w:lang w:eastAsia="en-AU"/>
        </w:rPr>
        <w:fldChar w:fldCharType="end"/>
      </w:r>
      <w:r>
        <w:rPr>
          <w:rFonts w:ascii="SimSun" w:eastAsia="SimSun" w:hAnsi="SimSun" w:cs="SimSun"/>
          <w:sz w:val="20"/>
          <w:szCs w:val="20"/>
          <w:lang w:eastAsia="zh-CN"/>
        </w:rPr>
        <w:t>）填写并提交在线申请表。</w:t>
      </w:r>
    </w:p>
    <w:p w14:paraId="2BE938AE" w14:textId="77777777" w:rsidR="00EB25DB" w:rsidRDefault="00EB25DB" w:rsidP="00EB25DB">
      <w:pPr>
        <w:pStyle w:val="ListParagraph1"/>
        <w:numPr>
          <w:ilvl w:val="0"/>
          <w:numId w:val="2"/>
        </w:numPr>
        <w:spacing w:after="0"/>
        <w:rPr>
          <w:rFonts w:ascii="SimSun" w:eastAsia="SimSun" w:hAnsi="SimSun"/>
          <w:sz w:val="20"/>
          <w:szCs w:val="20"/>
          <w:lang w:eastAsia="zh-CN"/>
        </w:rPr>
      </w:pPr>
      <w:r>
        <w:rPr>
          <w:rFonts w:ascii="SimSun" w:eastAsia="SimSun" w:hAnsi="SimSun" w:cs="SimSun"/>
          <w:sz w:val="20"/>
          <w:szCs w:val="20"/>
          <w:lang w:eastAsia="zh-CN"/>
        </w:rPr>
        <w:t>满足所有资格和优审评估标准。</w:t>
      </w:r>
    </w:p>
    <w:p w14:paraId="2D303AC9" w14:textId="77777777" w:rsidR="00EB25DB" w:rsidRDefault="00EB25DB" w:rsidP="00EB25DB">
      <w:pPr>
        <w:spacing w:after="0"/>
        <w:rPr>
          <w:rFonts w:ascii="SimSun" w:eastAsia="SimSun" w:hAnsi="SimSun"/>
          <w:sz w:val="20"/>
          <w:szCs w:val="20"/>
          <w:lang w:eastAsia="zh-CN"/>
        </w:rPr>
      </w:pPr>
      <w:r>
        <w:rPr>
          <w:rFonts w:ascii="SimSun" w:eastAsia="SimSun" w:hAnsi="SimSun" w:cs="SimSun"/>
          <w:sz w:val="20"/>
          <w:szCs w:val="20"/>
          <w:lang w:eastAsia="zh-CN"/>
        </w:rPr>
        <w:t>请注意，逾期递交和延期申请将不予考虑。</w:t>
      </w:r>
    </w:p>
    <w:p w14:paraId="2E4C071D" w14:textId="77777777" w:rsidR="00EB25DB" w:rsidRPr="00EB25DB" w:rsidRDefault="00EB25DB" w:rsidP="00EB25DB">
      <w:pPr>
        <w:spacing w:before="120" w:after="0"/>
        <w:rPr>
          <w:rFonts w:eastAsia="SimSun" w:cs="Angsana New"/>
          <w:b/>
          <w:bCs/>
          <w:color w:val="365F91" w:themeColor="accent1" w:themeShade="BF"/>
          <w:kern w:val="32"/>
          <w:sz w:val="24"/>
          <w:szCs w:val="52"/>
        </w:rPr>
      </w:pPr>
      <w:proofErr w:type="spellStart"/>
      <w:r w:rsidRPr="00EB25DB">
        <w:rPr>
          <w:rFonts w:eastAsia="SimSun" w:cs="Angsana New"/>
          <w:b/>
          <w:bCs/>
          <w:color w:val="365F91" w:themeColor="accent1" w:themeShade="BF"/>
          <w:kern w:val="32"/>
          <w:sz w:val="24"/>
          <w:szCs w:val="52"/>
        </w:rPr>
        <w:t>需要更多信息</w:t>
      </w:r>
      <w:proofErr w:type="spellEnd"/>
      <w:r w:rsidRPr="00EB25DB">
        <w:rPr>
          <w:rFonts w:eastAsia="SimSun" w:cs="Angsana New"/>
          <w:b/>
          <w:bCs/>
          <w:color w:val="365F91" w:themeColor="accent1" w:themeShade="BF"/>
          <w:kern w:val="32"/>
          <w:sz w:val="24"/>
          <w:szCs w:val="52"/>
        </w:rPr>
        <w:t>？</w:t>
      </w:r>
    </w:p>
    <w:p w14:paraId="39FEE884" w14:textId="35B9B210" w:rsidR="00EB25DB" w:rsidRDefault="00EB25DB" w:rsidP="00EB25DB">
      <w:pPr>
        <w:tabs>
          <w:tab w:val="left" w:pos="2895"/>
        </w:tabs>
        <w:rPr>
          <w:rFonts w:ascii="SimSun" w:eastAsia="SimSun" w:hAnsi="SimSun" w:hint="eastAsia"/>
        </w:rPr>
      </w:pPr>
      <w:proofErr w:type="spellStart"/>
      <w:r>
        <w:rPr>
          <w:rFonts w:ascii="SimSun" w:eastAsia="SimSun" w:hAnsi="SimSun" w:cs="SimSun"/>
          <w:sz w:val="20"/>
          <w:szCs w:val="20"/>
          <w:lang w:eastAsia="en-AU"/>
        </w:rPr>
        <w:t>欲了解更多信息，请访问</w:t>
      </w:r>
      <w:proofErr w:type="spellEnd"/>
      <w:r>
        <w:rPr>
          <w:rFonts w:ascii="SimSun" w:eastAsia="SimSun" w:hAnsi="SimSun" w:cs="SimSun"/>
          <w:sz w:val="20"/>
          <w:szCs w:val="20"/>
          <w:lang w:eastAsia="en-AU"/>
        </w:rPr>
        <w:t xml:space="preserve"> </w:t>
      </w:r>
      <w:hyperlink r:id="rId13" w:history="1">
        <w:r>
          <w:rPr>
            <w:rStyle w:val="Hyperlink"/>
            <w:rFonts w:ascii="SimSun" w:eastAsia="SimSun" w:hAnsi="SimSun" w:cs="SimSun"/>
            <w:sz w:val="20"/>
            <w:szCs w:val="20"/>
            <w:lang w:eastAsia="en-AU"/>
          </w:rPr>
          <w:t>business.gov.au</w:t>
        </w:r>
      </w:hyperlink>
      <w:r>
        <w:rPr>
          <w:rFonts w:ascii="SimSun" w:eastAsia="SimSun" w:hAnsi="SimSun" w:cs="SimSun"/>
          <w:sz w:val="20"/>
          <w:szCs w:val="20"/>
          <w:lang w:eastAsia="en-AU"/>
        </w:rPr>
        <w:t xml:space="preserve"> </w:t>
      </w:r>
      <w:proofErr w:type="spellStart"/>
      <w:r>
        <w:rPr>
          <w:rFonts w:ascii="SimSun" w:eastAsia="SimSun" w:hAnsi="SimSun" w:cs="SimSun"/>
          <w:sz w:val="20"/>
          <w:szCs w:val="20"/>
          <w:lang w:eastAsia="en-AU"/>
        </w:rPr>
        <w:t>或致电</w:t>
      </w:r>
      <w:proofErr w:type="spellEnd"/>
      <w:r>
        <w:rPr>
          <w:rFonts w:ascii="SimSun" w:eastAsia="SimSun" w:hAnsi="SimSun" w:cs="SimSun"/>
          <w:sz w:val="20"/>
          <w:szCs w:val="20"/>
          <w:lang w:eastAsia="en-AU"/>
        </w:rPr>
        <w:br/>
        <w:t>13 28 46。</w:t>
      </w:r>
    </w:p>
    <w:sectPr w:rsidR="00EB25DB" w:rsidSect="00EB25DB">
      <w:type w:val="continuous"/>
      <w:pgSz w:w="11906" w:h="16838"/>
      <w:pgMar w:top="284" w:right="720" w:bottom="720" w:left="720" w:header="221"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C783" w14:textId="77777777" w:rsidR="00C23F74" w:rsidRDefault="00C23F74">
      <w:pPr>
        <w:spacing w:after="0" w:line="240" w:lineRule="auto"/>
      </w:pPr>
      <w:r>
        <w:separator/>
      </w:r>
    </w:p>
  </w:endnote>
  <w:endnote w:type="continuationSeparator" w:id="0">
    <w:p w14:paraId="332A5ABB" w14:textId="77777777" w:rsidR="00C23F74" w:rsidRDefault="00C2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78938"/>
    </w:sdtPr>
    <w:sdtEndPr/>
    <w:sdtContent>
      <w:p w14:paraId="69471BBF" w14:textId="77777777" w:rsidR="000F0647" w:rsidRDefault="00C23F74">
        <w:pPr>
          <w:pStyle w:val="Footer"/>
          <w:ind w:left="-426" w:firstLine="1146"/>
          <w:jc w:val="right"/>
        </w:pPr>
        <w:r>
          <w:rPr>
            <w:b/>
          </w:rPr>
          <w:t>Factsheet:</w:t>
        </w:r>
        <w:r>
          <w:t xml:space="preserve"> Securing Faith-Based Places </w:t>
        </w:r>
        <w:proofErr w:type="spellStart"/>
        <w:r>
          <w:t>Program_Simplified</w:t>
        </w:r>
        <w:proofErr w:type="spellEnd"/>
        <w:r>
          <w:t xml:space="preserve"> Chinese</w:t>
        </w:r>
        <w:r>
          <w:tab/>
        </w:r>
        <w:r>
          <w:tab/>
        </w:r>
        <w:r>
          <w:tab/>
        </w:r>
        <w:r>
          <w:fldChar w:fldCharType="begin"/>
        </w:r>
        <w:r>
          <w:instrText xml:space="preserve"> PAGE   \* MERGEFORMAT </w:instrText>
        </w:r>
        <w:r>
          <w:fldChar w:fldCharType="separate"/>
        </w:r>
        <w:r>
          <w:t>1</w:t>
        </w:r>
        <w:r>
          <w:fldChar w:fldCharType="end"/>
        </w:r>
      </w:p>
    </w:sdtContent>
  </w:sdt>
  <w:p w14:paraId="68006EA9" w14:textId="77777777" w:rsidR="000F0647" w:rsidRDefault="000F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0A9F" w14:textId="77777777" w:rsidR="00C23F74" w:rsidRDefault="00C23F74">
      <w:pPr>
        <w:spacing w:after="0" w:line="240" w:lineRule="auto"/>
      </w:pPr>
      <w:r>
        <w:separator/>
      </w:r>
    </w:p>
  </w:footnote>
  <w:footnote w:type="continuationSeparator" w:id="0">
    <w:p w14:paraId="6B229DFF" w14:textId="77777777" w:rsidR="00C23F74" w:rsidRDefault="00C2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CDD2" w14:textId="7C054D3C" w:rsidR="00797481" w:rsidRDefault="00797481" w:rsidP="00797481">
    <w:pPr>
      <w:pStyle w:val="Heading1"/>
      <w:ind w:left="-426"/>
      <w:rPr>
        <w:rFonts w:ascii="SimSun" w:hAnsi="SimSun"/>
        <w:sz w:val="48"/>
      </w:rPr>
    </w:pPr>
    <w:r>
      <w:rPr>
        <w:rFonts w:ascii="SimSun" w:hAnsi="SimSun"/>
        <w:noProof/>
        <w:lang w:eastAsia="en-AU"/>
      </w:rPr>
      <w:drawing>
        <wp:anchor distT="0" distB="0" distL="114300" distR="114300" simplePos="0" relativeHeight="251659264" behindDoc="0" locked="0" layoutInCell="1" allowOverlap="1" wp14:anchorId="3EA8CF8F" wp14:editId="47D63A39">
          <wp:simplePos x="0" y="0"/>
          <wp:positionH relativeFrom="margin">
            <wp:align>left</wp:align>
          </wp:positionH>
          <wp:positionV relativeFrom="paragraph">
            <wp:posOffset>0</wp:posOffset>
          </wp:positionV>
          <wp:extent cx="5580380" cy="1423670"/>
          <wp:effectExtent l="0" t="0" r="1270" b="5080"/>
          <wp:wrapThrough wrapText="bothSides">
            <wp:wrapPolygon edited="0">
              <wp:start x="0" y="0"/>
              <wp:lineTo x="0" y="21388"/>
              <wp:lineTo x="21531" y="21388"/>
              <wp:lineTo x="21531"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580380" cy="1423670"/>
                  </a:xfrm>
                  <a:prstGeom prst="rect">
                    <a:avLst/>
                  </a:prstGeom>
                  <a:noFill/>
                  <a:ln>
                    <a:noFill/>
                  </a:ln>
                </pic:spPr>
              </pic:pic>
            </a:graphicData>
          </a:graphic>
        </wp:anchor>
      </w:drawing>
    </w:r>
  </w:p>
  <w:p w14:paraId="1622DE76" w14:textId="77777777" w:rsidR="00797481" w:rsidRDefault="00797481" w:rsidP="00797481">
    <w:pPr>
      <w:pStyle w:val="Heading1"/>
      <w:ind w:left="-426"/>
      <w:rPr>
        <w:rFonts w:ascii="SimSun" w:hAnsi="SimSun"/>
        <w:sz w:val="48"/>
      </w:rPr>
    </w:pPr>
  </w:p>
  <w:p w14:paraId="52BD214B" w14:textId="77777777" w:rsidR="00797481" w:rsidRDefault="00797481" w:rsidP="00797481">
    <w:pPr>
      <w:pStyle w:val="Heading1"/>
      <w:ind w:left="-426"/>
      <w:rPr>
        <w:rFonts w:ascii="SimSun" w:hAnsi="SimSun" w:cs="SimSun"/>
        <w:color w:val="1F497D" w:themeColor="text2"/>
        <w:sz w:val="48"/>
        <w:lang w:eastAsia="zh-CN"/>
      </w:rPr>
    </w:pPr>
  </w:p>
  <w:p w14:paraId="3CB31E93" w14:textId="77777777" w:rsidR="00797481" w:rsidRDefault="00797481" w:rsidP="00797481">
    <w:pPr>
      <w:pStyle w:val="Heading1"/>
      <w:ind w:left="-426"/>
      <w:rPr>
        <w:rFonts w:ascii="SimSun" w:hAnsi="SimSun" w:cs="SimSun"/>
        <w:color w:val="1F497D" w:themeColor="text2"/>
        <w:sz w:val="48"/>
        <w:lang w:eastAsia="zh-CN"/>
      </w:rPr>
    </w:pPr>
  </w:p>
  <w:p w14:paraId="4AD056CF" w14:textId="77777777" w:rsidR="00797481" w:rsidRDefault="0079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6B4"/>
    <w:multiLevelType w:val="multilevel"/>
    <w:tmpl w:val="022F6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A6368"/>
    <w:multiLevelType w:val="multilevel"/>
    <w:tmpl w:val="1FBA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B912033"/>
    <w:multiLevelType w:val="multilevel"/>
    <w:tmpl w:val="5B9120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A15FB9"/>
    <w:multiLevelType w:val="multilevel"/>
    <w:tmpl w:val="63A15FB9"/>
    <w:lvl w:ilvl="0">
      <w:start w:val="1"/>
      <w:numFmt w:val="bullet"/>
      <w:pStyle w:val="Bullet1"/>
      <w:lvlText w:val=""/>
      <w:lvlJc w:val="left"/>
      <w:pPr>
        <w:ind w:left="720" w:hanging="360"/>
      </w:pPr>
      <w:rPr>
        <w:rFonts w:ascii="Symbol" w:hAnsi="Symbol" w:hint="default"/>
        <w:color w:val="5C5C5C"/>
      </w:rPr>
    </w:lvl>
    <w:lvl w:ilvl="1">
      <w:start w:val="1"/>
      <w:numFmt w:val="bullet"/>
      <w:pStyle w:val="ListBullet"/>
      <w:lvlText w:val=""/>
      <w:lvlJc w:val="left"/>
      <w:pPr>
        <w:ind w:left="1353" w:hanging="360"/>
      </w:pPr>
      <w:rPr>
        <w:rFonts w:ascii="Symbol" w:hAnsi="Symbol" w:hint="default"/>
        <w:color w:val="4D738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1826228">
    <w:abstractNumId w:val="3"/>
  </w:num>
  <w:num w:numId="2" w16cid:durableId="303974765">
    <w:abstractNumId w:val="1"/>
  </w:num>
  <w:num w:numId="3" w16cid:durableId="1681931978">
    <w:abstractNumId w:val="0"/>
  </w:num>
  <w:num w:numId="4" w16cid:durableId="200254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0A"/>
    <w:rsid w:val="00031E16"/>
    <w:rsid w:val="00032768"/>
    <w:rsid w:val="00037781"/>
    <w:rsid w:val="000B02C5"/>
    <w:rsid w:val="000F0647"/>
    <w:rsid w:val="00110D31"/>
    <w:rsid w:val="00193288"/>
    <w:rsid w:val="001A0E1C"/>
    <w:rsid w:val="002A2876"/>
    <w:rsid w:val="002E13D8"/>
    <w:rsid w:val="002E37F3"/>
    <w:rsid w:val="00313872"/>
    <w:rsid w:val="00322425"/>
    <w:rsid w:val="00336B3D"/>
    <w:rsid w:val="003426F2"/>
    <w:rsid w:val="003B1D39"/>
    <w:rsid w:val="003C679D"/>
    <w:rsid w:val="003D5C98"/>
    <w:rsid w:val="003E4492"/>
    <w:rsid w:val="003F2578"/>
    <w:rsid w:val="00403131"/>
    <w:rsid w:val="004460EA"/>
    <w:rsid w:val="00480A9E"/>
    <w:rsid w:val="004A1400"/>
    <w:rsid w:val="005208B8"/>
    <w:rsid w:val="00555668"/>
    <w:rsid w:val="00591EAA"/>
    <w:rsid w:val="005A27ED"/>
    <w:rsid w:val="005C34EC"/>
    <w:rsid w:val="006E0D46"/>
    <w:rsid w:val="00717642"/>
    <w:rsid w:val="007423F9"/>
    <w:rsid w:val="00763E5F"/>
    <w:rsid w:val="00797481"/>
    <w:rsid w:val="007A1C6E"/>
    <w:rsid w:val="007B0943"/>
    <w:rsid w:val="007D070A"/>
    <w:rsid w:val="007D4E18"/>
    <w:rsid w:val="008A4A05"/>
    <w:rsid w:val="008D1022"/>
    <w:rsid w:val="008D4615"/>
    <w:rsid w:val="00921E75"/>
    <w:rsid w:val="00944990"/>
    <w:rsid w:val="00AB656C"/>
    <w:rsid w:val="00AC2B85"/>
    <w:rsid w:val="00AC67CA"/>
    <w:rsid w:val="00AD2826"/>
    <w:rsid w:val="00B23B9F"/>
    <w:rsid w:val="00B649DD"/>
    <w:rsid w:val="00BA3148"/>
    <w:rsid w:val="00C02F69"/>
    <w:rsid w:val="00C23F74"/>
    <w:rsid w:val="00C376FF"/>
    <w:rsid w:val="00C654AB"/>
    <w:rsid w:val="00C95EED"/>
    <w:rsid w:val="00D50567"/>
    <w:rsid w:val="00D84A77"/>
    <w:rsid w:val="00D9331D"/>
    <w:rsid w:val="00DF50F0"/>
    <w:rsid w:val="00E17320"/>
    <w:rsid w:val="00E31CBF"/>
    <w:rsid w:val="00E40E4E"/>
    <w:rsid w:val="00E44030"/>
    <w:rsid w:val="00EB25DB"/>
    <w:rsid w:val="00EE7A67"/>
    <w:rsid w:val="00F13E22"/>
    <w:rsid w:val="00F205F9"/>
    <w:rsid w:val="00F3656D"/>
    <w:rsid w:val="00F62068"/>
    <w:rsid w:val="00F6388A"/>
    <w:rsid w:val="00F773BE"/>
    <w:rsid w:val="00FB72DC"/>
    <w:rsid w:val="6688E8A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33F017"/>
  <w15:docId w15:val="{DD62889D-A91A-4646-A067-4FC95CED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w w:val="105"/>
      <w:kern w:val="40"/>
      <w:sz w:val="22"/>
      <w:szCs w:val="22"/>
      <w:lang w:eastAsia="en-US"/>
    </w:rPr>
  </w:style>
  <w:style w:type="paragraph" w:styleId="Heading1">
    <w:name w:val="heading 1"/>
    <w:basedOn w:val="Normal"/>
    <w:next w:val="Normal"/>
    <w:link w:val="Heading1Char"/>
    <w:uiPriority w:val="9"/>
    <w:qFormat/>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Bullet">
    <w:name w:val="List Bullet"/>
    <w:basedOn w:val="Normal"/>
    <w:uiPriority w:val="99"/>
    <w:unhideWhenUsed/>
    <w:pPr>
      <w:numPr>
        <w:ilvl w:val="1"/>
        <w:numId w:val="1"/>
      </w:numPr>
      <w:ind w:left="1440"/>
      <w:contextualSpacing/>
    </w:pPr>
  </w:style>
  <w:style w:type="paragraph" w:styleId="ListBullet2">
    <w:name w:val="List Bullet 2"/>
    <w:basedOn w:val="ListBullet"/>
    <w:uiPriority w:val="99"/>
    <w:unhideWhenUsed/>
    <w:qFormat/>
    <w:pPr>
      <w:ind w:left="1134" w:hanging="567"/>
    </w:pPr>
  </w:style>
  <w:style w:type="paragraph" w:styleId="Subtitle">
    <w:name w:val="Subtitle"/>
    <w:basedOn w:val="Title"/>
    <w:next w:val="Normal"/>
    <w:link w:val="SubtitleChar"/>
    <w:uiPriority w:val="11"/>
    <w:qFormat/>
    <w:pPr>
      <w:pBdr>
        <w:bottom w:val="none" w:sz="0" w:space="0" w:color="auto"/>
      </w:pBdr>
      <w:spacing w:before="240" w:after="60"/>
      <w:contextualSpacing w:val="0"/>
      <w:jc w:val="right"/>
      <w:outlineLvl w:val="0"/>
    </w:pPr>
    <w:rPr>
      <w:rFonts w:ascii="Calibri" w:eastAsia="SimSun" w:hAnsi="Calibri" w:cs="Angsana New"/>
      <w:b/>
      <w:bCs/>
      <w:color w:val="auto"/>
      <w:spacing w:val="0"/>
      <w:sz w:val="28"/>
      <w:szCs w:val="2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Pr>
      <w:rFonts w:ascii="Calibri" w:eastAsia="SimSun" w:hAnsi="Calibri" w:cs="Angsana New"/>
      <w:b/>
      <w:bCs/>
      <w:iCs/>
      <w:color w:val="4D738A"/>
      <w:w w:val="105"/>
      <w:kern w:val="40"/>
      <w:sz w:val="40"/>
      <w:szCs w:val="48"/>
    </w:rPr>
  </w:style>
  <w:style w:type="character" w:customStyle="1" w:styleId="Heading3Char">
    <w:name w:val="Heading 3 Char"/>
    <w:basedOn w:val="DefaultParagraphFont"/>
    <w:link w:val="Heading3"/>
    <w:uiPriority w:val="9"/>
    <w:rPr>
      <w:rFonts w:ascii="Calibri" w:eastAsia="SimSun" w:hAnsi="Calibri" w:cs="Angsana New"/>
      <w:b/>
      <w:bCs/>
      <w:color w:val="404040"/>
      <w:w w:val="105"/>
      <w:kern w:val="40"/>
      <w:sz w:val="32"/>
      <w:szCs w:val="32"/>
    </w:rPr>
  </w:style>
  <w:style w:type="character" w:customStyle="1" w:styleId="Heading4Char">
    <w:name w:val="Heading 4 Char"/>
    <w:basedOn w:val="DefaultParagraphFont"/>
    <w:link w:val="Heading4"/>
    <w:uiPriority w:val="9"/>
    <w:rPr>
      <w:rFonts w:ascii="Calibri" w:eastAsia="SimSun" w:hAnsi="Calibri" w:cs="Angsana New"/>
      <w:b/>
      <w:bCs/>
      <w:color w:val="595959" w:themeColor="text1" w:themeTint="A6"/>
      <w:w w:val="105"/>
      <w:kern w:val="40"/>
      <w:sz w:val="26"/>
      <w:szCs w:val="26"/>
    </w:rPr>
  </w:style>
  <w:style w:type="character" w:customStyle="1" w:styleId="SubtitleChar">
    <w:name w:val="Subtitle Char"/>
    <w:basedOn w:val="DefaultParagraphFont"/>
    <w:link w:val="Subtitle"/>
    <w:uiPriority w:val="11"/>
    <w:rPr>
      <w:rFonts w:ascii="Calibri" w:eastAsia="SimSun" w:hAnsi="Calibri" w:cs="Angsana New"/>
      <w:b/>
      <w:bCs/>
      <w:w w:val="105"/>
      <w:kern w:val="28"/>
      <w:sz w:val="28"/>
      <w:szCs w:val="28"/>
    </w:rPr>
  </w:style>
  <w:style w:type="paragraph" w:customStyle="1" w:styleId="Bullet1">
    <w:name w:val="Bullet 1"/>
    <w:basedOn w:val="ListBullet2"/>
    <w:qFormat/>
    <w:pPr>
      <w:numPr>
        <w:ilvl w:val="0"/>
      </w:numPr>
      <w:ind w:left="567" w:hanging="567"/>
    </w:p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w w:val="105"/>
      <w:kern w:val="28"/>
      <w:sz w:val="52"/>
      <w:szCs w:val="52"/>
    </w:rPr>
  </w:style>
  <w:style w:type="character" w:customStyle="1" w:styleId="BalloonTextChar">
    <w:name w:val="Balloon Text Char"/>
    <w:basedOn w:val="DefaultParagraphFont"/>
    <w:link w:val="BalloonText"/>
    <w:uiPriority w:val="99"/>
    <w:semiHidden/>
    <w:rPr>
      <w:rFonts w:ascii="Tahoma" w:eastAsia="Calibri" w:hAnsi="Tahoma" w:cs="Tahoma"/>
      <w:w w:val="105"/>
      <w:kern w:val="40"/>
      <w:sz w:val="16"/>
      <w:szCs w:val="16"/>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rPr>
      <w:rFonts w:ascii="Calibri" w:eastAsia="Calibri" w:hAnsi="Calibri" w:cs="Calibri"/>
      <w:w w:val="105"/>
      <w:kern w:val="40"/>
      <w:sz w:val="20"/>
      <w:szCs w:val="20"/>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Calibri" w:eastAsia="Calibri" w:hAnsi="Calibri" w:cs="Calibri"/>
      <w:b/>
      <w:bCs/>
      <w:w w:val="105"/>
      <w:kern w:val="40"/>
      <w:sz w:val="20"/>
      <w:szCs w:val="20"/>
    </w:rPr>
  </w:style>
  <w:style w:type="paragraph" w:customStyle="1" w:styleId="Revision1">
    <w:name w:val="Revision1"/>
    <w:hidden/>
    <w:uiPriority w:val="99"/>
    <w:semiHidden/>
    <w:pPr>
      <w:spacing w:after="0" w:line="240" w:lineRule="auto"/>
    </w:pPr>
    <w:rPr>
      <w:rFonts w:ascii="Calibri" w:eastAsia="Calibri" w:hAnsi="Calibri"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siness.gov.au/grants-and-programs?resultsNum=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grant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gov.au/grants-and-programs/securing-faith-based-pla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s.gov.au/statistics/classifications/australian-standard-classification-religious-groups/2016/ASCRG_12660DO0001_201707.x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1250</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2023-08-04T02:28:00Z</cp:lastPrinted>
  <dcterms:created xsi:type="dcterms:W3CDTF">2023-08-01T00:02:00Z</dcterms:created>
  <dcterms:modified xsi:type="dcterms:W3CDTF">2023-08-04T02:32:00Z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0x010100AFB54AE2FFB7AF408B7756CD373CF197001320AC9382E3C646B11655637227D64F</vt:lpwstr>
  </property>
  <property fmtid="{D5CDD505-2E9C-101B-9397-08002B2CF9AE}" pid="3" name="lf240a0170264e5ca0a4ac4df6a4adf7">
    <vt:lpwstr>Attorney-General's Department|c281c3f2-80ff-44a1-b91f-c6c543d93cc6</vt:lpwstr>
  </property>
  <property fmtid="{D5CDD505-2E9C-101B-9397-08002B2CF9AE}" pid="4" name="Owner">
    <vt:lpwstr>59;#Attorney-General's Department|c281c3f2-80ff-44a1-b91f-c6c543d93cc6</vt:lpwstr>
  </property>
  <property fmtid="{D5CDD505-2E9C-101B-9397-08002B2CF9AE}" pid="5" name="_dlc_DocIdItemGuid">
    <vt:lpwstr>fabe963f-979c-4f98-90e2-1644ad13a1a8</vt:lpwstr>
  </property>
  <property fmtid="{D5CDD505-2E9C-101B-9397-08002B2CF9AE}" pid="6" name="KSOProductBuildVer">
    <vt:lpwstr>1033-3.9.1.6204</vt:lpwstr>
  </property>
</Properties>
</file>