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64CD8" w14:textId="7A61D09A" w:rsidR="00D219CF" w:rsidRPr="00624656" w:rsidRDefault="005478C6" w:rsidP="00624656">
      <w:pPr>
        <w:pStyle w:val="Heading1"/>
      </w:pPr>
      <w:bookmarkStart w:id="0" w:name="_GoBack"/>
      <w:r>
        <mc:AlternateContent>
          <mc:Choice Requires="wpg">
            <w:drawing>
              <wp:anchor distT="0" distB="0" distL="114300" distR="114300" simplePos="0" relativeHeight="251662336" behindDoc="0" locked="0" layoutInCell="1" allowOverlap="1" wp14:anchorId="158C93BE" wp14:editId="7272F9BA">
                <wp:simplePos x="0" y="0"/>
                <wp:positionH relativeFrom="margin">
                  <wp:align>left</wp:align>
                </wp:positionH>
                <wp:positionV relativeFrom="paragraph">
                  <wp:posOffset>-3479</wp:posOffset>
                </wp:positionV>
                <wp:extent cx="5875020" cy="954488"/>
                <wp:effectExtent l="0" t="0" r="0" b="0"/>
                <wp:wrapNone/>
                <wp:docPr id="11" name="Group 11" descr="Research and development tax incentive: Applying the law"/>
                <wp:cNvGraphicFramePr/>
                <a:graphic xmlns:a="http://schemas.openxmlformats.org/drawingml/2006/main">
                  <a:graphicData uri="http://schemas.microsoft.com/office/word/2010/wordprocessingGroup">
                    <wpg:wgp>
                      <wpg:cNvGrpSpPr/>
                      <wpg:grpSpPr>
                        <a:xfrm>
                          <a:off x="0" y="0"/>
                          <a:ext cx="5875020" cy="954488"/>
                          <a:chOff x="0" y="0"/>
                          <a:chExt cx="5875020" cy="954488"/>
                        </a:xfrm>
                      </wpg:grpSpPr>
                      <wps:wsp>
                        <wps:cNvPr id="5" name="Rectangle 5" descr="R&amp;D Tax Incentive: Applying the law" title="heading line"/>
                        <wps:cNvSpPr>
                          <a:spLocks/>
                        </wps:cNvSpPr>
                        <wps:spPr>
                          <a:xfrm>
                            <a:off x="0" y="0"/>
                            <a:ext cx="5875020" cy="83820"/>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3" descr="R&amp;D Tax Incentive: Applying the law"/>
                        <wps:cNvSpPr>
                          <a:spLocks/>
                        </wps:cNvSpPr>
                        <wps:spPr bwMode="auto">
                          <a:xfrm>
                            <a:off x="0" y="47708"/>
                            <a:ext cx="5875020" cy="906780"/>
                          </a:xfrm>
                          <a:prstGeom prst="rect">
                            <a:avLst/>
                          </a:prstGeom>
                          <a:solidFill>
                            <a:srgbClr val="2E75B6"/>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BFB1EE1" w14:textId="77777777" w:rsidR="00A24218" w:rsidRPr="00903507" w:rsidRDefault="00A24218" w:rsidP="00A24218">
                              <w:pPr>
                                <w:spacing w:before="300" w:after="600" w:line="570" w:lineRule="atLeast"/>
                                <w:ind w:firstLine="1276"/>
                                <w:outlineLvl w:val="1"/>
                                <w:rPr>
                                  <w:rFonts w:ascii="Arial" w:hAnsi="Arial" w:cs="Arial"/>
                                  <w:color w:val="FFFFFF" w:themeColor="background1"/>
                                  <w:kern w:val="36"/>
                                  <w:sz w:val="40"/>
                                  <w:szCs w:val="50"/>
                                  <w:lang w:eastAsia="en-AU"/>
                                </w:rPr>
                              </w:pPr>
                              <w:r w:rsidRPr="00903507">
                                <w:rPr>
                                  <w:rFonts w:ascii="Arial" w:hAnsi="Arial" w:cs="Arial"/>
                                  <w:color w:val="FFFFFF" w:themeColor="background1"/>
                                  <w:kern w:val="36"/>
                                  <w:sz w:val="40"/>
                                  <w:szCs w:val="50"/>
                                  <w:lang w:eastAsia="en-AU"/>
                                </w:rPr>
                                <w:t>R&amp;D Tax Incentive</w:t>
                              </w:r>
                              <w:r w:rsidR="001A3FB4">
                                <w:rPr>
                                  <w:rFonts w:ascii="Arial" w:hAnsi="Arial" w:cs="Arial"/>
                                  <w:color w:val="FFFFFF" w:themeColor="background1"/>
                                  <w:kern w:val="36"/>
                                  <w:sz w:val="40"/>
                                  <w:szCs w:val="50"/>
                                  <w:lang w:eastAsia="en-AU"/>
                                </w:rPr>
                                <w:t>:</w:t>
                              </w:r>
                              <w:r w:rsidRPr="00903507">
                                <w:rPr>
                                  <w:rFonts w:ascii="Arial" w:hAnsi="Arial" w:cs="Arial"/>
                                  <w:color w:val="FFFFFF" w:themeColor="background1"/>
                                  <w:kern w:val="36"/>
                                  <w:sz w:val="40"/>
                                  <w:szCs w:val="50"/>
                                  <w:lang w:eastAsia="en-AU"/>
                                </w:rPr>
                                <w:t xml:space="preserve"> </w:t>
                              </w:r>
                              <w:r w:rsidR="001A3FB4">
                                <w:rPr>
                                  <w:rFonts w:ascii="Arial" w:hAnsi="Arial" w:cs="Arial"/>
                                  <w:color w:val="FFFFFF" w:themeColor="background1"/>
                                  <w:kern w:val="36"/>
                                  <w:sz w:val="40"/>
                                  <w:szCs w:val="50"/>
                                  <w:lang w:eastAsia="en-AU"/>
                                </w:rPr>
                                <w:t>applying the law</w:t>
                              </w:r>
                              <w:r w:rsidRPr="00903507">
                                <w:rPr>
                                  <w:rFonts w:ascii="Arial" w:hAnsi="Arial" w:cs="Arial"/>
                                  <w:color w:val="FFFFFF" w:themeColor="background1"/>
                                  <w:kern w:val="36"/>
                                  <w:sz w:val="40"/>
                                  <w:szCs w:val="50"/>
                                  <w:lang w:eastAsia="en-AU"/>
                                </w:rPr>
                                <w:t xml:space="preserve"> </w:t>
                              </w:r>
                            </w:p>
                            <w:p w14:paraId="7BDC7314" w14:textId="77777777" w:rsidR="00A24218" w:rsidRPr="00D45F9B" w:rsidRDefault="00A24218" w:rsidP="00A24218">
                              <w:pPr>
                                <w:spacing w:before="240"/>
                                <w:ind w:left="1440"/>
                                <w:rPr>
                                  <w:b/>
                                  <w:color w:val="365F91"/>
                                  <w:sz w:val="32"/>
                                  <w:szCs w:val="32"/>
                                </w:rPr>
                              </w:pPr>
                              <w:proofErr w:type="gramStart"/>
                              <w:r w:rsidRPr="00D45F9B">
                                <w:rPr>
                                  <w:color w:val="FFFFFF"/>
                                  <w:sz w:val="32"/>
                                  <w:szCs w:val="32"/>
                                </w:rPr>
                                <w:t>t</w:t>
                              </w:r>
                              <w:proofErr w:type="gramEnd"/>
                            </w:p>
                            <w:p w14:paraId="5337C232" w14:textId="77777777" w:rsidR="00A24218" w:rsidRPr="00D45F9B" w:rsidRDefault="00A24218" w:rsidP="00A24218">
                              <w:pPr>
                                <w:spacing w:after="0"/>
                                <w:ind w:left="1116"/>
                                <w:rPr>
                                  <w:color w:val="FFFFFF"/>
                                  <w:sz w:val="32"/>
                                  <w:szCs w:val="32"/>
                                </w:rPr>
                              </w:pPr>
                            </w:p>
                          </w:txbxContent>
                        </wps:txbx>
                        <wps:bodyPr rot="0" vert="horz" wrap="square" lIns="91440" tIns="45720" rIns="91440" bIns="45720" anchor="ctr" anchorCtr="0" upright="1">
                          <a:noAutofit/>
                        </wps:bodyPr>
                      </wps:wsp>
                      <wps:wsp>
                        <wps:cNvPr id="4" name="Oval 4" descr="R&amp;D Tax Incentive: Applying the law" title="red circle"/>
                        <wps:cNvSpPr>
                          <a:spLocks/>
                        </wps:cNvSpPr>
                        <wps:spPr>
                          <a:xfrm>
                            <a:off x="262393" y="270345"/>
                            <a:ext cx="510540" cy="502920"/>
                          </a:xfrm>
                          <a:prstGeom prst="ellipse">
                            <a:avLst/>
                          </a:prstGeom>
                          <a:solidFill>
                            <a:srgbClr val="C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8C93BE" id="Group 11" o:spid="_x0000_s1026" alt="Research and development tax incentive: Applying the law" style="position:absolute;margin-left:0;margin-top:-.25pt;width:462.6pt;height:75.15pt;z-index:251662336;mso-position-horizontal:left;mso-position-horizontal-relative:margin" coordsize="58750,9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">
                <v:rect id="Rectangle 5" o:spid="_x0000_s1027" alt="R&amp;D Tax Incentive: Applying the law" style="position:absolute;width:58750;height: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S9cAA&#10;AADaAAAADwAAAGRycy9kb3ducmV2LnhtbESP0YrCMBRE34X9h3AF32yqoEg1yrIgCOuL1Q+4NLdN&#10;aXNTmmzb3a/fCIKPw8ycYQ6nybZioN7XjhWskhQEceF0zZWCx/283IHwAVlj65gU/JKH0/FjdsBM&#10;u5FvNOShEhHCPkMFJoQuk9IXhiz6xHXE0StdbzFE2VdS9zhGuG3lOk230mLNccFgR1+Giib/sQqu&#10;d9eU3005Nibf6mHXhr/prJVazKfPPYhAU3iHX+2LVrCB55V4A+Tx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sS9cAAAADaAAAADwAAAAAAAAAAAAAAAACYAgAAZHJzL2Rvd25y&#10;ZXYueG1sUEsFBgAAAAAEAAQA9QAAAIUDAAAAAA==&#10;" fillcolor="#ffc000" stroked="f" strokeweight="2pt">
                  <v:path arrowok="t"/>
                </v:rect>
                <v:rect id="Rectangle 3" o:spid="_x0000_s1028" alt="R&amp;D Tax Incentive: Applying the law" style="position:absolute;top:477;width:58750;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YP74A&#10;AADaAAAADwAAAGRycy9kb3ducmV2LnhtbERPS4vCMBC+C/6HMIIXWVNd6UrXKCIoe10f9Do2s22w&#10;mZQmav33RljwNHx8z1msOluLG7XeOFYwGScgiAunDZcKjoftxxyED8gaa8ek4EEeVst+b4GZdnf+&#10;pds+lCKGsM9QQRVCk0npi4os+rFriCP351qLIcK2lLrFewy3tZwmSSotGo4NFTa0qai47K9WQZrM&#10;TiZtDO++culHl/B5lnWu1HDQrb9BBOrCW/zv/tFxPrxeeV25f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tGD++AAAA2gAAAA8AAAAAAAAAAAAAAAAAmAIAAGRycy9kb3ducmV2&#10;LnhtbFBLBQYAAAAABAAEAPUAAACDAwAAAAA=&#10;" fillcolor="#2e75b6" stroked="f" strokeweight="1pt">
                  <v:path arrowok="t"/>
                  <v:textbox>
                    <w:txbxContent>
                      <w:p w14:paraId="4BFB1EE1" w14:textId="77777777" w:rsidR="00A24218" w:rsidRPr="00903507" w:rsidRDefault="00A24218" w:rsidP="00A24218">
                        <w:pPr>
                          <w:spacing w:before="300" w:after="600" w:line="570" w:lineRule="atLeast"/>
                          <w:ind w:firstLine="1276"/>
                          <w:outlineLvl w:val="1"/>
                          <w:rPr>
                            <w:rFonts w:ascii="Arial" w:hAnsi="Arial" w:cs="Arial"/>
                            <w:color w:val="FFFFFF" w:themeColor="background1"/>
                            <w:kern w:val="36"/>
                            <w:sz w:val="40"/>
                            <w:szCs w:val="50"/>
                            <w:lang w:eastAsia="en-AU"/>
                          </w:rPr>
                        </w:pPr>
                        <w:r w:rsidRPr="00903507">
                          <w:rPr>
                            <w:rFonts w:ascii="Arial" w:hAnsi="Arial" w:cs="Arial"/>
                            <w:color w:val="FFFFFF" w:themeColor="background1"/>
                            <w:kern w:val="36"/>
                            <w:sz w:val="40"/>
                            <w:szCs w:val="50"/>
                            <w:lang w:eastAsia="en-AU"/>
                          </w:rPr>
                          <w:t>R&amp;D Tax Incentive</w:t>
                        </w:r>
                        <w:r w:rsidR="001A3FB4">
                          <w:rPr>
                            <w:rFonts w:ascii="Arial" w:hAnsi="Arial" w:cs="Arial"/>
                            <w:color w:val="FFFFFF" w:themeColor="background1"/>
                            <w:kern w:val="36"/>
                            <w:sz w:val="40"/>
                            <w:szCs w:val="50"/>
                            <w:lang w:eastAsia="en-AU"/>
                          </w:rPr>
                          <w:t>:</w:t>
                        </w:r>
                        <w:r w:rsidRPr="00903507">
                          <w:rPr>
                            <w:rFonts w:ascii="Arial" w:hAnsi="Arial" w:cs="Arial"/>
                            <w:color w:val="FFFFFF" w:themeColor="background1"/>
                            <w:kern w:val="36"/>
                            <w:sz w:val="40"/>
                            <w:szCs w:val="50"/>
                            <w:lang w:eastAsia="en-AU"/>
                          </w:rPr>
                          <w:t xml:space="preserve"> </w:t>
                        </w:r>
                        <w:r w:rsidR="001A3FB4">
                          <w:rPr>
                            <w:rFonts w:ascii="Arial" w:hAnsi="Arial" w:cs="Arial"/>
                            <w:color w:val="FFFFFF" w:themeColor="background1"/>
                            <w:kern w:val="36"/>
                            <w:sz w:val="40"/>
                            <w:szCs w:val="50"/>
                            <w:lang w:eastAsia="en-AU"/>
                          </w:rPr>
                          <w:t>applying the law</w:t>
                        </w:r>
                        <w:r w:rsidRPr="00903507">
                          <w:rPr>
                            <w:rFonts w:ascii="Arial" w:hAnsi="Arial" w:cs="Arial"/>
                            <w:color w:val="FFFFFF" w:themeColor="background1"/>
                            <w:kern w:val="36"/>
                            <w:sz w:val="40"/>
                            <w:szCs w:val="50"/>
                            <w:lang w:eastAsia="en-AU"/>
                          </w:rPr>
                          <w:t xml:space="preserve"> </w:t>
                        </w:r>
                      </w:p>
                      <w:p w14:paraId="7BDC7314" w14:textId="77777777" w:rsidR="00A24218" w:rsidRPr="00D45F9B" w:rsidRDefault="00A24218" w:rsidP="00A24218">
                        <w:pPr>
                          <w:spacing w:before="240"/>
                          <w:ind w:left="1440"/>
                          <w:rPr>
                            <w:b/>
                            <w:color w:val="365F91"/>
                            <w:sz w:val="32"/>
                            <w:szCs w:val="32"/>
                          </w:rPr>
                        </w:pPr>
                        <w:proofErr w:type="gramStart"/>
                        <w:r w:rsidRPr="00D45F9B">
                          <w:rPr>
                            <w:color w:val="FFFFFF"/>
                            <w:sz w:val="32"/>
                            <w:szCs w:val="32"/>
                          </w:rPr>
                          <w:t>t</w:t>
                        </w:r>
                        <w:proofErr w:type="gramEnd"/>
                      </w:p>
                      <w:p w14:paraId="5337C232" w14:textId="77777777" w:rsidR="00A24218" w:rsidRPr="00D45F9B" w:rsidRDefault="00A24218" w:rsidP="00A24218">
                        <w:pPr>
                          <w:spacing w:after="0"/>
                          <w:ind w:left="1116"/>
                          <w:rPr>
                            <w:color w:val="FFFFFF"/>
                            <w:sz w:val="32"/>
                            <w:szCs w:val="32"/>
                          </w:rPr>
                        </w:pPr>
                      </w:p>
                    </w:txbxContent>
                  </v:textbox>
                </v:rect>
                <v:oval id="Oval 4" o:spid="_x0000_s1029" alt="R&amp;D Tax Incentive: Applying the law" style="position:absolute;left:2623;top:2703;width:5106;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li8QA&#10;AADaAAAADwAAAGRycy9kb3ducmV2LnhtbESPXWvCMBSG74X9h3AGuxFNJzpGNYofbAjCoCqId4fm&#10;rOnWnNQm0/rvjSDs8uX9eHgns9ZW4kyNLx0reO0nIIhzp0suFOx3H713ED4ga6wck4IreZhNnzoT&#10;TLW7cEbnbShEHGGfogITQp1K6XNDFn3f1cTR+3aNxRBlU0jd4CWO20oOkuRNWiw5EgzWtDSU/27/&#10;bOQeFl9mMTq2+3I3X53wM+tufjKlXp7b+RhEoDb8hx/ttVYwhPu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KJYvEAAAA2gAAAA8AAAAAAAAAAAAAAAAAmAIAAGRycy9k&#10;b3ducmV2LnhtbFBLBQYAAAAABAAEAPUAAACJAwAAAAA=&#10;" fillcolor="#c00000" strokecolor="#41719c" strokeweight="1pt">
                  <v:stroke joinstyle="miter"/>
                  <v:path arrowok="t"/>
                </v:oval>
                <w10:wrap anchorx="margin"/>
              </v:group>
            </w:pict>
          </mc:Fallback>
        </mc:AlternateContent>
      </w:r>
      <w:bookmarkEnd w:id="0"/>
      <w:r w:rsidR="00D219CF" w:rsidRPr="00624656">
        <w:t>No new knowledge</w:t>
      </w:r>
      <w:r w:rsidR="008578EC" w:rsidRPr="00624656">
        <w:t xml:space="preserve"> – </w:t>
      </w:r>
      <w:r w:rsidR="001F14AD" w:rsidRPr="00624656">
        <w:t>a</w:t>
      </w:r>
      <w:r w:rsidR="00AA09BC" w:rsidRPr="00624656">
        <w:t>griculture</w:t>
      </w:r>
    </w:p>
    <w:p w14:paraId="5A0CC616" w14:textId="77777777" w:rsidR="00BD5E0D" w:rsidRDefault="00FE51E2" w:rsidP="0034274B">
      <w:pPr>
        <w:shd w:val="clear" w:color="auto" w:fill="2E75B6"/>
        <w:spacing w:before="120" w:line="240" w:lineRule="auto"/>
        <w:rPr>
          <w:rFonts w:asciiTheme="minorHAnsi" w:eastAsiaTheme="minorEastAsia" w:hAnsiTheme="minorHAnsi" w:cs="Arial"/>
          <w:color w:val="FFFFFF" w:themeColor="background1"/>
          <w:sz w:val="21"/>
          <w:szCs w:val="21"/>
          <w:lang w:val="en-US" w:eastAsia="en-AU"/>
        </w:rPr>
      </w:pPr>
      <w:r w:rsidRPr="00A24218">
        <w:rPr>
          <w:rFonts w:asciiTheme="minorHAnsi" w:eastAsiaTheme="minorEastAsia" w:hAnsiTheme="minorHAnsi" w:cs="Arial"/>
          <w:color w:val="FFFFFF" w:themeColor="background1"/>
          <w:sz w:val="21"/>
          <w:szCs w:val="21"/>
          <w:lang w:val="en-US" w:eastAsia="en-AU"/>
        </w:rPr>
        <w:t xml:space="preserve">CAUTION: This is an edited and </w:t>
      </w:r>
      <w:proofErr w:type="spellStart"/>
      <w:r w:rsidRPr="00A24218">
        <w:rPr>
          <w:rFonts w:asciiTheme="minorHAnsi" w:eastAsiaTheme="minorEastAsia" w:hAnsiTheme="minorHAnsi" w:cs="Arial"/>
          <w:color w:val="FFFFFF" w:themeColor="background1"/>
          <w:sz w:val="21"/>
          <w:szCs w:val="21"/>
          <w:lang w:val="en-US" w:eastAsia="en-AU"/>
        </w:rPr>
        <w:t>summarised</w:t>
      </w:r>
      <w:proofErr w:type="spellEnd"/>
      <w:r w:rsidRPr="00A24218">
        <w:rPr>
          <w:rFonts w:asciiTheme="minorHAnsi" w:eastAsiaTheme="minorEastAsia" w:hAnsiTheme="minorHAnsi" w:cs="Arial"/>
          <w:color w:val="FFFFFF" w:themeColor="background1"/>
          <w:sz w:val="21"/>
          <w:szCs w:val="21"/>
          <w:lang w:val="en-US" w:eastAsia="en-AU"/>
        </w:rPr>
        <w:t xml:space="preserve"> record of an Innovation and Science Australia R&amp;D Finding. This record is not published as a form of advice. It is being made available for your inspection to meet FOI requirements, because it may be used by an offi</w:t>
      </w:r>
      <w:r w:rsidR="00A24218">
        <w:rPr>
          <w:rFonts w:asciiTheme="minorHAnsi" w:eastAsiaTheme="minorEastAsia" w:hAnsiTheme="minorHAnsi" w:cs="Arial"/>
          <w:color w:val="FFFFFF" w:themeColor="background1"/>
          <w:sz w:val="21"/>
          <w:szCs w:val="21"/>
          <w:lang w:val="en-US" w:eastAsia="en-AU"/>
        </w:rPr>
        <w:t>cer in making another decision.</w:t>
      </w:r>
      <w:r w:rsidR="00AA09BC">
        <w:rPr>
          <w:rFonts w:asciiTheme="minorHAnsi" w:eastAsiaTheme="minorEastAsia" w:hAnsiTheme="minorHAnsi" w:cs="Arial"/>
          <w:color w:val="FFFFFF" w:themeColor="background1"/>
          <w:sz w:val="21"/>
          <w:szCs w:val="21"/>
          <w:lang w:val="en-US" w:eastAsia="en-AU"/>
        </w:rPr>
        <w:t xml:space="preserve"> </w:t>
      </w:r>
    </w:p>
    <w:p w14:paraId="0DFEFEF2" w14:textId="27194E31" w:rsidR="00FE51E2" w:rsidRPr="00A24218" w:rsidRDefault="00BD5E0D" w:rsidP="00A24218">
      <w:pPr>
        <w:shd w:val="clear" w:color="auto" w:fill="2E75B6"/>
        <w:spacing w:line="240" w:lineRule="auto"/>
        <w:rPr>
          <w:rFonts w:asciiTheme="minorHAnsi" w:eastAsiaTheme="minorEastAsia" w:hAnsiTheme="minorHAnsi" w:cs="Arial"/>
          <w:color w:val="FFFFFF" w:themeColor="background1"/>
          <w:sz w:val="21"/>
          <w:szCs w:val="21"/>
          <w:lang w:val="en-US" w:eastAsia="en-AU"/>
        </w:rPr>
      </w:pPr>
      <w:r>
        <w:rPr>
          <w:rFonts w:asciiTheme="minorHAnsi" w:eastAsiaTheme="minorEastAsia" w:hAnsiTheme="minorHAnsi" w:cs="Arial"/>
          <w:color w:val="FFFFFF" w:themeColor="background1"/>
          <w:sz w:val="21"/>
          <w:szCs w:val="21"/>
          <w:lang w:val="en-US" w:eastAsia="en-AU"/>
        </w:rPr>
        <w:t>For illustrative purposes t</w:t>
      </w:r>
      <w:r w:rsidR="00AA09BC" w:rsidRPr="00BD5E0D">
        <w:rPr>
          <w:rFonts w:asciiTheme="minorHAnsi" w:eastAsiaTheme="minorEastAsia" w:hAnsiTheme="minorHAnsi" w:cs="Arial"/>
          <w:color w:val="FFFFFF" w:themeColor="background1"/>
          <w:sz w:val="21"/>
          <w:szCs w:val="21"/>
          <w:lang w:val="en-US" w:eastAsia="en-AU"/>
        </w:rPr>
        <w:t>h</w:t>
      </w:r>
      <w:r>
        <w:rPr>
          <w:rFonts w:asciiTheme="minorHAnsi" w:eastAsiaTheme="minorEastAsia" w:hAnsiTheme="minorHAnsi" w:cs="Arial"/>
          <w:color w:val="FFFFFF" w:themeColor="background1"/>
          <w:sz w:val="21"/>
          <w:szCs w:val="21"/>
          <w:lang w:val="en-US" w:eastAsia="en-AU"/>
        </w:rPr>
        <w:t>is</w:t>
      </w:r>
      <w:r w:rsidR="00AA09BC" w:rsidRPr="00BD5E0D">
        <w:rPr>
          <w:rFonts w:asciiTheme="minorHAnsi" w:eastAsiaTheme="minorEastAsia" w:hAnsiTheme="minorHAnsi" w:cs="Arial"/>
          <w:color w:val="FFFFFF" w:themeColor="background1"/>
          <w:sz w:val="21"/>
          <w:szCs w:val="21"/>
          <w:lang w:val="en-US" w:eastAsia="en-AU"/>
        </w:rPr>
        <w:t xml:space="preserve"> summary focuses on a </w:t>
      </w:r>
      <w:r>
        <w:rPr>
          <w:rFonts w:asciiTheme="minorHAnsi" w:eastAsiaTheme="minorEastAsia" w:hAnsiTheme="minorHAnsi" w:cs="Arial"/>
          <w:color w:val="FFFFFF" w:themeColor="background1"/>
          <w:sz w:val="21"/>
          <w:szCs w:val="21"/>
          <w:lang w:val="en-US" w:eastAsia="en-AU"/>
        </w:rPr>
        <w:t>specific</w:t>
      </w:r>
      <w:r w:rsidRPr="00BD5E0D">
        <w:rPr>
          <w:rFonts w:asciiTheme="minorHAnsi" w:eastAsiaTheme="minorEastAsia" w:hAnsiTheme="minorHAnsi" w:cs="Arial"/>
          <w:color w:val="FFFFFF" w:themeColor="background1"/>
          <w:sz w:val="21"/>
          <w:szCs w:val="21"/>
          <w:lang w:val="en-US" w:eastAsia="en-AU"/>
        </w:rPr>
        <w:t xml:space="preserve"> </w:t>
      </w:r>
      <w:r w:rsidR="00AA09BC" w:rsidRPr="00BD5E0D">
        <w:rPr>
          <w:rFonts w:asciiTheme="minorHAnsi" w:eastAsiaTheme="minorEastAsia" w:hAnsiTheme="minorHAnsi" w:cs="Arial"/>
          <w:color w:val="FFFFFF" w:themeColor="background1"/>
          <w:sz w:val="21"/>
          <w:szCs w:val="21"/>
          <w:lang w:val="en-US" w:eastAsia="en-AU"/>
        </w:rPr>
        <w:t xml:space="preserve">aspect of the </w:t>
      </w:r>
      <w:r>
        <w:rPr>
          <w:rFonts w:asciiTheme="minorHAnsi" w:eastAsiaTheme="minorEastAsia" w:hAnsiTheme="minorHAnsi" w:cs="Arial"/>
          <w:color w:val="FFFFFF" w:themeColor="background1"/>
          <w:sz w:val="21"/>
          <w:szCs w:val="21"/>
          <w:lang w:val="en-US" w:eastAsia="en-AU"/>
        </w:rPr>
        <w:t xml:space="preserve">legislated </w:t>
      </w:r>
      <w:r w:rsidR="00AA09BC" w:rsidRPr="00BD5E0D">
        <w:rPr>
          <w:rFonts w:asciiTheme="minorHAnsi" w:eastAsiaTheme="minorEastAsia" w:hAnsiTheme="minorHAnsi" w:cs="Arial"/>
          <w:color w:val="FFFFFF" w:themeColor="background1"/>
          <w:sz w:val="21"/>
          <w:szCs w:val="21"/>
          <w:lang w:val="en-US" w:eastAsia="en-AU"/>
        </w:rPr>
        <w:t xml:space="preserve">definition of </w:t>
      </w:r>
      <w:r>
        <w:rPr>
          <w:rFonts w:asciiTheme="minorHAnsi" w:eastAsiaTheme="minorEastAsia" w:hAnsiTheme="minorHAnsi" w:cs="Arial"/>
          <w:color w:val="FFFFFF" w:themeColor="background1"/>
          <w:sz w:val="21"/>
          <w:szCs w:val="21"/>
          <w:lang w:val="en-US" w:eastAsia="en-AU"/>
        </w:rPr>
        <w:t xml:space="preserve">eligible </w:t>
      </w:r>
      <w:r w:rsidR="00AA09BC" w:rsidRPr="00BD5E0D">
        <w:rPr>
          <w:rFonts w:asciiTheme="minorHAnsi" w:eastAsiaTheme="minorEastAsia" w:hAnsiTheme="minorHAnsi" w:cs="Arial"/>
          <w:color w:val="FFFFFF" w:themeColor="background1"/>
          <w:sz w:val="21"/>
          <w:szCs w:val="21"/>
          <w:lang w:val="en-US" w:eastAsia="en-AU"/>
        </w:rPr>
        <w:t>R&amp;D activities</w:t>
      </w:r>
      <w:r>
        <w:rPr>
          <w:rFonts w:asciiTheme="minorHAnsi" w:eastAsiaTheme="minorEastAsia" w:hAnsiTheme="minorHAnsi" w:cs="Arial"/>
          <w:color w:val="FFFFFF" w:themeColor="background1"/>
          <w:sz w:val="21"/>
          <w:szCs w:val="21"/>
          <w:lang w:val="en-US" w:eastAsia="en-AU"/>
        </w:rPr>
        <w:t xml:space="preserve"> and may not</w:t>
      </w:r>
      <w:r w:rsidR="00AA09BC" w:rsidRPr="00BD5E0D">
        <w:rPr>
          <w:rFonts w:asciiTheme="minorHAnsi" w:eastAsiaTheme="minorEastAsia" w:hAnsiTheme="minorHAnsi" w:cs="Arial"/>
          <w:color w:val="FFFFFF" w:themeColor="background1"/>
          <w:sz w:val="21"/>
          <w:szCs w:val="21"/>
          <w:lang w:val="en-US" w:eastAsia="en-AU"/>
        </w:rPr>
        <w:t xml:space="preserve"> </w:t>
      </w:r>
      <w:r>
        <w:rPr>
          <w:rFonts w:asciiTheme="minorHAnsi" w:eastAsiaTheme="minorEastAsia" w:hAnsiTheme="minorHAnsi" w:cs="Arial"/>
          <w:color w:val="FFFFFF" w:themeColor="background1"/>
          <w:sz w:val="21"/>
          <w:szCs w:val="21"/>
          <w:lang w:val="en-US" w:eastAsia="en-AU"/>
        </w:rPr>
        <w:t xml:space="preserve">describe </w:t>
      </w:r>
      <w:r w:rsidR="000D794C">
        <w:rPr>
          <w:rFonts w:asciiTheme="minorHAnsi" w:eastAsiaTheme="minorEastAsia" w:hAnsiTheme="minorHAnsi" w:cs="Arial"/>
          <w:color w:val="FFFFFF" w:themeColor="background1"/>
          <w:sz w:val="21"/>
          <w:szCs w:val="21"/>
          <w:lang w:val="en-US" w:eastAsia="en-AU"/>
        </w:rPr>
        <w:t xml:space="preserve">the assessment of activities against the full </w:t>
      </w:r>
      <w:r>
        <w:rPr>
          <w:rFonts w:asciiTheme="minorHAnsi" w:eastAsiaTheme="minorEastAsia" w:hAnsiTheme="minorHAnsi" w:cs="Arial"/>
          <w:color w:val="FFFFFF" w:themeColor="background1"/>
          <w:sz w:val="21"/>
          <w:szCs w:val="21"/>
          <w:lang w:val="en-US" w:eastAsia="en-AU"/>
        </w:rPr>
        <w:t xml:space="preserve">eligibility criteria. </w:t>
      </w:r>
    </w:p>
    <w:p w14:paraId="0A8742CA" w14:textId="77777777" w:rsidR="00FE51E2" w:rsidRPr="00AE6468" w:rsidRDefault="00FE51E2" w:rsidP="00AE6468">
      <w:pPr>
        <w:pStyle w:val="Heading2"/>
        <w:spacing w:before="240"/>
        <w:rPr>
          <w:rFonts w:asciiTheme="minorHAnsi" w:hAnsiTheme="minorHAnsi"/>
          <w:b/>
          <w:sz w:val="28"/>
          <w:szCs w:val="28"/>
          <w:lang w:eastAsia="en-AU"/>
        </w:rPr>
      </w:pPr>
      <w:r w:rsidRPr="00AE6468">
        <w:rPr>
          <w:rFonts w:asciiTheme="minorHAnsi" w:hAnsiTheme="minorHAnsi"/>
          <w:b/>
          <w:sz w:val="28"/>
          <w:szCs w:val="28"/>
          <w:lang w:eastAsia="en-AU"/>
        </w:rPr>
        <w:t>Issue</w:t>
      </w:r>
    </w:p>
    <w:p w14:paraId="0219EDB1" w14:textId="7DEC527E" w:rsidR="00FE51E2" w:rsidRPr="00A24218" w:rsidRDefault="00FE51E2" w:rsidP="00AE6468">
      <w:pPr>
        <w:spacing w:before="120" w:after="120" w:line="276" w:lineRule="auto"/>
        <w:rPr>
          <w:rFonts w:asciiTheme="minorHAnsi" w:hAnsiTheme="minorHAnsi" w:cs="Arial"/>
          <w:sz w:val="24"/>
          <w:szCs w:val="24"/>
          <w:lang w:eastAsia="en-AU"/>
        </w:rPr>
      </w:pPr>
      <w:r w:rsidRPr="00A24218">
        <w:rPr>
          <w:rFonts w:asciiTheme="minorHAnsi" w:hAnsiTheme="minorHAnsi" w:cs="Arial"/>
          <w:sz w:val="24"/>
          <w:szCs w:val="24"/>
          <w:lang w:eastAsia="en-AU"/>
        </w:rPr>
        <w:t xml:space="preserve">Do activities to improve productivity or sustainability in </w:t>
      </w:r>
      <w:r w:rsidR="00AA09BC">
        <w:rPr>
          <w:rFonts w:asciiTheme="minorHAnsi" w:hAnsiTheme="minorHAnsi" w:cs="Arial"/>
          <w:sz w:val="24"/>
          <w:szCs w:val="24"/>
          <w:lang w:eastAsia="en-AU"/>
        </w:rPr>
        <w:t>agriculture</w:t>
      </w:r>
      <w:r w:rsidR="00AA09BC" w:rsidRPr="00A24218">
        <w:rPr>
          <w:rFonts w:asciiTheme="minorHAnsi" w:hAnsiTheme="minorHAnsi" w:cs="Arial"/>
          <w:sz w:val="24"/>
          <w:szCs w:val="24"/>
          <w:lang w:eastAsia="en-AU"/>
        </w:rPr>
        <w:t xml:space="preserve"> </w:t>
      </w:r>
      <w:r w:rsidRPr="00A24218">
        <w:rPr>
          <w:rFonts w:asciiTheme="minorHAnsi" w:hAnsiTheme="minorHAnsi" w:cs="Arial"/>
          <w:sz w:val="24"/>
          <w:szCs w:val="24"/>
          <w:lang w:eastAsia="en-AU"/>
        </w:rPr>
        <w:t xml:space="preserve">necessarily fulfil the purpose of generating new knowledge? </w:t>
      </w:r>
    </w:p>
    <w:p w14:paraId="69AA1D27" w14:textId="5367C7CF" w:rsidR="00FE51E2" w:rsidRPr="00A24218" w:rsidRDefault="00FE51E2" w:rsidP="0034274B">
      <w:pPr>
        <w:pStyle w:val="Heading3"/>
        <w:pBdr>
          <w:top w:val="single" w:sz="24" w:space="1" w:color="FFC000"/>
        </w:pBdr>
        <w:shd w:val="clear" w:color="auto" w:fill="0070C0"/>
        <w:spacing w:before="240"/>
        <w:rPr>
          <w:rFonts w:asciiTheme="minorHAnsi" w:hAnsiTheme="minorHAnsi"/>
          <w:b/>
          <w:color w:val="FFFFFF" w:themeColor="background1"/>
          <w:sz w:val="28"/>
          <w:szCs w:val="28"/>
          <w:lang w:eastAsia="en-AU"/>
        </w:rPr>
      </w:pPr>
      <w:r w:rsidRPr="00A24218">
        <w:rPr>
          <w:rFonts w:asciiTheme="minorHAnsi" w:hAnsiTheme="minorHAnsi"/>
          <w:b/>
          <w:color w:val="FFFFFF" w:themeColor="background1"/>
          <w:sz w:val="28"/>
          <w:szCs w:val="28"/>
          <w:lang w:eastAsia="en-AU"/>
        </w:rPr>
        <w:t>Finding</w:t>
      </w:r>
    </w:p>
    <w:p w14:paraId="3E2D52E9" w14:textId="6E259605" w:rsidR="00D219CF" w:rsidRDefault="00FE51E2" w:rsidP="00AE6468">
      <w:pPr>
        <w:spacing w:before="120" w:after="120" w:line="276" w:lineRule="auto"/>
        <w:rPr>
          <w:rFonts w:asciiTheme="minorHAnsi" w:hAnsiTheme="minorHAnsi" w:cs="Arial"/>
          <w:sz w:val="24"/>
          <w:szCs w:val="24"/>
        </w:rPr>
      </w:pPr>
      <w:r w:rsidRPr="00C05BE9">
        <w:rPr>
          <w:rFonts w:asciiTheme="minorHAnsi" w:hAnsiTheme="minorHAnsi" w:cs="Arial"/>
          <w:b/>
          <w:sz w:val="24"/>
          <w:szCs w:val="24"/>
        </w:rPr>
        <w:t>No.</w:t>
      </w:r>
      <w:r w:rsidRPr="00A24218">
        <w:rPr>
          <w:rFonts w:asciiTheme="minorHAnsi" w:hAnsiTheme="minorHAnsi" w:cs="Arial"/>
          <w:sz w:val="24"/>
          <w:szCs w:val="24"/>
        </w:rPr>
        <w:t xml:space="preserve"> </w:t>
      </w:r>
      <w:r w:rsidR="00D219CF">
        <w:rPr>
          <w:rFonts w:asciiTheme="minorHAnsi" w:hAnsiTheme="minorHAnsi" w:cs="Arial"/>
          <w:sz w:val="24"/>
          <w:szCs w:val="24"/>
        </w:rPr>
        <w:t xml:space="preserve">Activities </w:t>
      </w:r>
      <w:r w:rsidR="00D219CF">
        <w:rPr>
          <w:rFonts w:asciiTheme="minorHAnsi" w:hAnsiTheme="minorHAnsi" w:cs="Arial"/>
          <w:sz w:val="24"/>
          <w:szCs w:val="24"/>
          <w:lang w:eastAsia="en-AU"/>
        </w:rPr>
        <w:t>undertaken</w:t>
      </w:r>
      <w:r w:rsidR="00D219CF">
        <w:rPr>
          <w:rFonts w:asciiTheme="minorHAnsi" w:hAnsiTheme="minorHAnsi" w:cs="Arial"/>
          <w:sz w:val="24"/>
          <w:szCs w:val="24"/>
        </w:rPr>
        <w:t xml:space="preserve"> to improve productivity or sustainability in </w:t>
      </w:r>
      <w:r w:rsidR="00B7714E">
        <w:rPr>
          <w:rFonts w:asciiTheme="minorHAnsi" w:hAnsiTheme="minorHAnsi" w:cs="Arial"/>
          <w:sz w:val="24"/>
          <w:szCs w:val="24"/>
        </w:rPr>
        <w:t>agriculture</w:t>
      </w:r>
      <w:r w:rsidR="00D219CF">
        <w:rPr>
          <w:rFonts w:asciiTheme="minorHAnsi" w:hAnsiTheme="minorHAnsi" w:cs="Arial"/>
          <w:sz w:val="24"/>
          <w:szCs w:val="24"/>
        </w:rPr>
        <w:t xml:space="preserve"> are not necessarily undertaken for a significant purpose of generating new knowledge.  </w:t>
      </w:r>
    </w:p>
    <w:p w14:paraId="6BD28424" w14:textId="066416F1" w:rsidR="00D219CF" w:rsidRDefault="00D219CF" w:rsidP="00637232">
      <w:pPr>
        <w:pStyle w:val="Heading3"/>
        <w:pBdr>
          <w:top w:val="single" w:sz="24" w:space="1" w:color="FFC000"/>
          <w:left w:val="single" w:sz="24" w:space="4" w:color="FFC000"/>
          <w:bottom w:val="single" w:sz="24" w:space="1" w:color="FFC000"/>
          <w:right w:val="single" w:sz="24" w:space="4" w:color="FFC000"/>
        </w:pBdr>
        <w:shd w:val="clear" w:color="auto" w:fill="0070C0"/>
        <w:spacing w:before="200"/>
        <w:rPr>
          <w:rFonts w:asciiTheme="minorHAnsi" w:hAnsiTheme="minorHAnsi"/>
          <w:b/>
          <w:color w:val="FFFFFF" w:themeColor="background1"/>
          <w:sz w:val="28"/>
          <w:szCs w:val="28"/>
          <w:lang w:eastAsia="en-AU"/>
        </w:rPr>
      </w:pPr>
      <w:r>
        <w:rPr>
          <w:rFonts w:asciiTheme="minorHAnsi" w:hAnsiTheme="minorHAnsi"/>
          <w:b/>
          <w:color w:val="FFFFFF" w:themeColor="background1"/>
          <w:sz w:val="28"/>
          <w:szCs w:val="28"/>
          <w:lang w:eastAsia="en-AU"/>
        </w:rPr>
        <w:t>Key reasons</w:t>
      </w:r>
    </w:p>
    <w:p w14:paraId="3AEE9591" w14:textId="77777777" w:rsidR="009F5B67" w:rsidRPr="00AE6468" w:rsidRDefault="008578EC" w:rsidP="00637232">
      <w:pPr>
        <w:pStyle w:val="ListParagraph"/>
        <w:numPr>
          <w:ilvl w:val="0"/>
          <w:numId w:val="15"/>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AE6468">
        <w:rPr>
          <w:rFonts w:asciiTheme="minorHAnsi" w:hAnsiTheme="minorHAnsi" w:cs="Arial"/>
          <w:sz w:val="24"/>
          <w:szCs w:val="24"/>
          <w:lang w:eastAsia="en-AU"/>
        </w:rPr>
        <w:t>The activities were for operation purposes, not for the purpose of generating new knowledge</w:t>
      </w:r>
      <w:r w:rsidR="009D4F9C" w:rsidRPr="00AE6468">
        <w:rPr>
          <w:rFonts w:asciiTheme="minorHAnsi" w:hAnsiTheme="minorHAnsi" w:cs="Arial"/>
          <w:sz w:val="24"/>
          <w:szCs w:val="24"/>
          <w:lang w:eastAsia="en-AU"/>
        </w:rPr>
        <w:t>.</w:t>
      </w:r>
    </w:p>
    <w:p w14:paraId="360FB988" w14:textId="24A7F756" w:rsidR="00890E3B" w:rsidRPr="00AE6468" w:rsidRDefault="009F5B67" w:rsidP="00637232">
      <w:p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AE6468">
        <w:rPr>
          <w:rFonts w:asciiTheme="minorHAnsi" w:hAnsiTheme="minorHAnsi" w:cs="Arial"/>
          <w:sz w:val="24"/>
          <w:szCs w:val="24"/>
          <w:lang w:eastAsia="en-AU"/>
        </w:rPr>
        <w:t xml:space="preserve">In addition, </w:t>
      </w:r>
      <w:r w:rsidR="00C47F17" w:rsidRPr="00AE6468">
        <w:rPr>
          <w:rFonts w:asciiTheme="minorHAnsi" w:hAnsiTheme="minorHAnsi" w:cs="Arial"/>
          <w:sz w:val="24"/>
          <w:szCs w:val="24"/>
          <w:lang w:eastAsia="en-AU"/>
        </w:rPr>
        <w:t xml:space="preserve">Innovation and Science Australia </w:t>
      </w:r>
      <w:r w:rsidRPr="00AE6468">
        <w:rPr>
          <w:rFonts w:asciiTheme="minorHAnsi" w:hAnsiTheme="minorHAnsi" w:cs="Arial"/>
          <w:sz w:val="24"/>
          <w:szCs w:val="24"/>
          <w:lang w:eastAsia="en-AU"/>
        </w:rPr>
        <w:t>also found:</w:t>
      </w:r>
      <w:r w:rsidR="00890E3B" w:rsidRPr="00AE6468">
        <w:rPr>
          <w:rFonts w:asciiTheme="minorHAnsi" w:hAnsiTheme="minorHAnsi" w:cs="Arial"/>
          <w:sz w:val="24"/>
          <w:szCs w:val="24"/>
          <w:lang w:eastAsia="en-AU"/>
        </w:rPr>
        <w:t xml:space="preserve"> </w:t>
      </w:r>
    </w:p>
    <w:p w14:paraId="43B41375" w14:textId="144D6A67" w:rsidR="00890E3B" w:rsidRPr="00AE6468" w:rsidRDefault="00890E3B" w:rsidP="00637232">
      <w:pPr>
        <w:pStyle w:val="ListParagraph"/>
        <w:numPr>
          <w:ilvl w:val="0"/>
          <w:numId w:val="15"/>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AE6468">
        <w:rPr>
          <w:rFonts w:asciiTheme="minorHAnsi" w:hAnsiTheme="minorHAnsi" w:cs="Arial"/>
          <w:sz w:val="24"/>
          <w:szCs w:val="24"/>
          <w:lang w:eastAsia="en-AU"/>
        </w:rPr>
        <w:t>There was no specific technical hypothesis, and no systematic progression of experimental work.</w:t>
      </w:r>
    </w:p>
    <w:p w14:paraId="0818DDEE" w14:textId="6E5B41C6" w:rsidR="00890E3B" w:rsidRPr="00AE6468" w:rsidRDefault="00890E3B" w:rsidP="00637232">
      <w:pPr>
        <w:pStyle w:val="ListParagraph"/>
        <w:numPr>
          <w:ilvl w:val="0"/>
          <w:numId w:val="15"/>
        </w:num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pPr>
      <w:r w:rsidRPr="00AE6468">
        <w:rPr>
          <w:rFonts w:asciiTheme="minorHAnsi" w:hAnsiTheme="minorHAnsi" w:cs="Arial"/>
          <w:sz w:val="24"/>
          <w:szCs w:val="24"/>
          <w:lang w:eastAsia="en-AU"/>
        </w:rPr>
        <w:t>The company applied existing knowledge and expertise to get its outcomes.</w:t>
      </w:r>
    </w:p>
    <w:p w14:paraId="39E6E353" w14:textId="710F9E76" w:rsidR="008578EC" w:rsidRPr="00AE6468" w:rsidRDefault="008578EC" w:rsidP="00637232">
      <w:pPr>
        <w:pBdr>
          <w:top w:val="single" w:sz="24" w:space="1" w:color="FFC000"/>
          <w:left w:val="single" w:sz="24" w:space="4" w:color="FFC000"/>
          <w:bottom w:val="single" w:sz="24" w:space="1" w:color="FFC000"/>
          <w:right w:val="single" w:sz="24" w:space="4" w:color="FFC000"/>
        </w:pBdr>
        <w:spacing w:before="120" w:after="120" w:line="276" w:lineRule="auto"/>
        <w:rPr>
          <w:rFonts w:asciiTheme="minorHAnsi" w:hAnsiTheme="minorHAnsi" w:cs="Arial"/>
          <w:sz w:val="24"/>
          <w:szCs w:val="24"/>
          <w:lang w:eastAsia="en-AU"/>
        </w:rPr>
        <w:sectPr w:rsidR="008578EC" w:rsidRPr="00AE6468" w:rsidSect="0063723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titlePg/>
          <w:docGrid w:linePitch="360"/>
        </w:sectPr>
      </w:pPr>
      <w:r w:rsidRPr="00AE6468">
        <w:rPr>
          <w:rFonts w:asciiTheme="minorHAnsi" w:hAnsiTheme="minorHAnsi" w:cs="Arial"/>
          <w:sz w:val="24"/>
          <w:szCs w:val="24"/>
          <w:lang w:eastAsia="en-AU"/>
        </w:rPr>
        <w:t xml:space="preserve">For more information on the reasons for the </w:t>
      </w:r>
      <w:r w:rsidR="00C8397B" w:rsidRPr="00AE6468">
        <w:rPr>
          <w:rFonts w:asciiTheme="minorHAnsi" w:hAnsiTheme="minorHAnsi" w:cs="Arial"/>
          <w:sz w:val="24"/>
          <w:szCs w:val="24"/>
          <w:lang w:eastAsia="en-AU"/>
        </w:rPr>
        <w:t xml:space="preserve">purpose </w:t>
      </w:r>
      <w:r w:rsidRPr="00AE6468">
        <w:rPr>
          <w:rFonts w:asciiTheme="minorHAnsi" w:hAnsiTheme="minorHAnsi" w:cs="Arial"/>
          <w:sz w:val="24"/>
          <w:szCs w:val="24"/>
          <w:lang w:eastAsia="en-AU"/>
        </w:rPr>
        <w:t>finding see page 2.</w:t>
      </w:r>
    </w:p>
    <w:p w14:paraId="69ABA80A" w14:textId="77777777" w:rsidR="00FE51E2" w:rsidRPr="00A24218" w:rsidRDefault="00FE51E2" w:rsidP="0034274B">
      <w:pPr>
        <w:pStyle w:val="Heading3"/>
        <w:pBdr>
          <w:top w:val="single" w:sz="24" w:space="1" w:color="FFC000"/>
        </w:pBdr>
        <w:shd w:val="clear" w:color="auto" w:fill="0070C0"/>
        <w:spacing w:before="240"/>
        <w:rPr>
          <w:rFonts w:asciiTheme="minorHAnsi" w:hAnsiTheme="minorHAnsi"/>
          <w:b/>
          <w:color w:val="FFFFFF" w:themeColor="background1"/>
          <w:sz w:val="28"/>
          <w:szCs w:val="28"/>
          <w:lang w:eastAsia="en-AU"/>
        </w:rPr>
      </w:pPr>
      <w:r w:rsidRPr="00A24218">
        <w:rPr>
          <w:rFonts w:asciiTheme="minorHAnsi" w:hAnsiTheme="minorHAnsi"/>
          <w:b/>
          <w:color w:val="FFFFFF" w:themeColor="background1"/>
          <w:sz w:val="28"/>
          <w:szCs w:val="28"/>
          <w:lang w:eastAsia="en-AU"/>
        </w:rPr>
        <w:t>Facts</w:t>
      </w:r>
    </w:p>
    <w:p w14:paraId="795A6D02" w14:textId="77777777" w:rsidR="00FE51E2" w:rsidRDefault="00FE51E2" w:rsidP="00A24218">
      <w:pPr>
        <w:spacing w:before="120" w:after="120" w:line="276" w:lineRule="auto"/>
        <w:rPr>
          <w:rFonts w:asciiTheme="minorHAnsi" w:hAnsiTheme="minorHAnsi" w:cs="Arial"/>
          <w:sz w:val="24"/>
          <w:szCs w:val="24"/>
        </w:rPr>
      </w:pPr>
      <w:r w:rsidRPr="00A24218">
        <w:rPr>
          <w:rFonts w:asciiTheme="minorHAnsi" w:hAnsiTheme="minorHAnsi" w:cs="Arial"/>
          <w:sz w:val="24"/>
          <w:szCs w:val="24"/>
        </w:rPr>
        <w:t xml:space="preserve">A </w:t>
      </w:r>
      <w:r w:rsidRPr="00A24218">
        <w:rPr>
          <w:rFonts w:asciiTheme="minorHAnsi" w:hAnsiTheme="minorHAnsi" w:cs="Arial"/>
          <w:sz w:val="24"/>
          <w:szCs w:val="24"/>
          <w:lang w:eastAsia="en-AU"/>
        </w:rPr>
        <w:t>company</w:t>
      </w:r>
      <w:r w:rsidRPr="00A24218">
        <w:rPr>
          <w:rFonts w:asciiTheme="minorHAnsi" w:hAnsiTheme="minorHAnsi" w:cs="Arial"/>
          <w:sz w:val="24"/>
          <w:szCs w:val="24"/>
        </w:rPr>
        <w:t xml:space="preserve"> that operated a wheat farm undertook an activity to test the effects of different liquid </w:t>
      </w:r>
      <w:r w:rsidRPr="00A24218">
        <w:rPr>
          <w:rFonts w:asciiTheme="minorHAnsi" w:hAnsiTheme="minorHAnsi" w:cs="Arial"/>
          <w:sz w:val="24"/>
          <w:szCs w:val="24"/>
          <w:lang w:eastAsia="en-AU"/>
        </w:rPr>
        <w:t>lime</w:t>
      </w:r>
      <w:r w:rsidRPr="00A24218">
        <w:rPr>
          <w:rFonts w:asciiTheme="minorHAnsi" w:hAnsiTheme="minorHAnsi" w:cs="Arial"/>
          <w:sz w:val="24"/>
          <w:szCs w:val="24"/>
        </w:rPr>
        <w:t xml:space="preserve"> inputs on germination, root growth and soil </w:t>
      </w:r>
      <w:proofErr w:type="spellStart"/>
      <w:r w:rsidRPr="00A24218">
        <w:rPr>
          <w:rFonts w:asciiTheme="minorHAnsi" w:hAnsiTheme="minorHAnsi" w:cs="Arial"/>
          <w:sz w:val="24"/>
          <w:szCs w:val="24"/>
        </w:rPr>
        <w:t>pH.</w:t>
      </w:r>
      <w:proofErr w:type="spellEnd"/>
      <w:r w:rsidRPr="00A24218">
        <w:rPr>
          <w:rFonts w:asciiTheme="minorHAnsi" w:hAnsiTheme="minorHAnsi" w:cs="Arial"/>
          <w:sz w:val="24"/>
          <w:szCs w:val="24"/>
        </w:rPr>
        <w:t xml:space="preserve"> It also aimed to determine the effect of a liquid lime product on high levels of aluminium in soils.</w:t>
      </w:r>
    </w:p>
    <w:p w14:paraId="1C5F4D9E" w14:textId="52D42261" w:rsidR="008578EC" w:rsidRDefault="00D219CF" w:rsidP="00A24218">
      <w:pPr>
        <w:spacing w:before="120" w:after="120" w:line="276" w:lineRule="auto"/>
        <w:rPr>
          <w:rFonts w:asciiTheme="minorHAnsi" w:hAnsiTheme="minorHAnsi" w:cs="Arial"/>
          <w:sz w:val="24"/>
          <w:szCs w:val="24"/>
        </w:rPr>
      </w:pPr>
      <w:r>
        <w:rPr>
          <w:rFonts w:asciiTheme="minorHAnsi" w:hAnsiTheme="minorHAnsi" w:cs="Arial"/>
          <w:sz w:val="24"/>
          <w:szCs w:val="24"/>
        </w:rPr>
        <w:t xml:space="preserve">The </w:t>
      </w:r>
      <w:r>
        <w:rPr>
          <w:rFonts w:asciiTheme="minorHAnsi" w:hAnsiTheme="minorHAnsi" w:cs="Arial"/>
          <w:sz w:val="24"/>
          <w:szCs w:val="24"/>
          <w:lang w:eastAsia="en-AU"/>
        </w:rPr>
        <w:t>outcomes</w:t>
      </w:r>
      <w:r>
        <w:rPr>
          <w:rFonts w:asciiTheme="minorHAnsi" w:hAnsiTheme="minorHAnsi" w:cs="Arial"/>
          <w:sz w:val="24"/>
          <w:szCs w:val="24"/>
        </w:rPr>
        <w:t xml:space="preserve"> of the application of liquid lime in agriculture are well known by competent professionals in that field. </w:t>
      </w:r>
    </w:p>
    <w:p w14:paraId="7C6B4695" w14:textId="77777777" w:rsidR="00311303" w:rsidRDefault="00311303" w:rsidP="00A24218">
      <w:pPr>
        <w:spacing w:before="120" w:after="120" w:line="276" w:lineRule="auto"/>
        <w:rPr>
          <w:rFonts w:asciiTheme="minorHAnsi" w:hAnsiTheme="minorHAnsi" w:cs="Arial"/>
          <w:sz w:val="24"/>
          <w:szCs w:val="24"/>
        </w:rPr>
        <w:sectPr w:rsidR="00311303" w:rsidSect="00637232">
          <w:type w:val="continuous"/>
          <w:pgSz w:w="11906" w:h="16838"/>
          <w:pgMar w:top="1440" w:right="1440" w:bottom="1440" w:left="1440" w:header="708" w:footer="708" w:gutter="0"/>
          <w:cols w:space="708"/>
          <w:titlePg/>
          <w:docGrid w:linePitch="360"/>
        </w:sectPr>
      </w:pPr>
    </w:p>
    <w:p w14:paraId="34136663" w14:textId="77777777" w:rsidR="00FE51E2" w:rsidRPr="00A24218" w:rsidRDefault="00FE51E2" w:rsidP="00637232">
      <w:pPr>
        <w:pStyle w:val="Heading3"/>
        <w:pBdr>
          <w:top w:val="single" w:sz="24" w:space="1" w:color="FFC000"/>
        </w:pBdr>
        <w:shd w:val="clear" w:color="auto" w:fill="0070C0"/>
        <w:spacing w:before="120"/>
        <w:rPr>
          <w:rFonts w:asciiTheme="minorHAnsi" w:hAnsiTheme="minorHAnsi"/>
          <w:b/>
          <w:color w:val="FFFFFF" w:themeColor="background1"/>
          <w:sz w:val="28"/>
          <w:szCs w:val="28"/>
          <w:lang w:eastAsia="en-AU"/>
        </w:rPr>
      </w:pPr>
      <w:r w:rsidRPr="00A24218">
        <w:rPr>
          <w:rFonts w:asciiTheme="minorHAnsi" w:hAnsiTheme="minorHAnsi"/>
          <w:b/>
          <w:color w:val="FFFFFF" w:themeColor="background1"/>
          <w:sz w:val="28"/>
          <w:szCs w:val="28"/>
          <w:lang w:eastAsia="en-AU"/>
        </w:rPr>
        <w:lastRenderedPageBreak/>
        <w:t>Reasons for Finding</w:t>
      </w:r>
    </w:p>
    <w:p w14:paraId="674BC60B" w14:textId="4C7D3F6D" w:rsidR="00FE51E2" w:rsidRPr="00A24218" w:rsidRDefault="00FE51E2" w:rsidP="00AE6468">
      <w:pPr>
        <w:spacing w:before="120" w:after="120" w:line="276" w:lineRule="auto"/>
        <w:rPr>
          <w:rFonts w:asciiTheme="minorHAnsi" w:hAnsiTheme="minorHAnsi" w:cs="Arial"/>
          <w:sz w:val="24"/>
          <w:szCs w:val="24"/>
        </w:rPr>
      </w:pPr>
      <w:r w:rsidRPr="00A24218">
        <w:rPr>
          <w:rFonts w:asciiTheme="minorHAnsi" w:hAnsiTheme="minorHAnsi" w:cs="Arial"/>
          <w:sz w:val="24"/>
          <w:szCs w:val="24"/>
        </w:rPr>
        <w:t xml:space="preserve">Generally, where an R&amp;D entity has </w:t>
      </w:r>
      <w:r w:rsidRPr="00A24218">
        <w:rPr>
          <w:rFonts w:asciiTheme="minorHAnsi" w:hAnsiTheme="minorHAnsi" w:cs="Arial"/>
          <w:sz w:val="24"/>
          <w:szCs w:val="24"/>
          <w:lang w:eastAsia="en-AU"/>
        </w:rPr>
        <w:t>engaged</w:t>
      </w:r>
      <w:r w:rsidRPr="00A24218">
        <w:rPr>
          <w:rFonts w:asciiTheme="minorHAnsi" w:hAnsiTheme="minorHAnsi" w:cs="Arial"/>
          <w:sz w:val="24"/>
          <w:szCs w:val="24"/>
        </w:rPr>
        <w:t xml:space="preserve"> in core R&amp;D activities,</w:t>
      </w:r>
      <w:r w:rsidR="004C5E09">
        <w:rPr>
          <w:rFonts w:asciiTheme="minorHAnsi" w:hAnsiTheme="minorHAnsi" w:cs="Arial"/>
          <w:sz w:val="24"/>
          <w:szCs w:val="24"/>
        </w:rPr>
        <w:t xml:space="preserve"> the legislation</w:t>
      </w:r>
      <w:r w:rsidR="004C5E09">
        <w:rPr>
          <w:rStyle w:val="FootnoteReference"/>
          <w:rFonts w:asciiTheme="minorHAnsi" w:hAnsiTheme="minorHAnsi"/>
          <w:sz w:val="24"/>
          <w:szCs w:val="24"/>
        </w:rPr>
        <w:footnoteReference w:id="1"/>
      </w:r>
      <w:r w:rsidRPr="00A24218">
        <w:rPr>
          <w:rFonts w:asciiTheme="minorHAnsi" w:hAnsiTheme="minorHAnsi" w:cs="Arial"/>
          <w:sz w:val="24"/>
          <w:szCs w:val="24"/>
        </w:rPr>
        <w:t xml:space="preserve"> allows the entity to claim an R&amp;D tax offset. </w:t>
      </w:r>
    </w:p>
    <w:p w14:paraId="60F98B48" w14:textId="171DA4D4" w:rsidR="00FE51E2" w:rsidRPr="00A24218" w:rsidRDefault="00FE51E2" w:rsidP="00AE6468">
      <w:pPr>
        <w:spacing w:before="120" w:after="120" w:line="276" w:lineRule="auto"/>
        <w:rPr>
          <w:rFonts w:asciiTheme="minorHAnsi" w:hAnsiTheme="minorHAnsi" w:cs="Arial"/>
          <w:sz w:val="24"/>
          <w:szCs w:val="24"/>
          <w:lang w:eastAsia="en-AU"/>
        </w:rPr>
      </w:pPr>
      <w:r w:rsidRPr="00A24218">
        <w:rPr>
          <w:rFonts w:asciiTheme="minorHAnsi" w:hAnsiTheme="minorHAnsi" w:cs="Arial"/>
          <w:sz w:val="24"/>
          <w:szCs w:val="24"/>
          <w:lang w:eastAsia="en-AU"/>
        </w:rPr>
        <w:t xml:space="preserve">The expression </w:t>
      </w:r>
      <w:r w:rsidR="00947B32">
        <w:rPr>
          <w:rFonts w:asciiTheme="minorHAnsi" w:hAnsiTheme="minorHAnsi" w:cs="Arial"/>
          <w:sz w:val="24"/>
          <w:szCs w:val="24"/>
          <w:lang w:eastAsia="en-AU"/>
        </w:rPr>
        <w:t>‘</w:t>
      </w:r>
      <w:r w:rsidRPr="00A24218">
        <w:rPr>
          <w:rFonts w:asciiTheme="minorHAnsi" w:hAnsiTheme="minorHAnsi" w:cs="Arial"/>
          <w:sz w:val="24"/>
          <w:szCs w:val="24"/>
          <w:lang w:eastAsia="en-AU"/>
        </w:rPr>
        <w:t>core R&amp;D activities</w:t>
      </w:r>
      <w:r w:rsidR="00947B32">
        <w:rPr>
          <w:rFonts w:asciiTheme="minorHAnsi" w:hAnsiTheme="minorHAnsi" w:cs="Arial"/>
          <w:sz w:val="24"/>
          <w:szCs w:val="24"/>
          <w:lang w:eastAsia="en-AU"/>
        </w:rPr>
        <w:t>’</w:t>
      </w:r>
      <w:r w:rsidRPr="00A24218">
        <w:rPr>
          <w:rFonts w:asciiTheme="minorHAnsi" w:hAnsiTheme="minorHAnsi" w:cs="Arial"/>
          <w:sz w:val="24"/>
          <w:szCs w:val="24"/>
          <w:lang w:eastAsia="en-AU"/>
        </w:rPr>
        <w:t xml:space="preserve"> is defined in </w:t>
      </w:r>
      <w:r w:rsidR="004C5E09">
        <w:rPr>
          <w:rFonts w:asciiTheme="minorHAnsi" w:hAnsiTheme="minorHAnsi" w:cs="Arial"/>
          <w:sz w:val="24"/>
          <w:szCs w:val="24"/>
          <w:lang w:eastAsia="en-AU"/>
        </w:rPr>
        <w:t>the legislation</w:t>
      </w:r>
      <w:r w:rsidR="004C5E09">
        <w:rPr>
          <w:rStyle w:val="FootnoteReference"/>
          <w:rFonts w:asciiTheme="minorHAnsi" w:hAnsiTheme="minorHAnsi"/>
          <w:sz w:val="24"/>
          <w:szCs w:val="24"/>
          <w:lang w:eastAsia="en-AU"/>
        </w:rPr>
        <w:footnoteReference w:id="2"/>
      </w:r>
      <w:r w:rsidR="007303F2">
        <w:rPr>
          <w:rFonts w:asciiTheme="minorHAnsi" w:hAnsiTheme="minorHAnsi" w:cs="Arial"/>
          <w:sz w:val="24"/>
          <w:szCs w:val="24"/>
          <w:lang w:eastAsia="en-AU"/>
        </w:rPr>
        <w:t xml:space="preserve"> </w:t>
      </w:r>
      <w:r w:rsidRPr="00A24218">
        <w:rPr>
          <w:rFonts w:asciiTheme="minorHAnsi" w:hAnsiTheme="minorHAnsi" w:cs="Arial"/>
          <w:sz w:val="24"/>
          <w:szCs w:val="24"/>
          <w:lang w:eastAsia="en-AU"/>
        </w:rPr>
        <w:t>as experimental activities:</w:t>
      </w:r>
    </w:p>
    <w:p w14:paraId="60612996" w14:textId="77777777" w:rsidR="00C05BE9" w:rsidRPr="007E1B5D" w:rsidRDefault="00FE51E2" w:rsidP="007E1B5D">
      <w:pPr>
        <w:pStyle w:val="ListParagraph"/>
        <w:numPr>
          <w:ilvl w:val="0"/>
          <w:numId w:val="17"/>
        </w:numPr>
        <w:spacing w:before="120" w:after="120" w:line="276" w:lineRule="auto"/>
        <w:rPr>
          <w:rFonts w:asciiTheme="minorHAnsi" w:hAnsiTheme="minorHAnsi" w:cs="Arial"/>
          <w:sz w:val="24"/>
          <w:szCs w:val="24"/>
          <w:lang w:eastAsia="en-AU"/>
        </w:rPr>
      </w:pPr>
      <w:r w:rsidRPr="007E1B5D">
        <w:rPr>
          <w:rFonts w:asciiTheme="minorHAnsi" w:hAnsiTheme="minorHAnsi" w:cs="Arial"/>
          <w:sz w:val="24"/>
          <w:szCs w:val="24"/>
          <w:lang w:eastAsia="en-AU"/>
        </w:rPr>
        <w:t>whose outcome cannot be known or determined in advance on the basis of current knowledge, information or experience, but can only be determined by applying a systemati</w:t>
      </w:r>
      <w:r w:rsidR="00C05BE9" w:rsidRPr="007E1B5D">
        <w:rPr>
          <w:rFonts w:asciiTheme="minorHAnsi" w:hAnsiTheme="minorHAnsi" w:cs="Arial"/>
          <w:sz w:val="24"/>
          <w:szCs w:val="24"/>
          <w:lang w:eastAsia="en-AU"/>
        </w:rPr>
        <w:t>c progression of work that:</w:t>
      </w:r>
    </w:p>
    <w:p w14:paraId="0A8556EE" w14:textId="77777777" w:rsidR="00C05BE9" w:rsidRDefault="00FE51E2" w:rsidP="007E1B5D">
      <w:pPr>
        <w:pStyle w:val="ListParagraph"/>
        <w:numPr>
          <w:ilvl w:val="1"/>
          <w:numId w:val="19"/>
        </w:numPr>
        <w:spacing w:before="120" w:after="120" w:line="276" w:lineRule="auto"/>
        <w:ind w:left="1267"/>
        <w:rPr>
          <w:rFonts w:asciiTheme="minorHAnsi" w:hAnsiTheme="minorHAnsi" w:cs="Arial"/>
          <w:sz w:val="24"/>
          <w:szCs w:val="24"/>
          <w:lang w:eastAsia="en-AU"/>
        </w:rPr>
      </w:pPr>
      <w:r w:rsidRPr="00C05BE9">
        <w:rPr>
          <w:rFonts w:asciiTheme="minorHAnsi" w:hAnsiTheme="minorHAnsi" w:cs="Arial"/>
          <w:sz w:val="24"/>
          <w:szCs w:val="24"/>
          <w:lang w:eastAsia="en-AU"/>
        </w:rPr>
        <w:t>is based on principles of estab</w:t>
      </w:r>
      <w:r w:rsidR="00C05BE9">
        <w:rPr>
          <w:rFonts w:asciiTheme="minorHAnsi" w:hAnsiTheme="minorHAnsi" w:cs="Arial"/>
          <w:sz w:val="24"/>
          <w:szCs w:val="24"/>
          <w:lang w:eastAsia="en-AU"/>
        </w:rPr>
        <w:t>lished science; and</w:t>
      </w:r>
    </w:p>
    <w:p w14:paraId="3864B078" w14:textId="77777777" w:rsidR="00FE51E2" w:rsidRPr="00C05BE9" w:rsidRDefault="00FE51E2" w:rsidP="007E1B5D">
      <w:pPr>
        <w:pStyle w:val="ListParagraph"/>
        <w:numPr>
          <w:ilvl w:val="1"/>
          <w:numId w:val="19"/>
        </w:numPr>
        <w:spacing w:before="120" w:after="120" w:line="276" w:lineRule="auto"/>
        <w:ind w:left="1267"/>
        <w:rPr>
          <w:rFonts w:asciiTheme="minorHAnsi" w:hAnsiTheme="minorHAnsi" w:cs="Arial"/>
          <w:sz w:val="24"/>
          <w:szCs w:val="24"/>
          <w:lang w:eastAsia="en-AU"/>
        </w:rPr>
      </w:pPr>
      <w:r w:rsidRPr="00C05BE9">
        <w:rPr>
          <w:rFonts w:asciiTheme="minorHAnsi" w:hAnsiTheme="minorHAnsi" w:cs="Arial"/>
          <w:sz w:val="24"/>
          <w:szCs w:val="24"/>
          <w:lang w:eastAsia="en-AU"/>
        </w:rPr>
        <w:t>proceeds from hypothesis to experiment, observation and evaluation, and leads to logical conclusions; and</w:t>
      </w:r>
    </w:p>
    <w:p w14:paraId="09D2B46D" w14:textId="77777777" w:rsidR="00FE51E2" w:rsidRDefault="00FE51E2" w:rsidP="007E1B5D">
      <w:pPr>
        <w:pStyle w:val="ListParagraph"/>
        <w:numPr>
          <w:ilvl w:val="0"/>
          <w:numId w:val="17"/>
        </w:numPr>
        <w:spacing w:before="120" w:after="120" w:line="276" w:lineRule="auto"/>
        <w:rPr>
          <w:rFonts w:asciiTheme="minorHAnsi" w:hAnsiTheme="minorHAnsi" w:cs="Arial"/>
          <w:sz w:val="24"/>
          <w:szCs w:val="24"/>
          <w:lang w:eastAsia="en-AU"/>
        </w:rPr>
      </w:pPr>
      <w:proofErr w:type="gramStart"/>
      <w:r w:rsidRPr="00C05BE9">
        <w:rPr>
          <w:rFonts w:asciiTheme="minorHAnsi" w:hAnsiTheme="minorHAnsi" w:cs="Arial"/>
          <w:sz w:val="24"/>
          <w:szCs w:val="24"/>
          <w:lang w:eastAsia="en-AU"/>
        </w:rPr>
        <w:t>that</w:t>
      </w:r>
      <w:proofErr w:type="gramEnd"/>
      <w:r w:rsidRPr="00C05BE9">
        <w:rPr>
          <w:rFonts w:asciiTheme="minorHAnsi" w:hAnsiTheme="minorHAnsi" w:cs="Arial"/>
          <w:sz w:val="24"/>
          <w:szCs w:val="24"/>
          <w:lang w:eastAsia="en-AU"/>
        </w:rPr>
        <w:t xml:space="preserve"> are conducted for the purpose of generating new knowledge (including new knowledge in the form of new or improved materials, products, devices, processes or services).</w:t>
      </w:r>
    </w:p>
    <w:p w14:paraId="7360825A" w14:textId="77777777" w:rsidR="00FE51E2" w:rsidRPr="00AE6468" w:rsidRDefault="008578EC" w:rsidP="00624656">
      <w:pPr>
        <w:pStyle w:val="Heading4"/>
        <w:rPr>
          <w:i/>
        </w:rPr>
      </w:pPr>
      <w:r w:rsidRPr="00AE6468">
        <w:t xml:space="preserve">1. </w:t>
      </w:r>
      <w:r w:rsidR="00FE51E2" w:rsidRPr="00AE6468">
        <w:t>No significant purpose of generating new knowledge</w:t>
      </w:r>
    </w:p>
    <w:p w14:paraId="58759ED8" w14:textId="6DA343BA" w:rsidR="00FE51E2" w:rsidRPr="00C05BE9" w:rsidRDefault="00FE51E2" w:rsidP="00AE6468">
      <w:pPr>
        <w:spacing w:before="120" w:after="120" w:line="276" w:lineRule="auto"/>
        <w:rPr>
          <w:rFonts w:asciiTheme="minorHAnsi" w:hAnsiTheme="minorHAnsi" w:cs="Arial"/>
          <w:sz w:val="24"/>
          <w:szCs w:val="24"/>
          <w:lang w:eastAsia="en-AU"/>
        </w:rPr>
      </w:pPr>
      <w:r w:rsidRPr="00C05BE9">
        <w:rPr>
          <w:rFonts w:asciiTheme="minorHAnsi" w:hAnsiTheme="minorHAnsi" w:cs="Arial"/>
          <w:sz w:val="24"/>
          <w:szCs w:val="24"/>
          <w:lang w:eastAsia="en-AU"/>
        </w:rPr>
        <w:t xml:space="preserve">The company considered that it had conducted an experimental activity within </w:t>
      </w:r>
      <w:r w:rsidRPr="00C05BE9">
        <w:rPr>
          <w:rFonts w:asciiTheme="minorHAnsi" w:hAnsiTheme="minorHAnsi" w:cs="Arial"/>
          <w:sz w:val="24"/>
          <w:szCs w:val="24"/>
          <w:lang w:eastAsia="en-AU"/>
        </w:rPr>
        <w:t>the meaning of</w:t>
      </w:r>
      <w:r w:rsidR="004C5E09">
        <w:rPr>
          <w:rFonts w:asciiTheme="minorHAnsi" w:hAnsiTheme="minorHAnsi" w:cs="Arial"/>
          <w:sz w:val="24"/>
          <w:szCs w:val="24"/>
          <w:lang w:eastAsia="en-AU"/>
        </w:rPr>
        <w:t xml:space="preserve"> the legislation</w:t>
      </w:r>
      <w:r w:rsidRPr="00C05BE9">
        <w:rPr>
          <w:rFonts w:asciiTheme="minorHAnsi" w:hAnsiTheme="minorHAnsi" w:cs="Arial"/>
          <w:sz w:val="24"/>
          <w:szCs w:val="24"/>
          <w:lang w:eastAsia="en-AU"/>
        </w:rPr>
        <w:t>.</w:t>
      </w:r>
      <w:r w:rsidR="007303F2">
        <w:rPr>
          <w:rStyle w:val="FootnoteReference"/>
          <w:rFonts w:asciiTheme="minorHAnsi" w:hAnsiTheme="minorHAnsi"/>
          <w:sz w:val="24"/>
          <w:szCs w:val="24"/>
          <w:lang w:eastAsia="en-AU"/>
        </w:rPr>
        <w:footnoteReference w:id="3"/>
      </w:r>
      <w:r w:rsidRPr="00C05BE9">
        <w:rPr>
          <w:rFonts w:asciiTheme="minorHAnsi" w:hAnsiTheme="minorHAnsi" w:cs="Arial"/>
          <w:sz w:val="24"/>
          <w:szCs w:val="24"/>
          <w:lang w:eastAsia="en-AU"/>
        </w:rPr>
        <w:t xml:space="preserve"> However</w:t>
      </w:r>
      <w:r w:rsidR="004C5E09">
        <w:rPr>
          <w:rFonts w:asciiTheme="minorHAnsi" w:hAnsiTheme="minorHAnsi" w:cs="Arial"/>
          <w:sz w:val="24"/>
          <w:szCs w:val="24"/>
          <w:lang w:eastAsia="en-AU"/>
        </w:rPr>
        <w:t>,</w:t>
      </w:r>
      <w:r w:rsidRPr="00C05BE9">
        <w:rPr>
          <w:rFonts w:asciiTheme="minorHAnsi" w:hAnsiTheme="minorHAnsi" w:cs="Arial"/>
          <w:sz w:val="24"/>
          <w:szCs w:val="24"/>
          <w:lang w:eastAsia="en-AU"/>
        </w:rPr>
        <w:t xml:space="preserve"> the activity</w:t>
      </w:r>
      <w:r w:rsidR="00452C2C" w:rsidRPr="00452C2C">
        <w:t xml:space="preserve"> </w:t>
      </w:r>
      <w:r w:rsidR="00452C2C" w:rsidRPr="00452C2C">
        <w:rPr>
          <w:rFonts w:asciiTheme="minorHAnsi" w:hAnsiTheme="minorHAnsi" w:cs="Arial"/>
          <w:sz w:val="24"/>
          <w:szCs w:val="24"/>
          <w:lang w:eastAsia="en-AU"/>
        </w:rPr>
        <w:t>to test the effects of different liquid lime</w:t>
      </w:r>
      <w:r w:rsidR="00452C2C" w:rsidRPr="00452C2C">
        <w:t xml:space="preserve"> </w:t>
      </w:r>
      <w:r w:rsidR="00452C2C" w:rsidRPr="00452C2C">
        <w:rPr>
          <w:rFonts w:asciiTheme="minorHAnsi" w:hAnsiTheme="minorHAnsi" w:cs="Arial"/>
          <w:sz w:val="24"/>
          <w:szCs w:val="24"/>
          <w:lang w:eastAsia="en-AU"/>
        </w:rPr>
        <w:t>to improve productivity</w:t>
      </w:r>
      <w:r w:rsidRPr="00C05BE9">
        <w:rPr>
          <w:rFonts w:asciiTheme="minorHAnsi" w:hAnsiTheme="minorHAnsi" w:cs="Arial"/>
          <w:sz w:val="24"/>
          <w:szCs w:val="24"/>
          <w:lang w:eastAsia="en-AU"/>
        </w:rPr>
        <w:t xml:space="preserve"> failed to meet a number of elements of the legislation, including the requirement of having at least a significant purpose of generating new knowledge. </w:t>
      </w:r>
    </w:p>
    <w:p w14:paraId="335BB0E4" w14:textId="77777777" w:rsidR="00FE51E2" w:rsidRPr="00C05BE9" w:rsidRDefault="00FE51E2" w:rsidP="002C35C1">
      <w:pPr>
        <w:spacing w:before="120" w:after="240" w:line="276" w:lineRule="auto"/>
        <w:rPr>
          <w:rFonts w:asciiTheme="minorHAnsi" w:hAnsiTheme="minorHAnsi" w:cs="Arial"/>
          <w:sz w:val="24"/>
          <w:szCs w:val="24"/>
          <w:lang w:eastAsia="en-AU"/>
        </w:rPr>
      </w:pPr>
      <w:r w:rsidRPr="00C05BE9">
        <w:rPr>
          <w:rFonts w:asciiTheme="minorHAnsi" w:hAnsiTheme="minorHAnsi" w:cs="Arial"/>
          <w:sz w:val="24"/>
          <w:szCs w:val="24"/>
          <w:lang w:eastAsia="en-AU"/>
        </w:rPr>
        <w:t>This activity was not undertaken for the purpose of generating new knowledge as it was well known in the agricultural industry that aluminium was only soluble below a particular soil pH, and that adding lime would eliminate aluminium toxicity. Also, any information about specific application rates generated by the activity on an individual farm would be site specific and thus could not be applied with confidence to another farm.</w:t>
      </w:r>
    </w:p>
    <w:p w14:paraId="5F9DEE4C" w14:textId="77777777" w:rsidR="00FE51E2" w:rsidRPr="00E90D71" w:rsidRDefault="00FE51E2" w:rsidP="00A24218">
      <w:pPr>
        <w:spacing w:before="120" w:after="120" w:line="240" w:lineRule="auto"/>
        <w:rPr>
          <w:rFonts w:ascii="Arial" w:hAnsi="Arial" w:cs="Arial"/>
          <w:sz w:val="30"/>
          <w:szCs w:val="30"/>
          <w:lang w:eastAsia="en-AU"/>
        </w:rPr>
      </w:pPr>
      <w:r w:rsidRPr="00A24218">
        <w:rPr>
          <w:rFonts w:asciiTheme="minorHAnsi" w:hAnsiTheme="minorHAnsi" w:cs="Arial"/>
          <w:b/>
          <w:bCs/>
          <w:sz w:val="24"/>
          <w:szCs w:val="30"/>
          <w:lang w:eastAsia="en-AU"/>
        </w:rPr>
        <w:t>Date of decision: 17 May 2016</w:t>
      </w:r>
      <w:r w:rsidR="00A24218">
        <w:rPr>
          <w:rFonts w:ascii="Arial" w:hAnsi="Arial" w:cs="Arial"/>
          <w:sz w:val="30"/>
          <w:szCs w:val="30"/>
          <w:lang w:eastAsia="en-AU"/>
        </w:rPr>
        <w:tab/>
      </w:r>
    </w:p>
    <w:p w14:paraId="48CBC0C9" w14:textId="77777777" w:rsidR="00FE51E2" w:rsidRPr="00AE6468" w:rsidRDefault="00FE51E2" w:rsidP="00624656">
      <w:pPr>
        <w:pStyle w:val="Heading4"/>
        <w:rPr>
          <w:i/>
        </w:rPr>
      </w:pPr>
      <w:r w:rsidRPr="00AE6468">
        <w:t>Legislative References</w:t>
      </w:r>
    </w:p>
    <w:p w14:paraId="4BAFBD6E" w14:textId="77777777" w:rsidR="00FE51E2" w:rsidRPr="00A24218" w:rsidRDefault="00FE51E2" w:rsidP="00A24218">
      <w:pPr>
        <w:spacing w:before="120" w:after="120" w:line="240" w:lineRule="auto"/>
        <w:rPr>
          <w:rFonts w:asciiTheme="minorHAnsi" w:hAnsiTheme="minorHAnsi" w:cs="Arial"/>
          <w:i/>
          <w:iCs/>
          <w:sz w:val="24"/>
          <w:szCs w:val="24"/>
          <w:lang w:eastAsia="en-AU"/>
        </w:rPr>
      </w:pPr>
      <w:r w:rsidRPr="00A24218">
        <w:rPr>
          <w:rFonts w:asciiTheme="minorHAnsi" w:hAnsiTheme="minorHAnsi" w:cs="Arial"/>
          <w:i/>
          <w:iCs/>
          <w:sz w:val="24"/>
          <w:szCs w:val="24"/>
          <w:lang w:eastAsia="en-AU"/>
        </w:rPr>
        <w:t>Income Tax Assessment Act 1997</w:t>
      </w:r>
    </w:p>
    <w:p w14:paraId="3002F9B5" w14:textId="77777777" w:rsidR="00FE51E2" w:rsidRPr="00A24218" w:rsidRDefault="00FE51E2" w:rsidP="00A24218">
      <w:pPr>
        <w:spacing w:before="120" w:after="120" w:line="240" w:lineRule="auto"/>
        <w:rPr>
          <w:rFonts w:asciiTheme="minorHAnsi" w:hAnsiTheme="minorHAnsi" w:cs="Arial"/>
          <w:i/>
          <w:iCs/>
          <w:sz w:val="24"/>
          <w:szCs w:val="24"/>
          <w:lang w:eastAsia="en-AU"/>
        </w:rPr>
      </w:pPr>
      <w:proofErr w:type="gramStart"/>
      <w:r w:rsidRPr="00A24218">
        <w:rPr>
          <w:rFonts w:asciiTheme="minorHAnsi" w:hAnsiTheme="minorHAnsi" w:cs="Arial"/>
          <w:i/>
          <w:iCs/>
          <w:sz w:val="24"/>
          <w:szCs w:val="24"/>
          <w:lang w:eastAsia="en-AU"/>
        </w:rPr>
        <w:t>subsection</w:t>
      </w:r>
      <w:proofErr w:type="gramEnd"/>
      <w:r w:rsidRPr="00A24218">
        <w:rPr>
          <w:rFonts w:asciiTheme="minorHAnsi" w:hAnsiTheme="minorHAnsi" w:cs="Arial"/>
          <w:i/>
          <w:iCs/>
          <w:sz w:val="24"/>
          <w:szCs w:val="24"/>
          <w:lang w:eastAsia="en-AU"/>
        </w:rPr>
        <w:t xml:space="preserve"> 355-25(1)</w:t>
      </w:r>
    </w:p>
    <w:p w14:paraId="7D3258EF" w14:textId="77777777" w:rsidR="00FE51E2" w:rsidRPr="00A24218" w:rsidRDefault="00FE51E2" w:rsidP="00A24218">
      <w:pPr>
        <w:spacing w:before="120" w:after="120" w:line="240" w:lineRule="auto"/>
        <w:rPr>
          <w:rFonts w:asciiTheme="minorHAnsi" w:hAnsiTheme="minorHAnsi" w:cs="Arial"/>
          <w:i/>
          <w:iCs/>
          <w:sz w:val="24"/>
          <w:szCs w:val="24"/>
          <w:lang w:eastAsia="en-AU"/>
        </w:rPr>
      </w:pPr>
      <w:proofErr w:type="gramStart"/>
      <w:r w:rsidRPr="00A24218">
        <w:rPr>
          <w:rFonts w:asciiTheme="minorHAnsi" w:hAnsiTheme="minorHAnsi" w:cs="Arial"/>
          <w:i/>
          <w:iCs/>
          <w:sz w:val="24"/>
          <w:szCs w:val="24"/>
          <w:lang w:eastAsia="en-AU"/>
        </w:rPr>
        <w:t>subsection</w:t>
      </w:r>
      <w:proofErr w:type="gramEnd"/>
      <w:r w:rsidRPr="00A24218">
        <w:rPr>
          <w:rFonts w:asciiTheme="minorHAnsi" w:hAnsiTheme="minorHAnsi" w:cs="Arial"/>
          <w:i/>
          <w:iCs/>
          <w:sz w:val="24"/>
          <w:szCs w:val="24"/>
          <w:lang w:eastAsia="en-AU"/>
        </w:rPr>
        <w:t xml:space="preserve"> 355-100(1)</w:t>
      </w:r>
    </w:p>
    <w:p w14:paraId="0F8AD445" w14:textId="77777777" w:rsidR="00FE51E2" w:rsidRPr="00624656" w:rsidRDefault="00FE51E2" w:rsidP="00624656">
      <w:pPr>
        <w:pStyle w:val="Heading4"/>
      </w:pPr>
      <w:r w:rsidRPr="00624656">
        <w:t>Keywords</w:t>
      </w:r>
    </w:p>
    <w:p w14:paraId="5BFE0FE4" w14:textId="77777777" w:rsidR="00FE51E2" w:rsidRPr="00A24218" w:rsidRDefault="00FE51E2" w:rsidP="00A24218">
      <w:pPr>
        <w:spacing w:before="120" w:after="120" w:line="240" w:lineRule="auto"/>
        <w:rPr>
          <w:rFonts w:asciiTheme="minorHAnsi" w:hAnsiTheme="minorHAnsi" w:cs="Arial"/>
          <w:sz w:val="24"/>
          <w:szCs w:val="24"/>
          <w:lang w:eastAsia="en-AU"/>
        </w:rPr>
      </w:pPr>
      <w:proofErr w:type="gramStart"/>
      <w:r w:rsidRPr="00A24218">
        <w:rPr>
          <w:rFonts w:asciiTheme="minorHAnsi" w:hAnsiTheme="minorHAnsi" w:cs="Arial"/>
          <w:sz w:val="24"/>
          <w:szCs w:val="24"/>
          <w:lang w:eastAsia="en-AU"/>
        </w:rPr>
        <w:t>core</w:t>
      </w:r>
      <w:proofErr w:type="gramEnd"/>
      <w:r w:rsidRPr="00A24218">
        <w:rPr>
          <w:rFonts w:asciiTheme="minorHAnsi" w:hAnsiTheme="minorHAnsi" w:cs="Arial"/>
          <w:sz w:val="24"/>
          <w:szCs w:val="24"/>
          <w:lang w:eastAsia="en-AU"/>
        </w:rPr>
        <w:t xml:space="preserve"> R&amp;D activities</w:t>
      </w:r>
    </w:p>
    <w:p w14:paraId="3CB479D7" w14:textId="77777777" w:rsidR="00FE51E2" w:rsidRDefault="00FE51E2" w:rsidP="00A24218">
      <w:pPr>
        <w:spacing w:before="120" w:after="120" w:line="240" w:lineRule="auto"/>
        <w:rPr>
          <w:rFonts w:asciiTheme="minorHAnsi" w:hAnsiTheme="minorHAnsi" w:cs="Arial"/>
          <w:sz w:val="24"/>
          <w:szCs w:val="24"/>
          <w:lang w:eastAsia="en-AU"/>
        </w:rPr>
      </w:pPr>
      <w:proofErr w:type="gramStart"/>
      <w:r w:rsidRPr="00A24218">
        <w:rPr>
          <w:rFonts w:asciiTheme="minorHAnsi" w:hAnsiTheme="minorHAnsi" w:cs="Arial"/>
          <w:sz w:val="24"/>
          <w:szCs w:val="24"/>
          <w:lang w:eastAsia="en-AU"/>
        </w:rPr>
        <w:t>experimental</w:t>
      </w:r>
      <w:proofErr w:type="gramEnd"/>
      <w:r w:rsidRPr="00A24218">
        <w:rPr>
          <w:rFonts w:asciiTheme="minorHAnsi" w:hAnsiTheme="minorHAnsi" w:cs="Arial"/>
          <w:sz w:val="24"/>
          <w:szCs w:val="24"/>
          <w:lang w:eastAsia="en-AU"/>
        </w:rPr>
        <w:t xml:space="preserve"> activities</w:t>
      </w:r>
    </w:p>
    <w:p w14:paraId="72B3090A" w14:textId="77777777" w:rsidR="00C05BE9" w:rsidRPr="00A24218" w:rsidRDefault="00C05BE9" w:rsidP="00A24218">
      <w:pPr>
        <w:spacing w:before="120" w:after="120" w:line="240" w:lineRule="auto"/>
        <w:rPr>
          <w:rFonts w:asciiTheme="minorHAnsi" w:hAnsiTheme="minorHAnsi" w:cs="Arial"/>
          <w:sz w:val="24"/>
          <w:szCs w:val="24"/>
          <w:lang w:eastAsia="en-AU"/>
        </w:rPr>
      </w:pPr>
    </w:p>
    <w:p w14:paraId="596EBFF7" w14:textId="77777777" w:rsidR="00FE51E2" w:rsidRPr="00A24218" w:rsidRDefault="00FE51E2" w:rsidP="00A24218">
      <w:pPr>
        <w:spacing w:before="120" w:after="120" w:line="240" w:lineRule="auto"/>
        <w:rPr>
          <w:rFonts w:asciiTheme="minorHAnsi" w:hAnsiTheme="minorHAnsi" w:cs="Arial"/>
          <w:b/>
          <w:bCs/>
          <w:sz w:val="24"/>
          <w:szCs w:val="30"/>
          <w:lang w:eastAsia="en-AU"/>
        </w:rPr>
      </w:pPr>
      <w:r w:rsidRPr="00A24218">
        <w:rPr>
          <w:rFonts w:asciiTheme="minorHAnsi" w:hAnsiTheme="minorHAnsi" w:cs="Arial"/>
          <w:b/>
          <w:bCs/>
          <w:sz w:val="24"/>
          <w:szCs w:val="30"/>
          <w:lang w:eastAsia="en-AU"/>
        </w:rPr>
        <w:t>Date of Publication:</w:t>
      </w:r>
      <w:r w:rsidR="009A0261" w:rsidRPr="00A24218">
        <w:rPr>
          <w:rFonts w:asciiTheme="minorHAnsi" w:hAnsiTheme="minorHAnsi" w:cs="Arial"/>
          <w:b/>
          <w:bCs/>
          <w:sz w:val="24"/>
          <w:szCs w:val="30"/>
          <w:lang w:eastAsia="en-AU"/>
        </w:rPr>
        <w:t xml:space="preserve"> 18 November 2016</w:t>
      </w:r>
    </w:p>
    <w:p w14:paraId="08C73FF9" w14:textId="77777777" w:rsidR="00A24218" w:rsidRPr="00A24218" w:rsidRDefault="00A24218" w:rsidP="00A24218">
      <w:pPr>
        <w:spacing w:before="120" w:after="120" w:line="240" w:lineRule="auto"/>
        <w:rPr>
          <w:rFonts w:asciiTheme="minorHAnsi" w:hAnsiTheme="minorHAnsi" w:cs="Arial"/>
          <w:b/>
          <w:bCs/>
          <w:sz w:val="24"/>
          <w:szCs w:val="30"/>
          <w:lang w:eastAsia="en-AU"/>
        </w:rPr>
        <w:sectPr w:rsidR="00A24218" w:rsidRPr="00A24218" w:rsidSect="00637232">
          <w:type w:val="continuous"/>
          <w:pgSz w:w="11906" w:h="16838"/>
          <w:pgMar w:top="1440" w:right="1440" w:bottom="1440" w:left="1440" w:header="708" w:footer="708" w:gutter="0"/>
          <w:cols w:num="2" w:space="708"/>
          <w:docGrid w:linePitch="360"/>
        </w:sectPr>
      </w:pPr>
    </w:p>
    <w:p w14:paraId="5EEDF3BE" w14:textId="77777777" w:rsidR="00FE51E2" w:rsidRPr="0062745E" w:rsidRDefault="00FE51E2">
      <w:pPr>
        <w:rPr>
          <w:rFonts w:ascii="Arial" w:hAnsi="Arial" w:cs="Arial"/>
        </w:rPr>
      </w:pPr>
    </w:p>
    <w:sectPr w:rsidR="00FE51E2" w:rsidRPr="0062745E" w:rsidSect="0063723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1A38E" w14:textId="77777777" w:rsidR="00FE51E2" w:rsidRDefault="00FE51E2" w:rsidP="008D167E">
      <w:pPr>
        <w:spacing w:after="0" w:line="240" w:lineRule="auto"/>
      </w:pPr>
      <w:r>
        <w:separator/>
      </w:r>
    </w:p>
  </w:endnote>
  <w:endnote w:type="continuationSeparator" w:id="0">
    <w:p w14:paraId="78FE2691" w14:textId="77777777" w:rsidR="00FE51E2" w:rsidRDefault="00FE51E2" w:rsidP="008D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297DD" w14:textId="77777777" w:rsidR="00E1257D" w:rsidRDefault="00E12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val="0"/>
        <w:sz w:val="16"/>
      </w:rPr>
      <w:id w:val="-1259588053"/>
      <w:docPartObj>
        <w:docPartGallery w:val="Page Numbers (Bottom of Page)"/>
        <w:docPartUnique/>
      </w:docPartObj>
    </w:sdtPr>
    <w:sdtEndPr>
      <w:rPr>
        <w:noProof/>
      </w:rPr>
    </w:sdtEndPr>
    <w:sdtContent>
      <w:p w14:paraId="561A6ECA" w14:textId="77777777" w:rsidR="00C05BE9" w:rsidRPr="00C05BE9" w:rsidRDefault="00C05BE9" w:rsidP="00C05BE9">
        <w:pPr>
          <w:pStyle w:val="Footer"/>
          <w:jc w:val="left"/>
          <w:rPr>
            <w:rFonts w:asciiTheme="minorHAnsi" w:hAnsiTheme="minorHAnsi"/>
            <w:b w:val="0"/>
            <w:sz w:val="16"/>
          </w:rPr>
        </w:pPr>
        <w:r w:rsidRPr="00BD7B77">
          <w:rPr>
            <w:noProof/>
            <w:sz w:val="18"/>
          </w:rPr>
          <mc:AlternateContent>
            <mc:Choice Requires="wps">
              <w:drawing>
                <wp:anchor distT="0" distB="0" distL="114300" distR="114300" simplePos="0" relativeHeight="251657728" behindDoc="0" locked="0" layoutInCell="1" allowOverlap="1" wp14:anchorId="184337F9" wp14:editId="32F38EFF">
                  <wp:simplePos x="0" y="0"/>
                  <wp:positionH relativeFrom="margin">
                    <wp:posOffset>-53594</wp:posOffset>
                  </wp:positionH>
                  <wp:positionV relativeFrom="paragraph">
                    <wp:posOffset>-49530</wp:posOffset>
                  </wp:positionV>
                  <wp:extent cx="5879465" cy="0"/>
                  <wp:effectExtent l="0" t="0" r="26035" b="19050"/>
                  <wp:wrapNone/>
                  <wp:docPr id="3" name="Straight Connector 3" title="Footer separator"/>
                  <wp:cNvGraphicFramePr/>
                  <a:graphic xmlns:a="http://schemas.openxmlformats.org/drawingml/2006/main">
                    <a:graphicData uri="http://schemas.microsoft.com/office/word/2010/wordprocessingShape">
                      <wps:wsp>
                        <wps:cNvCnPr/>
                        <wps:spPr>
                          <a:xfrm>
                            <a:off x="0" y="0"/>
                            <a:ext cx="5879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75675" id="Straight Connector 3" o:spid="_x0000_s1026" alt="Title: Footer separator" style="position:absolute;z-index:251657728;visibility:visible;mso-wrap-style:square;mso-wrap-distance-left:9pt;mso-wrap-distance-top:0;mso-wrap-distance-right:9pt;mso-wrap-distance-bottom:0;mso-position-horizontal:absolute;mso-position-horizontal-relative:margin;mso-position-vertical:absolute;mso-position-vertical-relative:text" from="-4.2pt,-3.9pt" to="45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" strokecolor="#4579b8 [3044]">
                  <w10:wrap anchorx="margin"/>
                </v:line>
              </w:pict>
            </mc:Fallback>
          </mc:AlternateContent>
        </w:r>
        <w:r w:rsidRPr="000976B6">
          <w:rPr>
            <w:rFonts w:asciiTheme="minorHAnsi" w:hAnsiTheme="minorHAnsi"/>
            <w:b w:val="0"/>
            <w:sz w:val="16"/>
          </w:rPr>
          <w:fldChar w:fldCharType="begin"/>
        </w:r>
        <w:r w:rsidRPr="000976B6">
          <w:rPr>
            <w:rFonts w:asciiTheme="minorHAnsi" w:hAnsiTheme="minorHAnsi"/>
            <w:b w:val="0"/>
            <w:sz w:val="16"/>
          </w:rPr>
          <w:instrText xml:space="preserve"> PAGE   \* MERGEFORMAT </w:instrText>
        </w:r>
        <w:r w:rsidRPr="000976B6">
          <w:rPr>
            <w:rFonts w:asciiTheme="minorHAnsi" w:hAnsiTheme="minorHAnsi"/>
            <w:b w:val="0"/>
            <w:sz w:val="16"/>
          </w:rPr>
          <w:fldChar w:fldCharType="separate"/>
        </w:r>
        <w:r w:rsidR="00EF5934">
          <w:rPr>
            <w:rFonts w:asciiTheme="minorHAnsi" w:hAnsiTheme="minorHAnsi"/>
            <w:b w:val="0"/>
            <w:noProof/>
            <w:sz w:val="16"/>
          </w:rPr>
          <w:t>2</w:t>
        </w:r>
        <w:r w:rsidRPr="000976B6">
          <w:rPr>
            <w:rFonts w:asciiTheme="minorHAnsi" w:hAnsiTheme="minorHAnsi"/>
            <w:b w:val="0"/>
            <w:noProof/>
            <w:sz w:val="16"/>
          </w:rPr>
          <w:fldChar w:fldCharType="end"/>
        </w:r>
        <w:r w:rsidRPr="000E210D">
          <w:rPr>
            <w:noProof/>
            <w:sz w:val="1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9F1A5" w14:textId="77777777" w:rsidR="00A24218" w:rsidRDefault="00A24218" w:rsidP="00A24218"/>
  <w:sdt>
    <w:sdtPr>
      <w:rPr>
        <w:rFonts w:asciiTheme="minorHAnsi" w:hAnsiTheme="minorHAnsi"/>
        <w:b w:val="0"/>
        <w:sz w:val="16"/>
      </w:rPr>
      <w:id w:val="645706936"/>
      <w:docPartObj>
        <w:docPartGallery w:val="Page Numbers (Bottom of Page)"/>
        <w:docPartUnique/>
      </w:docPartObj>
    </w:sdtPr>
    <w:sdtEndPr>
      <w:rPr>
        <w:noProof/>
      </w:rPr>
    </w:sdtEndPr>
    <w:sdtContent>
      <w:p w14:paraId="3D37FFE3" w14:textId="77777777" w:rsidR="00A24218" w:rsidRPr="000976B6" w:rsidRDefault="00A24218" w:rsidP="00A24218">
        <w:pPr>
          <w:pStyle w:val="Footer"/>
          <w:jc w:val="left"/>
          <w:rPr>
            <w:rFonts w:asciiTheme="minorHAnsi" w:hAnsiTheme="minorHAnsi"/>
            <w:b w:val="0"/>
            <w:sz w:val="16"/>
          </w:rPr>
        </w:pPr>
        <w:r w:rsidRPr="00BD7B77">
          <w:rPr>
            <w:noProof/>
            <w:sz w:val="18"/>
          </w:rPr>
          <mc:AlternateContent>
            <mc:Choice Requires="wps">
              <w:drawing>
                <wp:anchor distT="0" distB="0" distL="114300" distR="114300" simplePos="0" relativeHeight="251655680" behindDoc="0" locked="0" layoutInCell="1" allowOverlap="1" wp14:anchorId="3C15B620" wp14:editId="1EB8710E">
                  <wp:simplePos x="0" y="0"/>
                  <wp:positionH relativeFrom="margin">
                    <wp:posOffset>-53594</wp:posOffset>
                  </wp:positionH>
                  <wp:positionV relativeFrom="paragraph">
                    <wp:posOffset>-49530</wp:posOffset>
                  </wp:positionV>
                  <wp:extent cx="5879465" cy="0"/>
                  <wp:effectExtent l="0" t="0" r="26035" b="19050"/>
                  <wp:wrapNone/>
                  <wp:docPr id="2" name="Straight Connector 2" title="footer separator"/>
                  <wp:cNvGraphicFramePr/>
                  <a:graphic xmlns:a="http://schemas.openxmlformats.org/drawingml/2006/main">
                    <a:graphicData uri="http://schemas.microsoft.com/office/word/2010/wordprocessingShape">
                      <wps:wsp>
                        <wps:cNvCnPr/>
                        <wps:spPr>
                          <a:xfrm>
                            <a:off x="0" y="0"/>
                            <a:ext cx="5879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1103F" id="Straight Connector 2" o:spid="_x0000_s1026" alt="Title: footer separator" style="position:absolute;z-index:251655680;visibility:visible;mso-wrap-style:square;mso-wrap-distance-left:9pt;mso-wrap-distance-top:0;mso-wrap-distance-right:9pt;mso-wrap-distance-bottom:0;mso-position-horizontal:absolute;mso-position-horizontal-relative:margin;mso-position-vertical:absolute;mso-position-vertical-relative:text" from="-4.2pt,-3.9pt" to="45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" strokecolor="#4579b8 [3044]">
                  <w10:wrap anchorx="margin"/>
                </v:line>
              </w:pict>
            </mc:Fallback>
          </mc:AlternateContent>
        </w:r>
        <w:r w:rsidRPr="000976B6">
          <w:rPr>
            <w:rFonts w:asciiTheme="minorHAnsi" w:hAnsiTheme="minorHAnsi"/>
            <w:b w:val="0"/>
            <w:sz w:val="16"/>
          </w:rPr>
          <w:fldChar w:fldCharType="begin"/>
        </w:r>
        <w:r w:rsidRPr="000976B6">
          <w:rPr>
            <w:rFonts w:asciiTheme="minorHAnsi" w:hAnsiTheme="minorHAnsi"/>
            <w:b w:val="0"/>
            <w:sz w:val="16"/>
          </w:rPr>
          <w:instrText xml:space="preserve"> PAGE   \* MERGEFORMAT </w:instrText>
        </w:r>
        <w:r w:rsidRPr="000976B6">
          <w:rPr>
            <w:rFonts w:asciiTheme="minorHAnsi" w:hAnsiTheme="minorHAnsi"/>
            <w:b w:val="0"/>
            <w:sz w:val="16"/>
          </w:rPr>
          <w:fldChar w:fldCharType="separate"/>
        </w:r>
        <w:r w:rsidR="00EF5934">
          <w:rPr>
            <w:rFonts w:asciiTheme="minorHAnsi" w:hAnsiTheme="minorHAnsi"/>
            <w:b w:val="0"/>
            <w:noProof/>
            <w:sz w:val="16"/>
          </w:rPr>
          <w:t>1</w:t>
        </w:r>
        <w:r w:rsidRPr="000976B6">
          <w:rPr>
            <w:rFonts w:asciiTheme="minorHAnsi" w:hAnsiTheme="minorHAnsi"/>
            <w:b w:val="0"/>
            <w:noProof/>
            <w:sz w:val="16"/>
          </w:rPr>
          <w:fldChar w:fldCharType="end"/>
        </w:r>
        <w:r w:rsidRPr="000E210D">
          <w:rPr>
            <w:noProof/>
            <w:sz w:val="18"/>
          </w:rPr>
          <w:t xml:space="preserve"> </w:t>
        </w:r>
      </w:p>
    </w:sdtContent>
  </w:sdt>
  <w:p w14:paraId="2860831B" w14:textId="77777777" w:rsidR="00A24218" w:rsidRDefault="00A24218" w:rsidP="00A24218">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5F88C" w14:textId="77777777" w:rsidR="00FE51E2" w:rsidRDefault="00FE51E2" w:rsidP="008D167E">
      <w:pPr>
        <w:spacing w:after="0" w:line="240" w:lineRule="auto"/>
      </w:pPr>
      <w:r>
        <w:separator/>
      </w:r>
    </w:p>
  </w:footnote>
  <w:footnote w:type="continuationSeparator" w:id="0">
    <w:p w14:paraId="2941520C" w14:textId="77777777" w:rsidR="00FE51E2" w:rsidRDefault="00FE51E2" w:rsidP="008D167E">
      <w:pPr>
        <w:spacing w:after="0" w:line="240" w:lineRule="auto"/>
      </w:pPr>
      <w:r>
        <w:continuationSeparator/>
      </w:r>
    </w:p>
  </w:footnote>
  <w:footnote w:id="1">
    <w:p w14:paraId="7B870F88" w14:textId="3FC10839" w:rsidR="004C5E09" w:rsidRDefault="004C5E09">
      <w:pPr>
        <w:pStyle w:val="FootnoteText"/>
      </w:pPr>
      <w:r>
        <w:rPr>
          <w:rStyle w:val="FootnoteReference"/>
        </w:rPr>
        <w:footnoteRef/>
      </w:r>
      <w:r>
        <w:t xml:space="preserve"> </w:t>
      </w:r>
      <w:r w:rsidR="00BC4FE3">
        <w:t>S</w:t>
      </w:r>
      <w:r w:rsidRPr="004C5E09">
        <w:t xml:space="preserve">ubsection 355-100(1) of the </w:t>
      </w:r>
      <w:r w:rsidRPr="00CC4712">
        <w:rPr>
          <w:i/>
        </w:rPr>
        <w:t>Income Tax Assessment Act 1997</w:t>
      </w:r>
      <w:r w:rsidRPr="004C5E09">
        <w:t xml:space="preserve"> (ITAA 1997)</w:t>
      </w:r>
    </w:p>
  </w:footnote>
  <w:footnote w:id="2">
    <w:p w14:paraId="12B0377A" w14:textId="6B655A41" w:rsidR="004C5E09" w:rsidRDefault="004C5E09">
      <w:pPr>
        <w:pStyle w:val="FootnoteText"/>
      </w:pPr>
      <w:r>
        <w:rPr>
          <w:rStyle w:val="FootnoteReference"/>
        </w:rPr>
        <w:footnoteRef/>
      </w:r>
      <w:r>
        <w:t xml:space="preserve"> </w:t>
      </w:r>
      <w:r w:rsidR="00BC4FE3">
        <w:t>S</w:t>
      </w:r>
      <w:r w:rsidRPr="004C5E09">
        <w:t>ubsection 355-25(1)</w:t>
      </w:r>
      <w:r w:rsidR="00B84023">
        <w:t xml:space="preserve"> of </w:t>
      </w:r>
      <w:r w:rsidR="00977D0B">
        <w:t xml:space="preserve">the </w:t>
      </w:r>
      <w:r w:rsidR="00B84023">
        <w:t>ITAA 1997</w:t>
      </w:r>
    </w:p>
  </w:footnote>
  <w:footnote w:id="3">
    <w:p w14:paraId="0044C097" w14:textId="77777777" w:rsidR="007303F2" w:rsidRDefault="007303F2" w:rsidP="007303F2">
      <w:pPr>
        <w:pStyle w:val="FootnoteText"/>
      </w:pPr>
      <w:r>
        <w:rPr>
          <w:rStyle w:val="FootnoteReference"/>
        </w:rPr>
        <w:footnoteRef/>
      </w:r>
      <w:r>
        <w:t xml:space="preserve"> S</w:t>
      </w:r>
      <w:r w:rsidRPr="004C5E09">
        <w:t>ubsection 355 25(1)</w:t>
      </w:r>
      <w:r>
        <w:t xml:space="preserve"> of the ITAA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24A8" w14:textId="77777777" w:rsidR="00E1257D" w:rsidRDefault="00E12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C90B" w14:textId="31464533" w:rsidR="00A24218" w:rsidRPr="00497F20" w:rsidRDefault="00A24218" w:rsidP="00A24218">
    <w:pPr>
      <w:pStyle w:val="Header"/>
      <w:rPr>
        <w:sz w:val="18"/>
      </w:rPr>
    </w:pPr>
    <w:r w:rsidRPr="00497F20">
      <w:rPr>
        <w:noProof/>
        <w:sz w:val="14"/>
        <w:lang w:eastAsia="en-AU"/>
      </w:rPr>
      <mc:AlternateContent>
        <mc:Choice Requires="wps">
          <w:drawing>
            <wp:anchor distT="0" distB="0" distL="114300" distR="114300" simplePos="0" relativeHeight="251656704" behindDoc="0" locked="0" layoutInCell="1" allowOverlap="1" wp14:anchorId="0F8636FE" wp14:editId="35C3D117">
              <wp:simplePos x="0" y="0"/>
              <wp:positionH relativeFrom="margin">
                <wp:align>center</wp:align>
              </wp:positionH>
              <wp:positionV relativeFrom="paragraph">
                <wp:posOffset>141351</wp:posOffset>
              </wp:positionV>
              <wp:extent cx="5879592" cy="0"/>
              <wp:effectExtent l="0" t="0" r="26035" b="19050"/>
              <wp:wrapNone/>
              <wp:docPr id="8" name="Straight Connector 8" title="header separator"/>
              <wp:cNvGraphicFramePr/>
              <a:graphic xmlns:a="http://schemas.openxmlformats.org/drawingml/2006/main">
                <a:graphicData uri="http://schemas.microsoft.com/office/word/2010/wordprocessingShape">
                  <wps:wsp>
                    <wps:cNvCnPr/>
                    <wps:spPr>
                      <a:xfrm>
                        <a:off x="0" y="0"/>
                        <a:ext cx="5879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153CD" id="Straight Connector 8" o:spid="_x0000_s1026" alt="Title: header separator" style="position:absolute;z-index:251656704;visibility:visible;mso-wrap-style:square;mso-wrap-distance-left:9pt;mso-wrap-distance-top:0;mso-wrap-distance-right:9pt;mso-wrap-distance-bottom:0;mso-position-horizontal:center;mso-position-horizontal-relative:margin;mso-position-vertical:absolute;mso-position-vertical-relative:text" from="0,11.15pt" to="462.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" strokecolor="#4579b8 [3044]">
              <w10:wrap anchorx="margin"/>
            </v:line>
          </w:pict>
        </mc:Fallback>
      </mc:AlternateContent>
    </w:r>
    <w:r w:rsidRPr="00497F20">
      <w:rPr>
        <w:b/>
        <w:sz w:val="18"/>
      </w:rPr>
      <w:t>R&amp;D Tax Incentive:</w:t>
    </w:r>
    <w:r w:rsidRPr="00497F20">
      <w:rPr>
        <w:sz w:val="18"/>
      </w:rPr>
      <w:t xml:space="preserve"> </w:t>
    </w:r>
    <w:r>
      <w:rPr>
        <w:sz w:val="18"/>
      </w:rPr>
      <w:t>Finding</w:t>
    </w:r>
    <w:r w:rsidRPr="00497F20">
      <w:rPr>
        <w:sz w:val="18"/>
      </w:rPr>
      <w:t xml:space="preserve">: </w:t>
    </w:r>
    <w:r>
      <w:rPr>
        <w:sz w:val="18"/>
      </w:rPr>
      <w:t>2016/0</w:t>
    </w:r>
    <w:r w:rsidR="00D81438">
      <w:rPr>
        <w:sz w:val="18"/>
      </w:rPr>
      <w:t>2</w:t>
    </w:r>
    <w:r w:rsidR="00C05BE9">
      <w:rPr>
        <w:sz w:val="18"/>
      </w:rPr>
      <w:t>: No New Knowledge</w:t>
    </w:r>
    <w:r w:rsidR="004D5AF1">
      <w:rPr>
        <w:sz w:val="18"/>
      </w:rPr>
      <w:t xml:space="preserve"> – agriculture</w:t>
    </w:r>
  </w:p>
  <w:p w14:paraId="1C6C9865" w14:textId="77777777" w:rsidR="00A24218" w:rsidRDefault="00A24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BFF9D" w14:textId="3C4D8136" w:rsidR="00A24218" w:rsidRDefault="00AE6FEA" w:rsidP="00AE6468">
    <w:pPr>
      <w:pStyle w:val="Header"/>
      <w:tabs>
        <w:tab w:val="clear" w:pos="4513"/>
        <w:tab w:val="clear" w:pos="9026"/>
        <w:tab w:val="center" w:pos="3828"/>
        <w:tab w:val="right" w:pos="7088"/>
      </w:tabs>
      <w:spacing w:before="1200"/>
      <w:ind w:right="1513" w:firstLine="3969"/>
      <w:rPr>
        <w:rFonts w:ascii="Arial" w:hAnsi="Arial" w:cs="Arial"/>
        <w:color w:val="1F497D" w:themeColor="text2"/>
        <w:sz w:val="36"/>
      </w:rPr>
    </w:pPr>
    <w:r>
      <w:rPr>
        <w:b/>
        <w:noProof/>
        <w:lang w:eastAsia="en-AU"/>
      </w:rPr>
      <w:drawing>
        <wp:anchor distT="0" distB="0" distL="114300" distR="114300" simplePos="0" relativeHeight="251658752" behindDoc="0" locked="0" layoutInCell="1" allowOverlap="1" wp14:anchorId="01822989" wp14:editId="7DB19976">
          <wp:simplePos x="0" y="0"/>
          <wp:positionH relativeFrom="column">
            <wp:posOffset>0</wp:posOffset>
          </wp:positionH>
          <wp:positionV relativeFrom="page">
            <wp:posOffset>621665</wp:posOffset>
          </wp:positionV>
          <wp:extent cx="4471035" cy="731520"/>
          <wp:effectExtent l="0" t="0" r="5715" b="0"/>
          <wp:wrapNone/>
          <wp:docPr id="9" name="Picture 9" descr="Australian Government coat of arms. Australian Government, Department of Industry, Innovation and Science.  Business, R&amp;D Tax Incentive." title="Department of Industry, Innovation and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Industry-Innovation-Science_Business_inline.png"/>
                  <pic:cNvPicPr/>
                </pic:nvPicPr>
                <pic:blipFill>
                  <a:blip r:embed="rId1">
                    <a:extLst>
                      <a:ext uri="{28A0092B-C50C-407E-A947-70E740481C1C}">
                        <a14:useLocalDpi xmlns:a14="http://schemas.microsoft.com/office/drawing/2010/main" val="0"/>
                      </a:ext>
                    </a:extLst>
                  </a:blip>
                  <a:stretch>
                    <a:fillRect/>
                  </a:stretch>
                </pic:blipFill>
                <pic:spPr>
                  <a:xfrm>
                    <a:off x="0" y="0"/>
                    <a:ext cx="4471035" cy="731520"/>
                  </a:xfrm>
                  <a:prstGeom prst="rect">
                    <a:avLst/>
                  </a:prstGeom>
                </pic:spPr>
              </pic:pic>
            </a:graphicData>
          </a:graphic>
          <wp14:sizeRelH relativeFrom="margin">
            <wp14:pctWidth>0</wp14:pctWidth>
          </wp14:sizeRelH>
          <wp14:sizeRelV relativeFrom="margin">
            <wp14:pctHeight>0</wp14:pctHeight>
          </wp14:sizeRelV>
        </wp:anchor>
      </w:drawing>
    </w:r>
    <w:r w:rsidRPr="002A7A6B">
      <w:rPr>
        <w:rFonts w:ascii="Arial" w:hAnsi="Arial" w:cs="Arial"/>
        <w:color w:val="1F497D" w:themeColor="text2"/>
        <w:sz w:val="36"/>
      </w:rPr>
      <w:t>R&amp;D Tax Incentive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4F96"/>
    <w:multiLevelType w:val="multilevel"/>
    <w:tmpl w:val="CD583C88"/>
    <w:lvl w:ilvl="0">
      <w:start w:val="1"/>
      <w:numFmt w:val="decimal"/>
      <w:lvlText w:val="%1"/>
      <w:lvlJc w:val="left"/>
      <w:pPr>
        <w:ind w:left="567" w:hanging="567"/>
      </w:pPr>
      <w:rPr>
        <w:rFonts w:cs="Times New Roman"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268" w:hanging="567"/>
      </w:pPr>
      <w:rPr>
        <w:rFonts w:cs="Times New Roman" w:hint="default"/>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1" w15:restartNumberingAfterBreak="0">
    <w:nsid w:val="0DDB31CA"/>
    <w:multiLevelType w:val="multilevel"/>
    <w:tmpl w:val="30522552"/>
    <w:lvl w:ilvl="0">
      <w:start w:val="1"/>
      <w:numFmt w:val="decimal"/>
      <w:pStyle w:val="FindingTex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35A22AB"/>
    <w:multiLevelType w:val="hybridMultilevel"/>
    <w:tmpl w:val="5060F604"/>
    <w:lvl w:ilvl="0" w:tplc="D996D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C71CE9"/>
    <w:multiLevelType w:val="hybridMultilevel"/>
    <w:tmpl w:val="7E3E8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0234E8"/>
    <w:multiLevelType w:val="hybridMultilevel"/>
    <w:tmpl w:val="D79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6160F"/>
    <w:multiLevelType w:val="hybridMultilevel"/>
    <w:tmpl w:val="E0640432"/>
    <w:lvl w:ilvl="0" w:tplc="1A1058DA">
      <w:start w:val="1"/>
      <w:numFmt w:val="lowerRoman"/>
      <w:lvlText w:val="(%1)"/>
      <w:lvlJc w:val="right"/>
      <w:pPr>
        <w:ind w:left="1080" w:hanging="360"/>
      </w:pPr>
      <w:rPr>
        <w:rFonts w:hint="default"/>
      </w:rPr>
    </w:lvl>
    <w:lvl w:ilvl="1" w:tplc="0C09001B">
      <w:start w:val="1"/>
      <w:numFmt w:val="lowerRoman"/>
      <w:lvlText w:val="%2."/>
      <w:lvlJc w:val="right"/>
      <w:pPr>
        <w:ind w:left="1800" w:hanging="360"/>
      </w:p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32F51634"/>
    <w:multiLevelType w:val="hybridMultilevel"/>
    <w:tmpl w:val="1304F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9411FFE"/>
    <w:multiLevelType w:val="hybridMultilevel"/>
    <w:tmpl w:val="20BAFF6A"/>
    <w:lvl w:ilvl="0" w:tplc="D996D64A">
      <w:start w:val="1"/>
      <w:numFmt w:val="lowerLetter"/>
      <w:lvlText w:val="(%1)"/>
      <w:lvlJc w:val="left"/>
      <w:pPr>
        <w:ind w:left="720" w:hanging="360"/>
      </w:pPr>
      <w:rPr>
        <w:rFonts w:hint="default"/>
      </w:rPr>
    </w:lvl>
    <w:lvl w:ilvl="1" w:tplc="1A1058D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E069CC"/>
    <w:multiLevelType w:val="hybridMultilevel"/>
    <w:tmpl w:val="0098298A"/>
    <w:lvl w:ilvl="0" w:tplc="0B063800">
      <w:start w:val="1"/>
      <w:numFmt w:val="decimal"/>
      <w:lvlText w:val="%1."/>
      <w:lvlJc w:val="left"/>
      <w:pPr>
        <w:ind w:left="720" w:hanging="360"/>
      </w:pPr>
      <w:rPr>
        <w:rFonts w:cs="Times New Roman"/>
      </w:rPr>
    </w:lvl>
    <w:lvl w:ilvl="1" w:tplc="5C14FD38">
      <w:start w:val="1"/>
      <w:numFmt w:val="lowerRoman"/>
      <w:lvlText w:val="%2."/>
      <w:lvlJc w:val="left"/>
      <w:pPr>
        <w:ind w:left="1800" w:hanging="72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1BD2137"/>
    <w:multiLevelType w:val="multilevel"/>
    <w:tmpl w:val="E0E0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D40D85"/>
    <w:multiLevelType w:val="hybridMultilevel"/>
    <w:tmpl w:val="D2E67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3747E1"/>
    <w:multiLevelType w:val="hybridMultilevel"/>
    <w:tmpl w:val="858A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9B1E6F"/>
    <w:multiLevelType w:val="hybridMultilevel"/>
    <w:tmpl w:val="D70EAE0C"/>
    <w:lvl w:ilvl="0" w:tplc="9C640DFC">
      <w:start w:val="1"/>
      <w:numFmt w:val="decimal"/>
      <w:lvlText w:val="%1."/>
      <w:lvlJc w:val="left"/>
      <w:pPr>
        <w:ind w:left="360" w:hanging="360"/>
      </w:pPr>
      <w:rPr>
        <w:rFonts w:cs="Times New Roman"/>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67882155"/>
    <w:multiLevelType w:val="hybridMultilevel"/>
    <w:tmpl w:val="727EDC5C"/>
    <w:lvl w:ilvl="0" w:tplc="F05CB2E0">
      <w:start w:val="1"/>
      <w:numFmt w:val="lowerLetter"/>
      <w:lvlText w:val="(%1)"/>
      <w:lvlJc w:val="left"/>
      <w:pPr>
        <w:ind w:left="1080" w:hanging="360"/>
      </w:pPr>
      <w:rPr>
        <w:rFonts w:cs="Times New Roman" w:hint="default"/>
      </w:rPr>
    </w:lvl>
    <w:lvl w:ilvl="1" w:tplc="0C09001B">
      <w:start w:val="1"/>
      <w:numFmt w:val="lowerRoman"/>
      <w:lvlText w:val="%2."/>
      <w:lvlJc w:val="right"/>
      <w:pPr>
        <w:ind w:left="1800" w:hanging="360"/>
      </w:p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4" w15:restartNumberingAfterBreak="0">
    <w:nsid w:val="6D911B77"/>
    <w:multiLevelType w:val="hybridMultilevel"/>
    <w:tmpl w:val="50344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741ECB"/>
    <w:multiLevelType w:val="hybridMultilevel"/>
    <w:tmpl w:val="2612EE04"/>
    <w:lvl w:ilvl="0" w:tplc="2FA0851C">
      <w:start w:val="1"/>
      <w:numFmt w:val="lowerLetter"/>
      <w:lvlText w:val="(%1)"/>
      <w:lvlJc w:val="left"/>
      <w:pPr>
        <w:ind w:left="420" w:hanging="360"/>
      </w:pPr>
      <w:rPr>
        <w:rFonts w:cs="Times New Roman" w:hint="default"/>
      </w:rPr>
    </w:lvl>
    <w:lvl w:ilvl="1" w:tplc="0C090019" w:tentative="1">
      <w:start w:val="1"/>
      <w:numFmt w:val="lowerLetter"/>
      <w:lvlText w:val="%2."/>
      <w:lvlJc w:val="left"/>
      <w:pPr>
        <w:ind w:left="1140" w:hanging="360"/>
      </w:pPr>
      <w:rPr>
        <w:rFonts w:cs="Times New Roman"/>
      </w:rPr>
    </w:lvl>
    <w:lvl w:ilvl="2" w:tplc="0C09001B" w:tentative="1">
      <w:start w:val="1"/>
      <w:numFmt w:val="lowerRoman"/>
      <w:lvlText w:val="%3."/>
      <w:lvlJc w:val="right"/>
      <w:pPr>
        <w:ind w:left="1860" w:hanging="180"/>
      </w:pPr>
      <w:rPr>
        <w:rFonts w:cs="Times New Roman"/>
      </w:rPr>
    </w:lvl>
    <w:lvl w:ilvl="3" w:tplc="0C09000F" w:tentative="1">
      <w:start w:val="1"/>
      <w:numFmt w:val="decimal"/>
      <w:lvlText w:val="%4."/>
      <w:lvlJc w:val="left"/>
      <w:pPr>
        <w:ind w:left="2580" w:hanging="360"/>
      </w:pPr>
      <w:rPr>
        <w:rFonts w:cs="Times New Roman"/>
      </w:rPr>
    </w:lvl>
    <w:lvl w:ilvl="4" w:tplc="0C090019" w:tentative="1">
      <w:start w:val="1"/>
      <w:numFmt w:val="lowerLetter"/>
      <w:lvlText w:val="%5."/>
      <w:lvlJc w:val="left"/>
      <w:pPr>
        <w:ind w:left="3300" w:hanging="360"/>
      </w:pPr>
      <w:rPr>
        <w:rFonts w:cs="Times New Roman"/>
      </w:rPr>
    </w:lvl>
    <w:lvl w:ilvl="5" w:tplc="0C09001B" w:tentative="1">
      <w:start w:val="1"/>
      <w:numFmt w:val="lowerRoman"/>
      <w:lvlText w:val="%6."/>
      <w:lvlJc w:val="right"/>
      <w:pPr>
        <w:ind w:left="4020" w:hanging="180"/>
      </w:pPr>
      <w:rPr>
        <w:rFonts w:cs="Times New Roman"/>
      </w:rPr>
    </w:lvl>
    <w:lvl w:ilvl="6" w:tplc="0C09000F" w:tentative="1">
      <w:start w:val="1"/>
      <w:numFmt w:val="decimal"/>
      <w:lvlText w:val="%7."/>
      <w:lvlJc w:val="left"/>
      <w:pPr>
        <w:ind w:left="4740" w:hanging="360"/>
      </w:pPr>
      <w:rPr>
        <w:rFonts w:cs="Times New Roman"/>
      </w:rPr>
    </w:lvl>
    <w:lvl w:ilvl="7" w:tplc="0C090019" w:tentative="1">
      <w:start w:val="1"/>
      <w:numFmt w:val="lowerLetter"/>
      <w:lvlText w:val="%8."/>
      <w:lvlJc w:val="left"/>
      <w:pPr>
        <w:ind w:left="5460" w:hanging="360"/>
      </w:pPr>
      <w:rPr>
        <w:rFonts w:cs="Times New Roman"/>
      </w:rPr>
    </w:lvl>
    <w:lvl w:ilvl="8" w:tplc="0C09001B" w:tentative="1">
      <w:start w:val="1"/>
      <w:numFmt w:val="lowerRoman"/>
      <w:lvlText w:val="%9."/>
      <w:lvlJc w:val="right"/>
      <w:pPr>
        <w:ind w:left="6180" w:hanging="180"/>
      </w:pPr>
      <w:rPr>
        <w:rFonts w:cs="Times New Roman"/>
      </w:rPr>
    </w:lvl>
  </w:abstractNum>
  <w:abstractNum w:abstractNumId="16" w15:restartNumberingAfterBreak="0">
    <w:nsid w:val="74291538"/>
    <w:multiLevelType w:val="hybridMultilevel"/>
    <w:tmpl w:val="7B3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8D78EB"/>
    <w:multiLevelType w:val="hybridMultilevel"/>
    <w:tmpl w:val="9FF62ED4"/>
    <w:lvl w:ilvl="0" w:tplc="07A23A8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F2200D"/>
    <w:multiLevelType w:val="hybridMultilevel"/>
    <w:tmpl w:val="73864EF4"/>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13"/>
  </w:num>
  <w:num w:numId="3">
    <w:abstractNumId w:val="11"/>
  </w:num>
  <w:num w:numId="4">
    <w:abstractNumId w:val="6"/>
  </w:num>
  <w:num w:numId="5">
    <w:abstractNumId w:val="15"/>
  </w:num>
  <w:num w:numId="6">
    <w:abstractNumId w:val="8"/>
  </w:num>
  <w:num w:numId="7">
    <w:abstractNumId w:val="4"/>
  </w:num>
  <w:num w:numId="8">
    <w:abstractNumId w:val="0"/>
  </w:num>
  <w:num w:numId="9">
    <w:abstractNumId w:val="17"/>
  </w:num>
  <w:num w:numId="10">
    <w:abstractNumId w:val="16"/>
  </w:num>
  <w:num w:numId="11">
    <w:abstractNumId w:val="10"/>
  </w:num>
  <w:num w:numId="12">
    <w:abstractNumId w:val="1"/>
  </w:num>
  <w:num w:numId="13">
    <w:abstractNumId w:val="12"/>
  </w:num>
  <w:num w:numId="14">
    <w:abstractNumId w:val="18"/>
  </w:num>
  <w:num w:numId="15">
    <w:abstractNumId w:val="3"/>
  </w:num>
  <w:num w:numId="16">
    <w:abstractNumId w:val="14"/>
  </w:num>
  <w:num w:numId="17">
    <w:abstractNumId w:val="2"/>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5E"/>
    <w:rsid w:val="00013486"/>
    <w:rsid w:val="000274F6"/>
    <w:rsid w:val="000431C6"/>
    <w:rsid w:val="00070A28"/>
    <w:rsid w:val="000A01AA"/>
    <w:rsid w:val="000C60D7"/>
    <w:rsid w:val="000C7174"/>
    <w:rsid w:val="000D794C"/>
    <w:rsid w:val="000F56FC"/>
    <w:rsid w:val="00103AAB"/>
    <w:rsid w:val="001274E6"/>
    <w:rsid w:val="00155B5F"/>
    <w:rsid w:val="001573CD"/>
    <w:rsid w:val="001942B1"/>
    <w:rsid w:val="001A3824"/>
    <w:rsid w:val="001A3FB4"/>
    <w:rsid w:val="001B5C55"/>
    <w:rsid w:val="001C0E48"/>
    <w:rsid w:val="001C1894"/>
    <w:rsid w:val="001D03B7"/>
    <w:rsid w:val="001D6E71"/>
    <w:rsid w:val="001F14AD"/>
    <w:rsid w:val="00224FC3"/>
    <w:rsid w:val="00264417"/>
    <w:rsid w:val="0027397A"/>
    <w:rsid w:val="00273FF0"/>
    <w:rsid w:val="0028137A"/>
    <w:rsid w:val="002820C1"/>
    <w:rsid w:val="002868E6"/>
    <w:rsid w:val="002942A0"/>
    <w:rsid w:val="002C29FC"/>
    <w:rsid w:val="002C35C1"/>
    <w:rsid w:val="002D5485"/>
    <w:rsid w:val="002E5CB9"/>
    <w:rsid w:val="00311303"/>
    <w:rsid w:val="00313630"/>
    <w:rsid w:val="0034274B"/>
    <w:rsid w:val="00342D29"/>
    <w:rsid w:val="00355B3B"/>
    <w:rsid w:val="00364619"/>
    <w:rsid w:val="00376185"/>
    <w:rsid w:val="003A1343"/>
    <w:rsid w:val="003A4F1B"/>
    <w:rsid w:val="0040520B"/>
    <w:rsid w:val="0042210E"/>
    <w:rsid w:val="00425BF6"/>
    <w:rsid w:val="0043771B"/>
    <w:rsid w:val="00442A63"/>
    <w:rsid w:val="00452C2C"/>
    <w:rsid w:val="00474FF1"/>
    <w:rsid w:val="004C5E09"/>
    <w:rsid w:val="004C6F37"/>
    <w:rsid w:val="004C7F21"/>
    <w:rsid w:val="004D5AF1"/>
    <w:rsid w:val="00503DC7"/>
    <w:rsid w:val="00517CD9"/>
    <w:rsid w:val="00534231"/>
    <w:rsid w:val="0054144B"/>
    <w:rsid w:val="005478C6"/>
    <w:rsid w:val="00554056"/>
    <w:rsid w:val="0055510F"/>
    <w:rsid w:val="00592C01"/>
    <w:rsid w:val="005A4A2C"/>
    <w:rsid w:val="005B0FAF"/>
    <w:rsid w:val="005C23AF"/>
    <w:rsid w:val="005C4FCB"/>
    <w:rsid w:val="005D63B6"/>
    <w:rsid w:val="005F3C07"/>
    <w:rsid w:val="00605146"/>
    <w:rsid w:val="00624656"/>
    <w:rsid w:val="0062745E"/>
    <w:rsid w:val="00630BFF"/>
    <w:rsid w:val="00637232"/>
    <w:rsid w:val="006455B0"/>
    <w:rsid w:val="0065186C"/>
    <w:rsid w:val="00690831"/>
    <w:rsid w:val="00695B1A"/>
    <w:rsid w:val="00695EC3"/>
    <w:rsid w:val="006A2BDB"/>
    <w:rsid w:val="006B0A89"/>
    <w:rsid w:val="006E44E7"/>
    <w:rsid w:val="006F12B8"/>
    <w:rsid w:val="00700BAC"/>
    <w:rsid w:val="00714ED6"/>
    <w:rsid w:val="00715E49"/>
    <w:rsid w:val="00721F6D"/>
    <w:rsid w:val="007303F2"/>
    <w:rsid w:val="00736E76"/>
    <w:rsid w:val="00743409"/>
    <w:rsid w:val="0077388E"/>
    <w:rsid w:val="0078124A"/>
    <w:rsid w:val="00787E8E"/>
    <w:rsid w:val="007A2949"/>
    <w:rsid w:val="007A3EEB"/>
    <w:rsid w:val="007B0AFA"/>
    <w:rsid w:val="007C49D0"/>
    <w:rsid w:val="007C5256"/>
    <w:rsid w:val="007D65C2"/>
    <w:rsid w:val="007D6B96"/>
    <w:rsid w:val="007E1B5D"/>
    <w:rsid w:val="00800387"/>
    <w:rsid w:val="00804453"/>
    <w:rsid w:val="008306C8"/>
    <w:rsid w:val="0084671B"/>
    <w:rsid w:val="008553F2"/>
    <w:rsid w:val="008578EC"/>
    <w:rsid w:val="00860F19"/>
    <w:rsid w:val="008672AD"/>
    <w:rsid w:val="0088005E"/>
    <w:rsid w:val="00882884"/>
    <w:rsid w:val="00890E3B"/>
    <w:rsid w:val="008C6D82"/>
    <w:rsid w:val="008C772A"/>
    <w:rsid w:val="008D167E"/>
    <w:rsid w:val="008D2E5E"/>
    <w:rsid w:val="008D5794"/>
    <w:rsid w:val="008D75E7"/>
    <w:rsid w:val="009176BF"/>
    <w:rsid w:val="00924553"/>
    <w:rsid w:val="009466F0"/>
    <w:rsid w:val="00947848"/>
    <w:rsid w:val="00947B32"/>
    <w:rsid w:val="00955372"/>
    <w:rsid w:val="009575AC"/>
    <w:rsid w:val="0097681E"/>
    <w:rsid w:val="00977D0B"/>
    <w:rsid w:val="0098178F"/>
    <w:rsid w:val="0099353F"/>
    <w:rsid w:val="009A0261"/>
    <w:rsid w:val="009A6C70"/>
    <w:rsid w:val="009D0DF2"/>
    <w:rsid w:val="009D2A48"/>
    <w:rsid w:val="009D2AC7"/>
    <w:rsid w:val="009D407C"/>
    <w:rsid w:val="009D4F9C"/>
    <w:rsid w:val="009F5B67"/>
    <w:rsid w:val="009F6234"/>
    <w:rsid w:val="00A050CB"/>
    <w:rsid w:val="00A11AB4"/>
    <w:rsid w:val="00A12A26"/>
    <w:rsid w:val="00A227D5"/>
    <w:rsid w:val="00A24218"/>
    <w:rsid w:val="00A27BA2"/>
    <w:rsid w:val="00A34454"/>
    <w:rsid w:val="00A45F44"/>
    <w:rsid w:val="00A51477"/>
    <w:rsid w:val="00A656E0"/>
    <w:rsid w:val="00A83567"/>
    <w:rsid w:val="00A926E6"/>
    <w:rsid w:val="00AA09BC"/>
    <w:rsid w:val="00AE6468"/>
    <w:rsid w:val="00AE6FEA"/>
    <w:rsid w:val="00B0170A"/>
    <w:rsid w:val="00B127A8"/>
    <w:rsid w:val="00B15DEE"/>
    <w:rsid w:val="00B50D7D"/>
    <w:rsid w:val="00B54170"/>
    <w:rsid w:val="00B5764D"/>
    <w:rsid w:val="00B757F8"/>
    <w:rsid w:val="00B7714E"/>
    <w:rsid w:val="00B84023"/>
    <w:rsid w:val="00B85C1C"/>
    <w:rsid w:val="00B904AF"/>
    <w:rsid w:val="00BC1A37"/>
    <w:rsid w:val="00BC4FE3"/>
    <w:rsid w:val="00BD251E"/>
    <w:rsid w:val="00BD5E0D"/>
    <w:rsid w:val="00BF3D41"/>
    <w:rsid w:val="00C05BE9"/>
    <w:rsid w:val="00C17079"/>
    <w:rsid w:val="00C47F17"/>
    <w:rsid w:val="00C61B30"/>
    <w:rsid w:val="00C83021"/>
    <w:rsid w:val="00C8397B"/>
    <w:rsid w:val="00C84C2C"/>
    <w:rsid w:val="00CA0393"/>
    <w:rsid w:val="00CC3F57"/>
    <w:rsid w:val="00CC4712"/>
    <w:rsid w:val="00CD07D5"/>
    <w:rsid w:val="00CE2414"/>
    <w:rsid w:val="00CE4074"/>
    <w:rsid w:val="00D108E4"/>
    <w:rsid w:val="00D12596"/>
    <w:rsid w:val="00D219CF"/>
    <w:rsid w:val="00D323AA"/>
    <w:rsid w:val="00D430FD"/>
    <w:rsid w:val="00D73437"/>
    <w:rsid w:val="00D81438"/>
    <w:rsid w:val="00DA7E4A"/>
    <w:rsid w:val="00DB791A"/>
    <w:rsid w:val="00DE3508"/>
    <w:rsid w:val="00E01B4A"/>
    <w:rsid w:val="00E038FA"/>
    <w:rsid w:val="00E051E2"/>
    <w:rsid w:val="00E06BF2"/>
    <w:rsid w:val="00E1257D"/>
    <w:rsid w:val="00E317CC"/>
    <w:rsid w:val="00E534D6"/>
    <w:rsid w:val="00E53ADB"/>
    <w:rsid w:val="00E5401B"/>
    <w:rsid w:val="00E60641"/>
    <w:rsid w:val="00E646D7"/>
    <w:rsid w:val="00E74082"/>
    <w:rsid w:val="00E75F91"/>
    <w:rsid w:val="00E86D9B"/>
    <w:rsid w:val="00E90D71"/>
    <w:rsid w:val="00EA06C3"/>
    <w:rsid w:val="00EB7CE4"/>
    <w:rsid w:val="00EF5934"/>
    <w:rsid w:val="00F1227A"/>
    <w:rsid w:val="00F171B2"/>
    <w:rsid w:val="00F171F4"/>
    <w:rsid w:val="00F24F9E"/>
    <w:rsid w:val="00F31A1B"/>
    <w:rsid w:val="00F372EA"/>
    <w:rsid w:val="00F50F70"/>
    <w:rsid w:val="00F53314"/>
    <w:rsid w:val="00F83747"/>
    <w:rsid w:val="00F9013B"/>
    <w:rsid w:val="00FA5A55"/>
    <w:rsid w:val="00FA6FDD"/>
    <w:rsid w:val="00FB2211"/>
    <w:rsid w:val="00FC7BAE"/>
    <w:rsid w:val="00FE0640"/>
    <w:rsid w:val="00FE51E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804B0A"/>
  <w15:docId w15:val="{1FB0B163-F1FE-41C6-9593-7B6A32C7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EC3"/>
    <w:pPr>
      <w:spacing w:after="160" w:line="259" w:lineRule="auto"/>
    </w:pPr>
    <w:rPr>
      <w:lang w:val="en-AU"/>
    </w:rPr>
  </w:style>
  <w:style w:type="paragraph" w:styleId="Heading1">
    <w:name w:val="heading 1"/>
    <w:basedOn w:val="Normal"/>
    <w:next w:val="Normal"/>
    <w:link w:val="Heading1Char"/>
    <w:qFormat/>
    <w:locked/>
    <w:rsid w:val="00624656"/>
    <w:pPr>
      <w:spacing w:before="1680" w:after="120" w:line="570" w:lineRule="atLeast"/>
      <w:outlineLvl w:val="0"/>
    </w:pPr>
    <w:rPr>
      <w:rFonts w:asciiTheme="minorHAnsi" w:eastAsiaTheme="majorEastAsia" w:hAnsiTheme="minorHAnsi" w:cstheme="majorBidi"/>
      <w:b/>
      <w:noProof/>
      <w:color w:val="365F91" w:themeColor="accent1" w:themeShade="BF"/>
      <w:sz w:val="36"/>
      <w:szCs w:val="36"/>
      <w:lang w:eastAsia="en-AU"/>
    </w:rPr>
  </w:style>
  <w:style w:type="paragraph" w:styleId="Heading2">
    <w:name w:val="heading 2"/>
    <w:basedOn w:val="Normal"/>
    <w:next w:val="Normal"/>
    <w:link w:val="Heading2Char"/>
    <w:unhideWhenUsed/>
    <w:qFormat/>
    <w:locked/>
    <w:rsid w:val="00AE64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AE64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624656"/>
    <w:pPr>
      <w:spacing w:before="240" w:after="120" w:line="276" w:lineRule="auto"/>
      <w:outlineLvl w:val="3"/>
    </w:pPr>
    <w:rPr>
      <w:rFonts w:ascii="Times New Roman" w:eastAsiaTheme="majorEastAsia" w:hAnsi="Times New Roman"/>
      <w:b/>
      <w:i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62745E"/>
    <w:rPr>
      <w:rFonts w:cs="Times New Roman"/>
      <w:i/>
      <w:iCs/>
    </w:rPr>
  </w:style>
  <w:style w:type="character" w:customStyle="1" w:styleId="downsize1">
    <w:name w:val="downsize1"/>
    <w:basedOn w:val="DefaultParagraphFont"/>
    <w:uiPriority w:val="99"/>
    <w:rsid w:val="0062745E"/>
    <w:rPr>
      <w:rFonts w:cs="Times New Roman"/>
    </w:rPr>
  </w:style>
  <w:style w:type="character" w:customStyle="1" w:styleId="italic">
    <w:name w:val="italic"/>
    <w:basedOn w:val="DefaultParagraphFont"/>
    <w:uiPriority w:val="99"/>
    <w:rsid w:val="0062745E"/>
    <w:rPr>
      <w:rFonts w:cs="Times New Roman"/>
    </w:rPr>
  </w:style>
  <w:style w:type="paragraph" w:styleId="ListParagraph">
    <w:name w:val="List Paragraph"/>
    <w:basedOn w:val="Normal"/>
    <w:uiPriority w:val="99"/>
    <w:qFormat/>
    <w:rsid w:val="004C6F37"/>
    <w:pPr>
      <w:ind w:left="720"/>
      <w:contextualSpacing/>
    </w:pPr>
  </w:style>
  <w:style w:type="paragraph" w:styleId="NormalWeb">
    <w:name w:val="Normal (Web)"/>
    <w:basedOn w:val="Normal"/>
    <w:uiPriority w:val="99"/>
    <w:semiHidden/>
    <w:rsid w:val="0078124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99"/>
    <w:qFormat/>
    <w:rsid w:val="0078124A"/>
    <w:rPr>
      <w:rFonts w:cs="Times New Roman"/>
      <w:b/>
      <w:bCs/>
    </w:rPr>
  </w:style>
  <w:style w:type="character" w:customStyle="1" w:styleId="apple-converted-space">
    <w:name w:val="apple-converted-space"/>
    <w:basedOn w:val="DefaultParagraphFont"/>
    <w:uiPriority w:val="99"/>
    <w:rsid w:val="0078124A"/>
    <w:rPr>
      <w:rFonts w:cs="Times New Roman"/>
    </w:rPr>
  </w:style>
  <w:style w:type="paragraph" w:styleId="Footer">
    <w:name w:val="footer"/>
    <w:basedOn w:val="Normal"/>
    <w:link w:val="FooterChar"/>
    <w:uiPriority w:val="99"/>
    <w:rsid w:val="00CC3F57"/>
    <w:pPr>
      <w:tabs>
        <w:tab w:val="center" w:pos="4153"/>
        <w:tab w:val="right" w:pos="8306"/>
      </w:tabs>
      <w:spacing w:after="0" w:line="240" w:lineRule="auto"/>
      <w:jc w:val="center"/>
    </w:pPr>
    <w:rPr>
      <w:rFonts w:ascii="Times New Roman" w:eastAsia="Times New Roman" w:hAnsi="Times New Roman"/>
      <w:b/>
      <w:color w:val="080808"/>
      <w:szCs w:val="24"/>
      <w:lang w:eastAsia="en-AU"/>
    </w:rPr>
  </w:style>
  <w:style w:type="character" w:customStyle="1" w:styleId="FooterChar">
    <w:name w:val="Footer Char"/>
    <w:basedOn w:val="DefaultParagraphFont"/>
    <w:link w:val="Footer"/>
    <w:uiPriority w:val="99"/>
    <w:locked/>
    <w:rsid w:val="00CC3F57"/>
    <w:rPr>
      <w:rFonts w:ascii="Times New Roman" w:hAnsi="Times New Roman" w:cs="Times New Roman"/>
      <w:b/>
      <w:color w:val="080808"/>
      <w:sz w:val="24"/>
      <w:szCs w:val="24"/>
      <w:lang w:eastAsia="en-AU"/>
    </w:rPr>
  </w:style>
  <w:style w:type="character" w:styleId="CommentReference">
    <w:name w:val="annotation reference"/>
    <w:basedOn w:val="DefaultParagraphFont"/>
    <w:uiPriority w:val="99"/>
    <w:semiHidden/>
    <w:rsid w:val="00B15DEE"/>
    <w:rPr>
      <w:rFonts w:cs="Times New Roman"/>
      <w:sz w:val="16"/>
      <w:szCs w:val="16"/>
    </w:rPr>
  </w:style>
  <w:style w:type="paragraph" w:styleId="CommentText">
    <w:name w:val="annotation text"/>
    <w:basedOn w:val="Normal"/>
    <w:link w:val="CommentTextChar"/>
    <w:uiPriority w:val="99"/>
    <w:semiHidden/>
    <w:rsid w:val="00B15DE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5DEE"/>
    <w:rPr>
      <w:rFonts w:cs="Times New Roman"/>
      <w:sz w:val="20"/>
      <w:szCs w:val="20"/>
    </w:rPr>
  </w:style>
  <w:style w:type="paragraph" w:styleId="CommentSubject">
    <w:name w:val="annotation subject"/>
    <w:basedOn w:val="CommentText"/>
    <w:next w:val="CommentText"/>
    <w:link w:val="CommentSubjectChar"/>
    <w:uiPriority w:val="99"/>
    <w:semiHidden/>
    <w:rsid w:val="00B15DEE"/>
    <w:rPr>
      <w:b/>
      <w:bCs/>
    </w:rPr>
  </w:style>
  <w:style w:type="character" w:customStyle="1" w:styleId="CommentSubjectChar">
    <w:name w:val="Comment Subject Char"/>
    <w:basedOn w:val="CommentTextChar"/>
    <w:link w:val="CommentSubject"/>
    <w:uiPriority w:val="99"/>
    <w:semiHidden/>
    <w:locked/>
    <w:rsid w:val="00B15DEE"/>
    <w:rPr>
      <w:rFonts w:cs="Times New Roman"/>
      <w:b/>
      <w:bCs/>
      <w:sz w:val="20"/>
      <w:szCs w:val="20"/>
    </w:rPr>
  </w:style>
  <w:style w:type="paragraph" w:styleId="BalloonText">
    <w:name w:val="Balloon Text"/>
    <w:basedOn w:val="Normal"/>
    <w:link w:val="BalloonTextChar"/>
    <w:uiPriority w:val="99"/>
    <w:semiHidden/>
    <w:rsid w:val="00B15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15DEE"/>
    <w:rPr>
      <w:rFonts w:ascii="Segoe UI" w:hAnsi="Segoe UI" w:cs="Segoe UI"/>
      <w:sz w:val="18"/>
      <w:szCs w:val="18"/>
    </w:rPr>
  </w:style>
  <w:style w:type="character" w:styleId="Hyperlink">
    <w:name w:val="Hyperlink"/>
    <w:basedOn w:val="DefaultParagraphFont"/>
    <w:uiPriority w:val="99"/>
    <w:semiHidden/>
    <w:rsid w:val="00C84C2C"/>
    <w:rPr>
      <w:rFonts w:cs="Times New Roman"/>
      <w:color w:val="0000FF"/>
      <w:u w:val="single"/>
    </w:rPr>
  </w:style>
  <w:style w:type="paragraph" w:customStyle="1" w:styleId="text-left">
    <w:name w:val="text-left"/>
    <w:basedOn w:val="Normal"/>
    <w:uiPriority w:val="99"/>
    <w:rsid w:val="00C84C2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FindingText">
    <w:name w:val="FindingText"/>
    <w:basedOn w:val="Normal"/>
    <w:uiPriority w:val="99"/>
    <w:rsid w:val="007A3EEB"/>
    <w:pPr>
      <w:numPr>
        <w:numId w:val="12"/>
      </w:numPr>
      <w:spacing w:before="60" w:after="120" w:line="240" w:lineRule="auto"/>
    </w:pPr>
    <w:rPr>
      <w:rFonts w:ascii="Times New Roman" w:eastAsia="Times New Roman" w:hAnsi="Times New Roman"/>
      <w:color w:val="080808"/>
      <w:szCs w:val="24"/>
      <w:lang w:eastAsia="en-AU"/>
    </w:rPr>
  </w:style>
  <w:style w:type="paragraph" w:styleId="FootnoteText">
    <w:name w:val="footnote text"/>
    <w:basedOn w:val="Normal"/>
    <w:link w:val="FootnoteTextChar"/>
    <w:uiPriority w:val="99"/>
    <w:semiHidden/>
    <w:rsid w:val="008D16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167E"/>
    <w:rPr>
      <w:rFonts w:cs="Times New Roman"/>
      <w:sz w:val="20"/>
      <w:szCs w:val="20"/>
    </w:rPr>
  </w:style>
  <w:style w:type="character" w:styleId="FootnoteReference">
    <w:name w:val="footnote reference"/>
    <w:basedOn w:val="DefaultParagraphFont"/>
    <w:uiPriority w:val="99"/>
    <w:semiHidden/>
    <w:rsid w:val="008D167E"/>
    <w:rPr>
      <w:rFonts w:cs="Times New Roman"/>
      <w:vertAlign w:val="superscript"/>
    </w:rPr>
  </w:style>
  <w:style w:type="paragraph" w:styleId="Revision">
    <w:name w:val="Revision"/>
    <w:hidden/>
    <w:uiPriority w:val="99"/>
    <w:semiHidden/>
    <w:rsid w:val="00E06BF2"/>
    <w:rPr>
      <w:lang w:val="en-AU"/>
    </w:rPr>
  </w:style>
  <w:style w:type="paragraph" w:styleId="Header">
    <w:name w:val="header"/>
    <w:basedOn w:val="Normal"/>
    <w:link w:val="HeaderChar"/>
    <w:uiPriority w:val="99"/>
    <w:unhideWhenUsed/>
    <w:rsid w:val="00A2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218"/>
    <w:rPr>
      <w:lang w:val="en-AU"/>
    </w:rPr>
  </w:style>
  <w:style w:type="character" w:customStyle="1" w:styleId="Heading2Char">
    <w:name w:val="Heading 2 Char"/>
    <w:basedOn w:val="DefaultParagraphFont"/>
    <w:link w:val="Heading2"/>
    <w:rsid w:val="00AE6468"/>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rsid w:val="00AE6468"/>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rsid w:val="00624656"/>
    <w:rPr>
      <w:rFonts w:ascii="Times New Roman" w:eastAsiaTheme="majorEastAsia" w:hAnsi="Times New Roman"/>
      <w:b/>
      <w:iCs/>
      <w:color w:val="365F91" w:themeColor="accent1" w:themeShade="BF"/>
      <w:sz w:val="28"/>
      <w:szCs w:val="28"/>
      <w:lang w:val="en-AU" w:eastAsia="en-AU"/>
    </w:rPr>
  </w:style>
  <w:style w:type="character" w:customStyle="1" w:styleId="Heading1Char">
    <w:name w:val="Heading 1 Char"/>
    <w:basedOn w:val="DefaultParagraphFont"/>
    <w:link w:val="Heading1"/>
    <w:rsid w:val="00624656"/>
    <w:rPr>
      <w:rFonts w:asciiTheme="minorHAnsi" w:eastAsiaTheme="majorEastAsia" w:hAnsiTheme="minorHAnsi" w:cstheme="majorBidi"/>
      <w:b/>
      <w:noProof/>
      <w:color w:val="365F91" w:themeColor="accent1" w:themeShade="BF"/>
      <w:sz w:val="36"/>
      <w:szCs w:val="3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9856">
      <w:marLeft w:val="0"/>
      <w:marRight w:val="0"/>
      <w:marTop w:val="0"/>
      <w:marBottom w:val="0"/>
      <w:divBdr>
        <w:top w:val="none" w:sz="0" w:space="0" w:color="auto"/>
        <w:left w:val="none" w:sz="0" w:space="0" w:color="auto"/>
        <w:bottom w:val="none" w:sz="0" w:space="0" w:color="auto"/>
        <w:right w:val="none" w:sz="0" w:space="0" w:color="auto"/>
      </w:divBdr>
    </w:div>
    <w:div w:id="189729858">
      <w:marLeft w:val="0"/>
      <w:marRight w:val="0"/>
      <w:marTop w:val="0"/>
      <w:marBottom w:val="0"/>
      <w:divBdr>
        <w:top w:val="none" w:sz="0" w:space="0" w:color="auto"/>
        <w:left w:val="none" w:sz="0" w:space="0" w:color="auto"/>
        <w:bottom w:val="none" w:sz="0" w:space="0" w:color="auto"/>
        <w:right w:val="none" w:sz="0" w:space="0" w:color="auto"/>
      </w:divBdr>
      <w:divsChild>
        <w:div w:id="189729859">
          <w:marLeft w:val="0"/>
          <w:marRight w:val="0"/>
          <w:marTop w:val="0"/>
          <w:marBottom w:val="0"/>
          <w:divBdr>
            <w:top w:val="none" w:sz="0" w:space="0" w:color="auto"/>
            <w:left w:val="none" w:sz="0" w:space="0" w:color="auto"/>
            <w:bottom w:val="none" w:sz="0" w:space="0" w:color="auto"/>
            <w:right w:val="none" w:sz="0" w:space="0" w:color="auto"/>
          </w:divBdr>
          <w:divsChild>
            <w:div w:id="189729853">
              <w:marLeft w:val="0"/>
              <w:marRight w:val="0"/>
              <w:marTop w:val="0"/>
              <w:marBottom w:val="300"/>
              <w:divBdr>
                <w:top w:val="none" w:sz="0" w:space="0" w:color="auto"/>
                <w:left w:val="single" w:sz="36" w:space="15" w:color="EEEEEE"/>
                <w:bottom w:val="none" w:sz="0" w:space="0" w:color="auto"/>
                <w:right w:val="none" w:sz="0" w:space="0" w:color="auto"/>
              </w:divBdr>
            </w:div>
            <w:div w:id="189729855">
              <w:marLeft w:val="0"/>
              <w:marRight w:val="0"/>
              <w:marTop w:val="0"/>
              <w:marBottom w:val="300"/>
              <w:divBdr>
                <w:top w:val="none" w:sz="0" w:space="0" w:color="auto"/>
                <w:left w:val="single" w:sz="36" w:space="15" w:color="EEEEEE"/>
                <w:bottom w:val="none" w:sz="0" w:space="0" w:color="auto"/>
                <w:right w:val="none" w:sz="0" w:space="0" w:color="auto"/>
              </w:divBdr>
            </w:div>
            <w:div w:id="189729857">
              <w:marLeft w:val="0"/>
              <w:marRight w:val="0"/>
              <w:marTop w:val="0"/>
              <w:marBottom w:val="300"/>
              <w:divBdr>
                <w:top w:val="none" w:sz="0" w:space="0" w:color="auto"/>
                <w:left w:val="single" w:sz="36" w:space="15" w:color="EEEEEE"/>
                <w:bottom w:val="none" w:sz="0" w:space="0" w:color="auto"/>
                <w:right w:val="none" w:sz="0" w:space="0" w:color="auto"/>
              </w:divBdr>
            </w:div>
            <w:div w:id="189729860">
              <w:marLeft w:val="0"/>
              <w:marRight w:val="0"/>
              <w:marTop w:val="0"/>
              <w:marBottom w:val="300"/>
              <w:divBdr>
                <w:top w:val="none" w:sz="0" w:space="0" w:color="auto"/>
                <w:left w:val="single" w:sz="36" w:space="15" w:color="EEEEEE"/>
                <w:bottom w:val="none" w:sz="0" w:space="0" w:color="auto"/>
                <w:right w:val="none" w:sz="0" w:space="0" w:color="auto"/>
              </w:divBdr>
            </w:div>
            <w:div w:id="189729862">
              <w:marLeft w:val="0"/>
              <w:marRight w:val="0"/>
              <w:marTop w:val="0"/>
              <w:marBottom w:val="300"/>
              <w:divBdr>
                <w:top w:val="none" w:sz="0" w:space="0" w:color="auto"/>
                <w:left w:val="single" w:sz="36" w:space="15" w:color="EEEEEE"/>
                <w:bottom w:val="none" w:sz="0" w:space="0" w:color="auto"/>
                <w:right w:val="none" w:sz="0" w:space="0" w:color="auto"/>
              </w:divBdr>
            </w:div>
            <w:div w:id="189729864">
              <w:marLeft w:val="0"/>
              <w:marRight w:val="0"/>
              <w:marTop w:val="0"/>
              <w:marBottom w:val="300"/>
              <w:divBdr>
                <w:top w:val="none" w:sz="0" w:space="0" w:color="auto"/>
                <w:left w:val="single" w:sz="36" w:space="15" w:color="EEEEEE"/>
                <w:bottom w:val="none" w:sz="0" w:space="0" w:color="auto"/>
                <w:right w:val="none" w:sz="0" w:space="0" w:color="auto"/>
              </w:divBdr>
            </w:div>
            <w:div w:id="189729865">
              <w:marLeft w:val="0"/>
              <w:marRight w:val="0"/>
              <w:marTop w:val="600"/>
              <w:marBottom w:val="600"/>
              <w:divBdr>
                <w:top w:val="none" w:sz="0" w:space="0" w:color="auto"/>
                <w:left w:val="single" w:sz="24" w:space="31" w:color="00C8D2"/>
                <w:bottom w:val="none" w:sz="0" w:space="0" w:color="auto"/>
                <w:right w:val="none" w:sz="0" w:space="0" w:color="auto"/>
              </w:divBdr>
            </w:div>
            <w:div w:id="189729868">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89729861">
      <w:marLeft w:val="0"/>
      <w:marRight w:val="0"/>
      <w:marTop w:val="0"/>
      <w:marBottom w:val="0"/>
      <w:divBdr>
        <w:top w:val="none" w:sz="0" w:space="0" w:color="auto"/>
        <w:left w:val="none" w:sz="0" w:space="0" w:color="auto"/>
        <w:bottom w:val="none" w:sz="0" w:space="0" w:color="auto"/>
        <w:right w:val="none" w:sz="0" w:space="0" w:color="auto"/>
      </w:divBdr>
    </w:div>
    <w:div w:id="189729866">
      <w:marLeft w:val="0"/>
      <w:marRight w:val="0"/>
      <w:marTop w:val="0"/>
      <w:marBottom w:val="0"/>
      <w:divBdr>
        <w:top w:val="none" w:sz="0" w:space="0" w:color="auto"/>
        <w:left w:val="none" w:sz="0" w:space="0" w:color="auto"/>
        <w:bottom w:val="none" w:sz="0" w:space="0" w:color="auto"/>
        <w:right w:val="none" w:sz="0" w:space="0" w:color="auto"/>
      </w:divBdr>
      <w:divsChild>
        <w:div w:id="189729854">
          <w:marLeft w:val="0"/>
          <w:marRight w:val="0"/>
          <w:marTop w:val="0"/>
          <w:marBottom w:val="300"/>
          <w:divBdr>
            <w:top w:val="none" w:sz="0" w:space="0" w:color="auto"/>
            <w:left w:val="single" w:sz="36" w:space="15" w:color="EEEEEE"/>
            <w:bottom w:val="none" w:sz="0" w:space="0" w:color="auto"/>
            <w:right w:val="none" w:sz="0" w:space="0" w:color="auto"/>
          </w:divBdr>
        </w:div>
        <w:div w:id="189729863">
          <w:marLeft w:val="0"/>
          <w:marRight w:val="0"/>
          <w:marTop w:val="0"/>
          <w:marBottom w:val="300"/>
          <w:divBdr>
            <w:top w:val="none" w:sz="0" w:space="0" w:color="auto"/>
            <w:left w:val="single" w:sz="36" w:space="15" w:color="EEEEEE"/>
            <w:bottom w:val="none" w:sz="0" w:space="0" w:color="auto"/>
            <w:right w:val="none" w:sz="0" w:space="0" w:color="auto"/>
          </w:divBdr>
        </w:div>
        <w:div w:id="189729867">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1025-72A7-47EB-B2F5-167DCAB2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533</Words>
  <Characters>2941</Characters>
  <Application>Microsoft Office Word</Application>
  <DocSecurity>0</DocSecurity>
  <Lines>89</Lines>
  <Paragraphs>40</Paragraphs>
  <ScaleCrop>false</ScaleCrop>
  <HeadingPairs>
    <vt:vector size="2" baseType="variant">
      <vt:variant>
        <vt:lpstr>Title</vt:lpstr>
      </vt:variant>
      <vt:variant>
        <vt:i4>1</vt:i4>
      </vt:variant>
    </vt:vector>
  </HeadingPairs>
  <TitlesOfParts>
    <vt:vector size="1" baseType="lpstr">
      <vt:lpstr>R&amp;D Tax Incentive - No new knowledge - agriculture</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R&amp;D Tax Incentive - No new knowledge - agriculture</dc:title>
  <dc:subject/>
  <dc:creator>Andrew Stephens</dc:creator>
  <cp:keywords/>
  <dc:description/>
  <cp:lastModifiedBy>Maroya, Anthony</cp:lastModifiedBy>
  <cp:revision>17</cp:revision>
  <cp:lastPrinted>2016-11-10T22:13:00Z</cp:lastPrinted>
  <dcterms:created xsi:type="dcterms:W3CDTF">2016-11-17T01:52:00Z</dcterms:created>
  <dcterms:modified xsi:type="dcterms:W3CDTF">2016-11-20T22:20:00Z</dcterms:modified>
</cp:coreProperties>
</file>