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7AC38" w14:textId="77777777" w:rsidR="004A1648" w:rsidRDefault="004A1648" w:rsidP="00BC302C">
      <w:pPr>
        <w:pStyle w:val="Heading1"/>
        <w:spacing w:before="0" w:after="0"/>
        <w:rPr>
          <w:b w:val="0"/>
          <w:color w:val="212A4C" w:themeColor="text2"/>
          <w:sz w:val="48"/>
        </w:rPr>
      </w:pPr>
    </w:p>
    <w:p w14:paraId="48AF3406" w14:textId="77777777" w:rsidR="008725E9" w:rsidRDefault="008725E9" w:rsidP="00272C66"/>
    <w:p w14:paraId="1C76F950" w14:textId="77777777" w:rsidR="00F556BC" w:rsidRPr="00DD5E7B" w:rsidRDefault="00F556BC" w:rsidP="00F556BC">
      <w:pPr>
        <w:pStyle w:val="Heading1"/>
        <w:spacing w:before="0" w:after="0"/>
        <w:jc w:val="center"/>
        <w:rPr>
          <w:b w:val="0"/>
          <w:color w:val="212A4C" w:themeColor="text2"/>
          <w:sz w:val="48"/>
        </w:rPr>
      </w:pPr>
      <w:r>
        <w:rPr>
          <w:b w:val="0"/>
          <w:color w:val="212A4C" w:themeColor="text2"/>
          <w:sz w:val="48"/>
        </w:rPr>
        <w:t>R</w:t>
      </w:r>
      <w:r w:rsidRPr="00DD5E7B">
        <w:rPr>
          <w:b w:val="0"/>
          <w:color w:val="212A4C" w:themeColor="text2"/>
          <w:sz w:val="48"/>
        </w:rPr>
        <w:t>&amp;D Tax Incentive</w:t>
      </w:r>
    </w:p>
    <w:p w14:paraId="1B47326E" w14:textId="77777777" w:rsidR="00F556BC" w:rsidRDefault="00F556BC" w:rsidP="00F556BC">
      <w:pPr>
        <w:keepNext/>
        <w:keepLines/>
        <w:spacing w:before="0" w:after="0" w:line="420" w:lineRule="atLeast"/>
        <w:jc w:val="center"/>
        <w:outlineLvl w:val="0"/>
        <w:rPr>
          <w:rFonts w:asciiTheme="majorHAnsi" w:eastAsiaTheme="majorEastAsia" w:hAnsiTheme="majorHAnsi" w:cstheme="majorBidi"/>
          <w:color w:val="212A4C" w:themeColor="text2"/>
          <w:sz w:val="48"/>
          <w:szCs w:val="32"/>
        </w:rPr>
      </w:pPr>
      <w:r>
        <w:rPr>
          <w:rFonts w:asciiTheme="majorHAnsi" w:eastAsiaTheme="majorEastAsia" w:hAnsiTheme="majorHAnsi" w:cstheme="majorBidi"/>
          <w:color w:val="212A4C" w:themeColor="text2"/>
          <w:sz w:val="48"/>
          <w:szCs w:val="32"/>
        </w:rPr>
        <w:t>Stakeholder Reference Group</w:t>
      </w:r>
    </w:p>
    <w:p w14:paraId="15665A90" w14:textId="77777777" w:rsidR="00F556BC" w:rsidRDefault="00F556BC" w:rsidP="00272C66"/>
    <w:p w14:paraId="7B218B59" w14:textId="77777777" w:rsidR="00F556BC" w:rsidRPr="00076EDD" w:rsidRDefault="00F556BC" w:rsidP="00F556BC">
      <w:pPr>
        <w:keepNext/>
        <w:keepLines/>
        <w:spacing w:before="0" w:after="0" w:line="340" w:lineRule="atLeast"/>
        <w:jc w:val="center"/>
        <w:outlineLvl w:val="1"/>
        <w:rPr>
          <w:rFonts w:asciiTheme="majorHAnsi" w:eastAsiaTheme="majorEastAsia" w:hAnsiTheme="majorHAnsi" w:cstheme="majorBidi"/>
          <w:color w:val="212A4C" w:themeColor="text2"/>
          <w:sz w:val="24"/>
          <w:szCs w:val="24"/>
        </w:rPr>
      </w:pPr>
      <w:r w:rsidRPr="00076EDD">
        <w:rPr>
          <w:rFonts w:asciiTheme="majorHAnsi" w:eastAsiaTheme="majorEastAsia" w:hAnsiTheme="majorHAnsi" w:cstheme="majorBidi"/>
          <w:color w:val="212A4C" w:themeColor="text2"/>
          <w:sz w:val="24"/>
          <w:szCs w:val="24"/>
        </w:rPr>
        <w:t>9 November 2023</w:t>
      </w:r>
    </w:p>
    <w:p w14:paraId="50EBD575" w14:textId="7C9C2E59" w:rsidR="00F556BC" w:rsidRDefault="00F556BC" w:rsidP="00F556BC">
      <w:pPr>
        <w:keepNext/>
        <w:keepLines/>
        <w:spacing w:before="0" w:after="0" w:line="340" w:lineRule="atLeast"/>
        <w:jc w:val="center"/>
        <w:outlineLvl w:val="1"/>
        <w:rPr>
          <w:rFonts w:asciiTheme="majorHAnsi" w:eastAsiaTheme="majorEastAsia" w:hAnsiTheme="majorHAnsi" w:cstheme="majorBidi"/>
          <w:color w:val="212A4C" w:themeColor="text2"/>
          <w:sz w:val="24"/>
          <w:szCs w:val="24"/>
        </w:rPr>
      </w:pPr>
      <w:r w:rsidRPr="00076EDD">
        <w:rPr>
          <w:rFonts w:asciiTheme="majorHAnsi" w:eastAsiaTheme="majorEastAsia" w:hAnsiTheme="majorHAnsi" w:cstheme="majorBidi"/>
          <w:color w:val="212A4C" w:themeColor="text2"/>
          <w:sz w:val="24"/>
          <w:szCs w:val="24"/>
        </w:rPr>
        <w:t xml:space="preserve">1.00pm – </w:t>
      </w:r>
      <w:r>
        <w:rPr>
          <w:rFonts w:asciiTheme="majorHAnsi" w:eastAsiaTheme="majorEastAsia" w:hAnsiTheme="majorHAnsi" w:cstheme="majorBidi"/>
          <w:color w:val="212A4C" w:themeColor="text2"/>
          <w:sz w:val="24"/>
          <w:szCs w:val="24"/>
        </w:rPr>
        <w:t>4</w:t>
      </w:r>
      <w:r w:rsidRPr="00076EDD">
        <w:rPr>
          <w:rFonts w:asciiTheme="majorHAnsi" w:eastAsiaTheme="majorEastAsia" w:hAnsiTheme="majorHAnsi" w:cstheme="majorBidi"/>
          <w:color w:val="212A4C" w:themeColor="text2"/>
          <w:sz w:val="24"/>
          <w:szCs w:val="24"/>
        </w:rPr>
        <w:t>.00pm AEDT</w:t>
      </w:r>
    </w:p>
    <w:p w14:paraId="0EAAFE87" w14:textId="77777777" w:rsidR="00F556BC" w:rsidRPr="00076EDD" w:rsidRDefault="00F556BC" w:rsidP="00272C66"/>
    <w:tbl>
      <w:tblPr>
        <w:tblStyle w:val="BEPTable1"/>
        <w:tblW w:w="5310" w:type="pct"/>
        <w:tblInd w:w="-284" w:type="dxa"/>
        <w:tblLayout w:type="fixed"/>
        <w:tblLook w:val="0620" w:firstRow="1" w:lastRow="0" w:firstColumn="0" w:lastColumn="0" w:noHBand="1" w:noVBand="1"/>
      </w:tblPr>
      <w:tblGrid>
        <w:gridCol w:w="1735"/>
        <w:gridCol w:w="3227"/>
        <w:gridCol w:w="5388"/>
      </w:tblGrid>
      <w:tr w:rsidR="00F556BC" w14:paraId="2CECC908" w14:textId="77777777" w:rsidTr="00F556BC">
        <w:trPr>
          <w:cnfStyle w:val="100000000000" w:firstRow="1" w:lastRow="0" w:firstColumn="0" w:lastColumn="0" w:oddVBand="0" w:evenVBand="0" w:oddHBand="0" w:evenHBand="0" w:firstRowFirstColumn="0" w:firstRowLastColumn="0" w:lastRowFirstColumn="0" w:lastRowLastColumn="0"/>
          <w:trHeight w:val="113"/>
        </w:trPr>
        <w:tc>
          <w:tcPr>
            <w:tcW w:w="838" w:type="pct"/>
            <w:shd w:val="clear" w:color="auto" w:fill="DFE7F6"/>
          </w:tcPr>
          <w:p w14:paraId="0B9BB04B" w14:textId="237C8F8F" w:rsidR="00F556BC" w:rsidRDefault="00F556BC" w:rsidP="005756DF">
            <w:r>
              <w:rPr>
                <w:sz w:val="22"/>
                <w:szCs w:val="22"/>
              </w:rPr>
              <w:t>T</w:t>
            </w:r>
            <w:r w:rsidRPr="15A77D3A">
              <w:rPr>
                <w:sz w:val="22"/>
                <w:szCs w:val="22"/>
              </w:rPr>
              <w:t>ime</w:t>
            </w:r>
          </w:p>
        </w:tc>
        <w:tc>
          <w:tcPr>
            <w:tcW w:w="1559" w:type="pct"/>
            <w:shd w:val="clear" w:color="auto" w:fill="DFE7F6"/>
          </w:tcPr>
          <w:p w14:paraId="6EC6F2DB" w14:textId="77777777" w:rsidR="00F556BC" w:rsidRDefault="00F556BC" w:rsidP="005756DF">
            <w:r w:rsidRPr="15A77D3A">
              <w:rPr>
                <w:sz w:val="22"/>
                <w:szCs w:val="22"/>
              </w:rPr>
              <w:t>Item</w:t>
            </w:r>
          </w:p>
        </w:tc>
        <w:tc>
          <w:tcPr>
            <w:tcW w:w="2603" w:type="pct"/>
            <w:shd w:val="clear" w:color="auto" w:fill="DFE7F6"/>
          </w:tcPr>
          <w:p w14:paraId="615FA293" w14:textId="77777777" w:rsidR="00F556BC" w:rsidRDefault="00F556BC" w:rsidP="005756DF">
            <w:r w:rsidRPr="15A77D3A">
              <w:rPr>
                <w:sz w:val="22"/>
                <w:szCs w:val="22"/>
              </w:rPr>
              <w:t>Speaker</w:t>
            </w:r>
            <w:r>
              <w:rPr>
                <w:sz w:val="22"/>
                <w:szCs w:val="22"/>
              </w:rPr>
              <w:t>/s</w:t>
            </w:r>
          </w:p>
        </w:tc>
      </w:tr>
      <w:tr w:rsidR="00903172" w14:paraId="1767F558" w14:textId="77777777" w:rsidTr="00F556BC">
        <w:trPr>
          <w:trHeight w:val="113"/>
        </w:trPr>
        <w:tc>
          <w:tcPr>
            <w:tcW w:w="838" w:type="pct"/>
          </w:tcPr>
          <w:p w14:paraId="19E7B05A" w14:textId="77777777" w:rsidR="00903172" w:rsidRPr="00076EDD" w:rsidRDefault="00903172" w:rsidP="00903172">
            <w:pPr>
              <w:rPr>
                <w:rFonts w:eastAsia="Times New Roman" w:cstheme="minorHAnsi"/>
                <w:sz w:val="18"/>
                <w:szCs w:val="18"/>
                <w:lang w:eastAsia="en-AU"/>
              </w:rPr>
            </w:pPr>
            <w:r w:rsidRPr="00076EDD">
              <w:rPr>
                <w:rFonts w:eastAsia="Times New Roman" w:cstheme="minorHAnsi"/>
                <w:sz w:val="18"/>
                <w:szCs w:val="18"/>
                <w:lang w:eastAsia="en-AU"/>
              </w:rPr>
              <w:t>1.00pm – 1.05pm</w:t>
            </w:r>
          </w:p>
          <w:p w14:paraId="0DCE7270" w14:textId="77777777" w:rsidR="00903172" w:rsidRPr="00076EDD" w:rsidRDefault="00903172" w:rsidP="00903172">
            <w:pPr>
              <w:rPr>
                <w:sz w:val="18"/>
                <w:szCs w:val="18"/>
              </w:rPr>
            </w:pPr>
          </w:p>
        </w:tc>
        <w:tc>
          <w:tcPr>
            <w:tcW w:w="1559" w:type="pct"/>
          </w:tcPr>
          <w:p w14:paraId="09E6714A" w14:textId="77777777" w:rsidR="00903172" w:rsidRPr="00076EDD" w:rsidRDefault="005B1356" w:rsidP="00903172">
            <w:pPr>
              <w:pStyle w:val="ListParagraph"/>
              <w:numPr>
                <w:ilvl w:val="0"/>
                <w:numId w:val="5"/>
              </w:numPr>
              <w:spacing w:before="60" w:after="0" w:line="25" w:lineRule="atLeast"/>
              <w:contextualSpacing w:val="0"/>
              <w:rPr>
                <w:rFonts w:eastAsia="Times New Roman" w:cstheme="minorHAnsi"/>
                <w:b/>
                <w:sz w:val="18"/>
                <w:szCs w:val="18"/>
                <w:lang w:eastAsia="en-AU"/>
              </w:rPr>
            </w:pPr>
            <w:hyperlink w:anchor="_1._Welcome_–" w:history="1">
              <w:r w:rsidR="00903172" w:rsidRPr="00076EDD">
                <w:rPr>
                  <w:b/>
                  <w:sz w:val="18"/>
                  <w:szCs w:val="18"/>
                </w:rPr>
                <w:t>Welcome</w:t>
              </w:r>
            </w:hyperlink>
          </w:p>
          <w:p w14:paraId="6894E3DF" w14:textId="77777777" w:rsidR="00903172" w:rsidRPr="00076EDD" w:rsidRDefault="00903172" w:rsidP="00903172">
            <w:pPr>
              <w:pStyle w:val="ListParagraph"/>
              <w:numPr>
                <w:ilvl w:val="1"/>
                <w:numId w:val="5"/>
              </w:numPr>
              <w:spacing w:before="60" w:after="60" w:line="25" w:lineRule="atLeast"/>
              <w:contextualSpacing w:val="0"/>
              <w:rPr>
                <w:rFonts w:eastAsia="Times New Roman" w:cstheme="minorHAnsi"/>
                <w:sz w:val="18"/>
                <w:szCs w:val="18"/>
                <w:lang w:eastAsia="en-AU"/>
              </w:rPr>
            </w:pPr>
            <w:r w:rsidRPr="00076EDD">
              <w:rPr>
                <w:rFonts w:eastAsia="Times New Roman" w:cstheme="minorHAnsi"/>
                <w:sz w:val="18"/>
                <w:szCs w:val="18"/>
                <w:lang w:eastAsia="en-AU"/>
              </w:rPr>
              <w:t xml:space="preserve">Acknowledgement of </w:t>
            </w:r>
            <w:r>
              <w:rPr>
                <w:rFonts w:eastAsia="Times New Roman" w:cstheme="minorHAnsi"/>
                <w:sz w:val="18"/>
                <w:szCs w:val="18"/>
                <w:lang w:eastAsia="en-AU"/>
              </w:rPr>
              <w:t>C</w:t>
            </w:r>
            <w:r w:rsidRPr="00076EDD">
              <w:rPr>
                <w:rFonts w:eastAsia="Times New Roman" w:cstheme="minorHAnsi"/>
                <w:sz w:val="18"/>
                <w:szCs w:val="18"/>
                <w:lang w:eastAsia="en-AU"/>
              </w:rPr>
              <w:t>ountry</w:t>
            </w:r>
          </w:p>
          <w:p w14:paraId="59AAEC30" w14:textId="32F6C07F" w:rsidR="00903172" w:rsidRPr="00076EDD" w:rsidRDefault="00903172" w:rsidP="00903172">
            <w:pPr>
              <w:pStyle w:val="ListParagraph"/>
              <w:numPr>
                <w:ilvl w:val="1"/>
                <w:numId w:val="5"/>
              </w:numPr>
              <w:spacing w:before="60" w:after="60" w:line="25" w:lineRule="atLeast"/>
              <w:contextualSpacing w:val="0"/>
              <w:rPr>
                <w:rFonts w:eastAsia="Times New Roman" w:cstheme="minorHAnsi"/>
                <w:sz w:val="18"/>
                <w:szCs w:val="18"/>
                <w:lang w:eastAsia="en-AU"/>
              </w:rPr>
            </w:pPr>
            <w:r w:rsidRPr="00076EDD">
              <w:rPr>
                <w:rFonts w:eastAsia="Times New Roman" w:cstheme="minorHAnsi"/>
                <w:sz w:val="18"/>
                <w:szCs w:val="18"/>
                <w:lang w:eastAsia="en-AU"/>
              </w:rPr>
              <w:t>House keeping</w:t>
            </w:r>
          </w:p>
        </w:tc>
        <w:tc>
          <w:tcPr>
            <w:tcW w:w="2603" w:type="pct"/>
          </w:tcPr>
          <w:p w14:paraId="0D33CDB9" w14:textId="20F1A243" w:rsidR="00903172" w:rsidRPr="00076EDD" w:rsidRDefault="00903172" w:rsidP="00903172">
            <w:pPr>
              <w:rPr>
                <w:sz w:val="18"/>
                <w:szCs w:val="18"/>
              </w:rPr>
            </w:pPr>
            <w:r w:rsidRPr="00076EDD">
              <w:rPr>
                <w:rFonts w:eastAsia="Times New Roman" w:cstheme="minorHAnsi"/>
                <w:sz w:val="18"/>
                <w:szCs w:val="18"/>
                <w:lang w:eastAsia="en-AU"/>
              </w:rPr>
              <w:t>Facilitator</w:t>
            </w:r>
          </w:p>
        </w:tc>
      </w:tr>
      <w:tr w:rsidR="00903172" w14:paraId="15B7A70C" w14:textId="77777777" w:rsidTr="00F556BC">
        <w:trPr>
          <w:trHeight w:val="113"/>
        </w:trPr>
        <w:tc>
          <w:tcPr>
            <w:tcW w:w="838" w:type="pct"/>
          </w:tcPr>
          <w:p w14:paraId="0A3C0138" w14:textId="748C8A8D" w:rsidR="00903172" w:rsidRPr="00076EDD" w:rsidRDefault="00903172" w:rsidP="00903172">
            <w:pPr>
              <w:rPr>
                <w:rFonts w:eastAsia="Times New Roman" w:cstheme="minorHAnsi"/>
                <w:sz w:val="18"/>
                <w:szCs w:val="18"/>
                <w:lang w:eastAsia="en-AU"/>
              </w:rPr>
            </w:pPr>
            <w:r w:rsidRPr="00076EDD">
              <w:rPr>
                <w:rFonts w:eastAsia="Times New Roman" w:cstheme="minorHAnsi"/>
                <w:sz w:val="18"/>
                <w:szCs w:val="18"/>
                <w:lang w:eastAsia="en-AU"/>
              </w:rPr>
              <w:t>1.05pm – 1.</w:t>
            </w:r>
            <w:r>
              <w:rPr>
                <w:rFonts w:eastAsia="Times New Roman" w:cstheme="minorHAnsi"/>
                <w:sz w:val="18"/>
                <w:szCs w:val="18"/>
                <w:lang w:eastAsia="en-AU"/>
              </w:rPr>
              <w:t>30</w:t>
            </w:r>
            <w:r w:rsidRPr="00076EDD">
              <w:rPr>
                <w:rFonts w:eastAsia="Times New Roman" w:cstheme="minorHAnsi"/>
                <w:sz w:val="18"/>
                <w:szCs w:val="18"/>
                <w:lang w:eastAsia="en-AU"/>
              </w:rPr>
              <w:t>pm</w:t>
            </w:r>
          </w:p>
        </w:tc>
        <w:tc>
          <w:tcPr>
            <w:tcW w:w="1559" w:type="pct"/>
          </w:tcPr>
          <w:p w14:paraId="3DD7EA0F" w14:textId="77777777" w:rsidR="00903172" w:rsidRPr="00B57B90" w:rsidRDefault="005B1356" w:rsidP="00903172">
            <w:pPr>
              <w:pStyle w:val="ListParagraph"/>
              <w:numPr>
                <w:ilvl w:val="0"/>
                <w:numId w:val="5"/>
              </w:numPr>
              <w:spacing w:before="60" w:after="0" w:line="25" w:lineRule="atLeast"/>
              <w:contextualSpacing w:val="0"/>
              <w:rPr>
                <w:rFonts w:eastAsia="Times New Roman" w:cstheme="minorHAnsi"/>
                <w:b/>
                <w:sz w:val="18"/>
                <w:szCs w:val="18"/>
                <w:lang w:eastAsia="en-AU"/>
              </w:rPr>
            </w:pPr>
            <w:hyperlink w:anchor="_ATO_Update_–" w:history="1">
              <w:r w:rsidR="00903172" w:rsidRPr="00076EDD">
                <w:rPr>
                  <w:b/>
                  <w:sz w:val="18"/>
                  <w:szCs w:val="18"/>
                </w:rPr>
                <w:t>ATO Insights</w:t>
              </w:r>
            </w:hyperlink>
          </w:p>
          <w:p w14:paraId="1F3B0749" w14:textId="77777777" w:rsidR="00903172" w:rsidRPr="0021737B" w:rsidRDefault="00903172" w:rsidP="00903172">
            <w:pPr>
              <w:pStyle w:val="ListParagraph"/>
              <w:numPr>
                <w:ilvl w:val="1"/>
                <w:numId w:val="5"/>
              </w:numPr>
              <w:spacing w:before="60" w:after="60" w:line="25" w:lineRule="atLeast"/>
              <w:contextualSpacing w:val="0"/>
              <w:rPr>
                <w:rFonts w:eastAsia="Times New Roman"/>
                <w:b/>
                <w:bCs/>
                <w:sz w:val="18"/>
                <w:szCs w:val="18"/>
                <w:lang w:eastAsia="en-AU"/>
              </w:rPr>
            </w:pPr>
            <w:r w:rsidRPr="749724D0">
              <w:rPr>
                <w:rFonts w:eastAsia="Times New Roman"/>
                <w:sz w:val="18"/>
                <w:szCs w:val="18"/>
                <w:lang w:eastAsia="en-AU"/>
              </w:rPr>
              <w:t>ATO program update</w:t>
            </w:r>
          </w:p>
          <w:p w14:paraId="36933A16" w14:textId="77777777" w:rsidR="00903172" w:rsidRPr="00BA64BE" w:rsidRDefault="00903172" w:rsidP="00903172">
            <w:pPr>
              <w:pStyle w:val="ListParagraph"/>
              <w:numPr>
                <w:ilvl w:val="1"/>
                <w:numId w:val="5"/>
              </w:numPr>
              <w:spacing w:before="60" w:after="60" w:line="25" w:lineRule="atLeast"/>
              <w:contextualSpacing w:val="0"/>
              <w:rPr>
                <w:rFonts w:eastAsia="Times New Roman"/>
                <w:sz w:val="18"/>
                <w:szCs w:val="18"/>
                <w:lang w:eastAsia="en-AU"/>
              </w:rPr>
            </w:pPr>
            <w:r w:rsidRPr="00BA64BE">
              <w:rPr>
                <w:rFonts w:eastAsia="Times New Roman"/>
                <w:sz w:val="18"/>
                <w:szCs w:val="18"/>
                <w:lang w:eastAsia="en-AU"/>
              </w:rPr>
              <w:t>The R&amp;DTI program of work</w:t>
            </w:r>
          </w:p>
          <w:p w14:paraId="49282B2B" w14:textId="77777777" w:rsidR="00903172" w:rsidRPr="00BA64BE" w:rsidRDefault="00903172" w:rsidP="00903172">
            <w:pPr>
              <w:pStyle w:val="ListParagraph"/>
              <w:numPr>
                <w:ilvl w:val="1"/>
                <w:numId w:val="5"/>
              </w:numPr>
              <w:spacing w:before="60" w:after="60" w:line="25" w:lineRule="atLeast"/>
              <w:contextualSpacing w:val="0"/>
              <w:rPr>
                <w:rFonts w:eastAsia="Times New Roman"/>
                <w:sz w:val="18"/>
                <w:szCs w:val="18"/>
                <w:lang w:eastAsia="en-AU"/>
              </w:rPr>
            </w:pPr>
            <w:r>
              <w:rPr>
                <w:rFonts w:eastAsia="Times New Roman"/>
                <w:sz w:val="18"/>
                <w:szCs w:val="18"/>
                <w:lang w:eastAsia="en-AU"/>
              </w:rPr>
              <w:t>Current observations</w:t>
            </w:r>
          </w:p>
          <w:p w14:paraId="250CEDE9" w14:textId="77777777" w:rsidR="00903172" w:rsidRDefault="00903172" w:rsidP="00903172">
            <w:pPr>
              <w:pStyle w:val="ListParagraph"/>
              <w:numPr>
                <w:ilvl w:val="1"/>
                <w:numId w:val="5"/>
              </w:numPr>
              <w:spacing w:before="60" w:after="60" w:line="25" w:lineRule="atLeast"/>
              <w:contextualSpacing w:val="0"/>
              <w:rPr>
                <w:rFonts w:eastAsia="Times New Roman"/>
                <w:sz w:val="18"/>
                <w:szCs w:val="18"/>
                <w:lang w:eastAsia="en-AU"/>
              </w:rPr>
            </w:pPr>
            <w:r w:rsidRPr="00BA64BE">
              <w:rPr>
                <w:rFonts w:eastAsia="Times New Roman"/>
                <w:sz w:val="18"/>
                <w:szCs w:val="18"/>
                <w:lang w:eastAsia="en-AU"/>
              </w:rPr>
              <w:t>Litigation update</w:t>
            </w:r>
          </w:p>
          <w:p w14:paraId="3EE23AF9" w14:textId="7C0FBC96" w:rsidR="00903172" w:rsidRPr="00B57B90" w:rsidRDefault="00903172" w:rsidP="00903172">
            <w:pPr>
              <w:pStyle w:val="ListParagraph"/>
              <w:numPr>
                <w:ilvl w:val="1"/>
                <w:numId w:val="5"/>
              </w:numPr>
              <w:spacing w:before="60" w:after="60" w:line="25" w:lineRule="atLeast"/>
              <w:contextualSpacing w:val="0"/>
              <w:rPr>
                <w:rFonts w:eastAsia="Times New Roman"/>
                <w:sz w:val="18"/>
                <w:szCs w:val="18"/>
                <w:lang w:eastAsia="en-AU"/>
              </w:rPr>
            </w:pPr>
            <w:r w:rsidRPr="00B57B90">
              <w:rPr>
                <w:rFonts w:eastAsia="Times New Roman"/>
                <w:sz w:val="18"/>
                <w:szCs w:val="18"/>
                <w:lang w:eastAsia="en-AU"/>
              </w:rPr>
              <w:t>ATO expectations</w:t>
            </w:r>
          </w:p>
        </w:tc>
        <w:tc>
          <w:tcPr>
            <w:tcW w:w="2603" w:type="pct"/>
          </w:tcPr>
          <w:p w14:paraId="07FD266C" w14:textId="05926950" w:rsidR="00903172" w:rsidRPr="00076EDD" w:rsidRDefault="00903172" w:rsidP="00903172">
            <w:pPr>
              <w:rPr>
                <w:rFonts w:eastAsia="Times New Roman" w:cstheme="minorHAnsi"/>
                <w:sz w:val="18"/>
                <w:szCs w:val="18"/>
                <w:lang w:eastAsia="en-AU"/>
              </w:rPr>
            </w:pPr>
            <w:r w:rsidRPr="00076EDD">
              <w:rPr>
                <w:rFonts w:eastAsia="Times New Roman" w:cstheme="minorHAnsi"/>
                <w:sz w:val="18"/>
                <w:szCs w:val="18"/>
                <w:lang w:eastAsia="en-AU"/>
              </w:rPr>
              <w:t>Brett Challans, Senior Director, Innovation Taxes, ATO</w:t>
            </w:r>
          </w:p>
        </w:tc>
      </w:tr>
      <w:tr w:rsidR="00903172" w14:paraId="7EEB33CE" w14:textId="77777777" w:rsidTr="00F556BC">
        <w:trPr>
          <w:trHeight w:val="113"/>
        </w:trPr>
        <w:tc>
          <w:tcPr>
            <w:tcW w:w="838" w:type="pct"/>
          </w:tcPr>
          <w:p w14:paraId="41903879" w14:textId="695A32D3" w:rsidR="00903172" w:rsidRPr="00076EDD" w:rsidRDefault="00903172" w:rsidP="00903172">
            <w:pPr>
              <w:rPr>
                <w:sz w:val="18"/>
                <w:szCs w:val="18"/>
              </w:rPr>
            </w:pPr>
            <w:r w:rsidRPr="00076EDD">
              <w:rPr>
                <w:rFonts w:eastAsia="Times New Roman" w:cstheme="minorHAnsi"/>
                <w:sz w:val="18"/>
                <w:szCs w:val="18"/>
                <w:lang w:eastAsia="en-AU"/>
              </w:rPr>
              <w:t>1.</w:t>
            </w:r>
            <w:r>
              <w:rPr>
                <w:rFonts w:eastAsia="Times New Roman" w:cstheme="minorHAnsi"/>
                <w:sz w:val="18"/>
                <w:szCs w:val="18"/>
                <w:lang w:eastAsia="en-AU"/>
              </w:rPr>
              <w:t>30</w:t>
            </w:r>
            <w:r w:rsidRPr="00076EDD">
              <w:rPr>
                <w:rFonts w:eastAsia="Times New Roman" w:cstheme="minorHAnsi"/>
                <w:sz w:val="18"/>
                <w:szCs w:val="18"/>
                <w:lang w:eastAsia="en-AU"/>
              </w:rPr>
              <w:t xml:space="preserve">pm – </w:t>
            </w:r>
            <w:r>
              <w:rPr>
                <w:rFonts w:eastAsia="Times New Roman" w:cstheme="minorHAnsi"/>
                <w:sz w:val="18"/>
                <w:szCs w:val="18"/>
                <w:lang w:eastAsia="en-AU"/>
              </w:rPr>
              <w:t>2</w:t>
            </w:r>
            <w:r w:rsidRPr="00076EDD">
              <w:rPr>
                <w:rFonts w:eastAsia="Times New Roman" w:cstheme="minorHAnsi"/>
                <w:sz w:val="18"/>
                <w:szCs w:val="18"/>
                <w:lang w:eastAsia="en-AU"/>
              </w:rPr>
              <w:t>.</w:t>
            </w:r>
            <w:r>
              <w:rPr>
                <w:rFonts w:eastAsia="Times New Roman" w:cstheme="minorHAnsi"/>
                <w:sz w:val="18"/>
                <w:szCs w:val="18"/>
                <w:lang w:eastAsia="en-AU"/>
              </w:rPr>
              <w:t>00</w:t>
            </w:r>
            <w:r w:rsidRPr="00076EDD">
              <w:rPr>
                <w:rFonts w:eastAsia="Times New Roman" w:cstheme="minorHAnsi"/>
                <w:sz w:val="18"/>
                <w:szCs w:val="18"/>
                <w:lang w:eastAsia="en-AU"/>
              </w:rPr>
              <w:t>pm</w:t>
            </w:r>
          </w:p>
        </w:tc>
        <w:tc>
          <w:tcPr>
            <w:tcW w:w="1559" w:type="pct"/>
          </w:tcPr>
          <w:p w14:paraId="3572D82A" w14:textId="77777777" w:rsidR="00903172" w:rsidRPr="00076EDD" w:rsidRDefault="00903172" w:rsidP="00903172">
            <w:pPr>
              <w:pStyle w:val="ListParagraph"/>
              <w:numPr>
                <w:ilvl w:val="0"/>
                <w:numId w:val="5"/>
              </w:numPr>
              <w:spacing w:before="60" w:after="60" w:line="25" w:lineRule="atLeast"/>
              <w:rPr>
                <w:rFonts w:eastAsia="Times New Roman" w:cstheme="minorHAnsi"/>
                <w:sz w:val="18"/>
                <w:szCs w:val="18"/>
                <w:lang w:eastAsia="en-AU"/>
              </w:rPr>
            </w:pPr>
            <w:r w:rsidRPr="00076EDD">
              <w:rPr>
                <w:rFonts w:eastAsia="Times New Roman" w:cstheme="minorHAnsi"/>
                <w:b/>
                <w:sz w:val="18"/>
                <w:szCs w:val="18"/>
                <w:lang w:eastAsia="en-AU"/>
              </w:rPr>
              <w:t>DISR Insights</w:t>
            </w:r>
            <w:r w:rsidRPr="00076EDD">
              <w:rPr>
                <w:rFonts w:eastAsia="Times New Roman" w:cstheme="minorHAnsi"/>
                <w:sz w:val="18"/>
                <w:szCs w:val="18"/>
                <w:lang w:eastAsia="en-AU"/>
              </w:rPr>
              <w:t xml:space="preserve"> </w:t>
            </w:r>
          </w:p>
          <w:p w14:paraId="11DB92C3" w14:textId="77777777" w:rsidR="00903172" w:rsidRPr="00076EDD" w:rsidRDefault="00903172" w:rsidP="00903172">
            <w:pPr>
              <w:pStyle w:val="ListParagraph"/>
              <w:numPr>
                <w:ilvl w:val="1"/>
                <w:numId w:val="5"/>
              </w:numPr>
              <w:spacing w:before="60" w:after="60"/>
              <w:contextualSpacing w:val="0"/>
              <w:rPr>
                <w:rFonts w:eastAsia="Times New Roman" w:cstheme="minorHAnsi"/>
                <w:sz w:val="18"/>
                <w:szCs w:val="18"/>
                <w:lang w:eastAsia="en-AU"/>
              </w:rPr>
            </w:pPr>
            <w:r w:rsidRPr="00076EDD">
              <w:rPr>
                <w:sz w:val="18"/>
                <w:szCs w:val="18"/>
              </w:rPr>
              <w:t>Customer portal</w:t>
            </w:r>
          </w:p>
          <w:p w14:paraId="2F99EB9A" w14:textId="77777777" w:rsidR="00903172" w:rsidRDefault="00903172" w:rsidP="00903172">
            <w:pPr>
              <w:pStyle w:val="ListParagraph"/>
              <w:numPr>
                <w:ilvl w:val="1"/>
                <w:numId w:val="5"/>
              </w:numPr>
              <w:spacing w:before="60" w:after="60"/>
              <w:contextualSpacing w:val="0"/>
              <w:rPr>
                <w:rFonts w:eastAsia="Times New Roman" w:cstheme="minorHAnsi"/>
                <w:sz w:val="18"/>
                <w:szCs w:val="18"/>
                <w:lang w:eastAsia="en-AU"/>
              </w:rPr>
            </w:pPr>
            <w:r w:rsidRPr="00076EDD">
              <w:rPr>
                <w:rFonts w:eastAsia="Times New Roman" w:cstheme="minorHAnsi"/>
                <w:sz w:val="18"/>
                <w:szCs w:val="18"/>
                <w:lang w:eastAsia="en-AU"/>
              </w:rPr>
              <w:t xml:space="preserve">Advance </w:t>
            </w:r>
            <w:r>
              <w:rPr>
                <w:rFonts w:eastAsia="Times New Roman" w:cstheme="minorHAnsi"/>
                <w:sz w:val="18"/>
                <w:szCs w:val="18"/>
                <w:lang w:eastAsia="en-AU"/>
              </w:rPr>
              <w:t>F</w:t>
            </w:r>
            <w:r w:rsidRPr="00076EDD">
              <w:rPr>
                <w:rFonts w:eastAsia="Times New Roman" w:cstheme="minorHAnsi"/>
                <w:sz w:val="18"/>
                <w:szCs w:val="18"/>
                <w:lang w:eastAsia="en-AU"/>
              </w:rPr>
              <w:t xml:space="preserve">inding </w:t>
            </w:r>
            <w:r>
              <w:rPr>
                <w:rFonts w:eastAsia="Times New Roman" w:cstheme="minorHAnsi"/>
                <w:sz w:val="18"/>
                <w:szCs w:val="18"/>
                <w:lang w:eastAsia="en-AU"/>
              </w:rPr>
              <w:t>Software P</w:t>
            </w:r>
            <w:r w:rsidRPr="00076EDD">
              <w:rPr>
                <w:rFonts w:eastAsia="Times New Roman" w:cstheme="minorHAnsi"/>
                <w:sz w:val="18"/>
                <w:szCs w:val="18"/>
                <w:lang w:eastAsia="en-AU"/>
              </w:rPr>
              <w:t>ilot</w:t>
            </w:r>
          </w:p>
          <w:p w14:paraId="3EF04597" w14:textId="77777777" w:rsidR="00903172" w:rsidRPr="00076EDD" w:rsidRDefault="00903172" w:rsidP="00903172">
            <w:pPr>
              <w:pStyle w:val="ListParagraph"/>
              <w:numPr>
                <w:ilvl w:val="1"/>
                <w:numId w:val="5"/>
              </w:numPr>
              <w:spacing w:before="60" w:after="60"/>
              <w:contextualSpacing w:val="0"/>
              <w:rPr>
                <w:rFonts w:eastAsia="Times New Roman" w:cstheme="minorHAnsi"/>
                <w:sz w:val="18"/>
                <w:szCs w:val="18"/>
                <w:lang w:eastAsia="en-AU"/>
              </w:rPr>
            </w:pPr>
            <w:r>
              <w:rPr>
                <w:rFonts w:eastAsia="Times New Roman" w:cstheme="minorHAnsi"/>
                <w:sz w:val="18"/>
                <w:szCs w:val="18"/>
                <w:lang w:eastAsia="en-AU"/>
              </w:rPr>
              <w:t>Registrations insights</w:t>
            </w:r>
          </w:p>
          <w:p w14:paraId="22AA991C" w14:textId="77777777" w:rsidR="00903172" w:rsidRPr="00076EDD" w:rsidRDefault="00903172" w:rsidP="00903172">
            <w:pPr>
              <w:pStyle w:val="ListParagraph"/>
              <w:numPr>
                <w:ilvl w:val="1"/>
                <w:numId w:val="5"/>
              </w:numPr>
              <w:spacing w:before="60" w:after="60"/>
              <w:contextualSpacing w:val="0"/>
              <w:rPr>
                <w:rFonts w:eastAsia="Times New Roman" w:cstheme="minorHAnsi"/>
                <w:sz w:val="18"/>
                <w:szCs w:val="18"/>
                <w:lang w:eastAsia="en-AU"/>
              </w:rPr>
            </w:pPr>
            <w:r w:rsidRPr="00076EDD">
              <w:rPr>
                <w:rFonts w:eastAsia="Times New Roman" w:cstheme="minorHAnsi"/>
                <w:sz w:val="18"/>
                <w:szCs w:val="18"/>
                <w:lang w:eastAsia="en-AU"/>
              </w:rPr>
              <w:t>Litigation insights</w:t>
            </w:r>
          </w:p>
          <w:p w14:paraId="05C08631" w14:textId="77777777" w:rsidR="00903172" w:rsidRPr="00416487" w:rsidRDefault="00903172" w:rsidP="00903172">
            <w:pPr>
              <w:pStyle w:val="ListParagraph"/>
              <w:numPr>
                <w:ilvl w:val="1"/>
                <w:numId w:val="5"/>
              </w:numPr>
              <w:spacing w:before="60" w:after="60"/>
              <w:contextualSpacing w:val="0"/>
              <w:rPr>
                <w:rFonts w:eastAsia="Times New Roman" w:cstheme="minorHAnsi"/>
                <w:sz w:val="18"/>
                <w:szCs w:val="18"/>
                <w:lang w:eastAsia="en-AU"/>
              </w:rPr>
            </w:pPr>
            <w:r w:rsidRPr="00076EDD">
              <w:rPr>
                <w:rFonts w:eastAsia="Times New Roman" w:cstheme="minorHAnsi"/>
                <w:sz w:val="18"/>
                <w:szCs w:val="18"/>
                <w:lang w:eastAsia="en-AU"/>
              </w:rPr>
              <w:t>Joint program charter</w:t>
            </w:r>
          </w:p>
          <w:p w14:paraId="45E8B00F" w14:textId="77777777" w:rsidR="00903172" w:rsidRPr="00076EDD" w:rsidRDefault="00903172" w:rsidP="00903172">
            <w:pPr>
              <w:pStyle w:val="ListParagraph"/>
              <w:numPr>
                <w:ilvl w:val="1"/>
                <w:numId w:val="5"/>
              </w:numPr>
              <w:spacing w:before="60" w:after="60"/>
              <w:contextualSpacing w:val="0"/>
              <w:rPr>
                <w:rFonts w:eastAsia="Times New Roman" w:cstheme="minorHAnsi"/>
                <w:sz w:val="18"/>
                <w:szCs w:val="18"/>
                <w:lang w:eastAsia="en-AU"/>
              </w:rPr>
            </w:pPr>
            <w:r w:rsidRPr="00076EDD">
              <w:rPr>
                <w:rFonts w:eastAsia="Times New Roman" w:cstheme="minorHAnsi"/>
                <w:sz w:val="18"/>
                <w:szCs w:val="18"/>
                <w:lang w:eastAsia="en-AU"/>
              </w:rPr>
              <w:t xml:space="preserve">Compliance insights </w:t>
            </w:r>
          </w:p>
          <w:p w14:paraId="7197F47D" w14:textId="0AB71A60" w:rsidR="00903172" w:rsidRPr="00BE4422" w:rsidRDefault="00903172" w:rsidP="00903172">
            <w:pPr>
              <w:pStyle w:val="ListParagraph"/>
              <w:numPr>
                <w:ilvl w:val="1"/>
                <w:numId w:val="5"/>
              </w:numPr>
              <w:spacing w:before="60" w:after="60" w:line="25" w:lineRule="atLeast"/>
              <w:contextualSpacing w:val="0"/>
              <w:rPr>
                <w:rFonts w:eastAsia="Times New Roman" w:cstheme="minorHAnsi"/>
                <w:sz w:val="18"/>
                <w:szCs w:val="18"/>
                <w:lang w:eastAsia="en-AU"/>
              </w:rPr>
            </w:pPr>
            <w:r>
              <w:rPr>
                <w:rFonts w:eastAsia="Times New Roman" w:cstheme="minorHAnsi"/>
                <w:sz w:val="18"/>
                <w:szCs w:val="18"/>
                <w:lang w:eastAsia="en-AU"/>
              </w:rPr>
              <w:t>Insider Plus</w:t>
            </w:r>
            <w:r w:rsidRPr="00076EDD">
              <w:rPr>
                <w:rFonts w:eastAsia="Times New Roman" w:cstheme="minorHAnsi"/>
                <w:sz w:val="18"/>
                <w:szCs w:val="18"/>
                <w:lang w:eastAsia="en-AU"/>
              </w:rPr>
              <w:t xml:space="preserve"> newsletter </w:t>
            </w:r>
          </w:p>
        </w:tc>
        <w:tc>
          <w:tcPr>
            <w:tcW w:w="2603" w:type="pct"/>
          </w:tcPr>
          <w:p w14:paraId="7852C90B" w14:textId="77777777" w:rsidR="00903172" w:rsidRPr="00B857C3" w:rsidRDefault="00903172" w:rsidP="00903172">
            <w:pPr>
              <w:rPr>
                <w:sz w:val="2"/>
                <w:szCs w:val="2"/>
              </w:rPr>
            </w:pPr>
          </w:p>
          <w:p w14:paraId="1AF7A847" w14:textId="77777777" w:rsidR="00903172" w:rsidRPr="00B857C3" w:rsidRDefault="00903172" w:rsidP="00903172">
            <w:pPr>
              <w:rPr>
                <w:rFonts w:eastAsia="Times New Roman" w:cstheme="minorHAnsi"/>
                <w:sz w:val="4"/>
                <w:szCs w:val="4"/>
                <w:lang w:eastAsia="en-AU"/>
              </w:rPr>
            </w:pPr>
          </w:p>
          <w:p w14:paraId="29FF7A3F" w14:textId="77777777" w:rsidR="00903172" w:rsidRDefault="00903172" w:rsidP="00903172">
            <w:pPr>
              <w:spacing w:before="0" w:after="0"/>
              <w:rPr>
                <w:rFonts w:eastAsia="Times New Roman" w:cstheme="minorHAnsi"/>
                <w:sz w:val="18"/>
                <w:szCs w:val="18"/>
                <w:lang w:eastAsia="en-AU"/>
              </w:rPr>
            </w:pPr>
            <w:r w:rsidRPr="00076EDD">
              <w:rPr>
                <w:rFonts w:eastAsia="Times New Roman" w:cstheme="minorHAnsi"/>
                <w:sz w:val="18"/>
                <w:szCs w:val="18"/>
                <w:lang w:eastAsia="en-AU"/>
              </w:rPr>
              <w:t>Rachael Lawrence, Manager, Business Support</w:t>
            </w:r>
          </w:p>
          <w:p w14:paraId="49017D2E" w14:textId="77777777" w:rsidR="00903172" w:rsidRPr="00B857C3" w:rsidRDefault="00903172" w:rsidP="00903172">
            <w:pPr>
              <w:spacing w:before="0" w:after="0"/>
              <w:rPr>
                <w:rFonts w:eastAsia="Times New Roman" w:cstheme="minorHAnsi"/>
                <w:sz w:val="6"/>
                <w:szCs w:val="6"/>
                <w:lang w:eastAsia="en-AU"/>
              </w:rPr>
            </w:pPr>
          </w:p>
          <w:p w14:paraId="592C33B0" w14:textId="77777777" w:rsidR="00903172" w:rsidRDefault="00903172" w:rsidP="00903172">
            <w:pPr>
              <w:spacing w:before="0" w:after="0"/>
              <w:rPr>
                <w:rFonts w:eastAsia="Times New Roman" w:cstheme="minorHAnsi"/>
                <w:sz w:val="18"/>
                <w:szCs w:val="18"/>
                <w:lang w:eastAsia="en-AU"/>
              </w:rPr>
            </w:pPr>
            <w:r w:rsidRPr="00076EDD">
              <w:rPr>
                <w:rFonts w:eastAsia="Times New Roman" w:cstheme="minorHAnsi"/>
                <w:sz w:val="18"/>
                <w:szCs w:val="18"/>
                <w:lang w:eastAsia="en-AU"/>
              </w:rPr>
              <w:t>Rachael Lawrence, Manager, Business Support</w:t>
            </w:r>
          </w:p>
          <w:p w14:paraId="0FC7C8F2" w14:textId="77777777" w:rsidR="00903172" w:rsidRPr="00BB0110" w:rsidRDefault="00903172" w:rsidP="00903172">
            <w:pPr>
              <w:spacing w:before="0" w:after="0"/>
              <w:rPr>
                <w:rFonts w:eastAsia="Times New Roman" w:cstheme="minorHAnsi"/>
                <w:sz w:val="6"/>
                <w:szCs w:val="6"/>
                <w:lang w:eastAsia="en-AU"/>
              </w:rPr>
            </w:pPr>
          </w:p>
          <w:p w14:paraId="7E74B5DD" w14:textId="77777777" w:rsidR="00903172" w:rsidRDefault="00903172" w:rsidP="00903172">
            <w:pPr>
              <w:spacing w:before="0" w:after="0"/>
              <w:rPr>
                <w:sz w:val="18"/>
                <w:szCs w:val="18"/>
              </w:rPr>
            </w:pPr>
            <w:r>
              <w:rPr>
                <w:sz w:val="18"/>
                <w:szCs w:val="18"/>
              </w:rPr>
              <w:t>Emily Hodges, Manager, Registrations and Early Engagement</w:t>
            </w:r>
          </w:p>
          <w:p w14:paraId="5E71EA33" w14:textId="77777777" w:rsidR="00903172" w:rsidRPr="00BB0110" w:rsidRDefault="00903172" w:rsidP="00903172">
            <w:pPr>
              <w:spacing w:before="0" w:after="0"/>
              <w:rPr>
                <w:sz w:val="6"/>
                <w:szCs w:val="6"/>
              </w:rPr>
            </w:pPr>
          </w:p>
          <w:p w14:paraId="53329DBD" w14:textId="77777777" w:rsidR="00903172" w:rsidRDefault="00903172" w:rsidP="00903172">
            <w:pPr>
              <w:spacing w:before="0" w:after="0"/>
              <w:rPr>
                <w:sz w:val="18"/>
                <w:szCs w:val="18"/>
              </w:rPr>
            </w:pPr>
            <w:r w:rsidRPr="00076EDD">
              <w:rPr>
                <w:sz w:val="18"/>
                <w:szCs w:val="18"/>
              </w:rPr>
              <w:t>Chiara Cirillo, Manager, Administrative Review</w:t>
            </w:r>
          </w:p>
          <w:p w14:paraId="57DA3520" w14:textId="77777777" w:rsidR="00903172" w:rsidRPr="00B857C3" w:rsidRDefault="00903172" w:rsidP="00903172">
            <w:pPr>
              <w:spacing w:before="0" w:after="0"/>
              <w:rPr>
                <w:sz w:val="6"/>
                <w:szCs w:val="6"/>
              </w:rPr>
            </w:pPr>
          </w:p>
          <w:p w14:paraId="6934E1D1" w14:textId="77777777" w:rsidR="00903172" w:rsidRDefault="00903172" w:rsidP="00903172">
            <w:pPr>
              <w:spacing w:before="0" w:after="0"/>
              <w:rPr>
                <w:sz w:val="18"/>
                <w:szCs w:val="18"/>
              </w:rPr>
            </w:pPr>
            <w:r w:rsidRPr="00076EDD">
              <w:rPr>
                <w:sz w:val="18"/>
                <w:szCs w:val="18"/>
              </w:rPr>
              <w:t>Elizabeth Minogue, Manager, Governance</w:t>
            </w:r>
            <w:r>
              <w:rPr>
                <w:sz w:val="18"/>
                <w:szCs w:val="18"/>
              </w:rPr>
              <w:t xml:space="preserve"> and Regulatory Stewardship</w:t>
            </w:r>
          </w:p>
          <w:p w14:paraId="2CC7FCEC" w14:textId="77777777" w:rsidR="00903172" w:rsidRPr="00BB0110" w:rsidRDefault="00903172" w:rsidP="00903172">
            <w:pPr>
              <w:spacing w:before="0" w:after="0"/>
              <w:rPr>
                <w:sz w:val="6"/>
                <w:szCs w:val="6"/>
              </w:rPr>
            </w:pPr>
          </w:p>
          <w:p w14:paraId="0F3EB617" w14:textId="3F1DF2FE" w:rsidR="00903172" w:rsidRDefault="00903172" w:rsidP="00903172">
            <w:pPr>
              <w:spacing w:before="0" w:after="0"/>
              <w:rPr>
                <w:sz w:val="18"/>
                <w:szCs w:val="18"/>
              </w:rPr>
            </w:pPr>
            <w:r w:rsidRPr="00076EDD">
              <w:rPr>
                <w:sz w:val="18"/>
                <w:szCs w:val="18"/>
              </w:rPr>
              <w:t>Tom Gilbert, Manager, National Assessment</w:t>
            </w:r>
          </w:p>
          <w:p w14:paraId="7AFFCEB7" w14:textId="77777777" w:rsidR="00BB0110" w:rsidRPr="007E29A2" w:rsidRDefault="00BB0110" w:rsidP="00903172">
            <w:pPr>
              <w:spacing w:before="0" w:after="0"/>
              <w:rPr>
                <w:sz w:val="8"/>
                <w:szCs w:val="8"/>
              </w:rPr>
            </w:pPr>
          </w:p>
          <w:p w14:paraId="5C49310A" w14:textId="2D81E354" w:rsidR="00903172" w:rsidRPr="00076EDD" w:rsidRDefault="00167035" w:rsidP="00BB0110">
            <w:pPr>
              <w:spacing w:before="0"/>
              <w:rPr>
                <w:sz w:val="18"/>
                <w:szCs w:val="18"/>
              </w:rPr>
            </w:pPr>
            <w:r>
              <w:rPr>
                <w:sz w:val="18"/>
                <w:szCs w:val="18"/>
              </w:rPr>
              <w:t>Trish Ivar,</w:t>
            </w:r>
            <w:r w:rsidR="00903172">
              <w:rPr>
                <w:sz w:val="18"/>
                <w:szCs w:val="18"/>
              </w:rPr>
              <w:t xml:space="preserve"> </w:t>
            </w:r>
            <w:r w:rsidR="00903172" w:rsidRPr="00076EDD">
              <w:rPr>
                <w:sz w:val="18"/>
                <w:szCs w:val="18"/>
              </w:rPr>
              <w:t>Manager, Stakeholder Engagement</w:t>
            </w:r>
          </w:p>
        </w:tc>
      </w:tr>
      <w:tr w:rsidR="00903172" w14:paraId="43A7F45F" w14:textId="77777777" w:rsidTr="00F556BC">
        <w:trPr>
          <w:trHeight w:val="113"/>
        </w:trPr>
        <w:tc>
          <w:tcPr>
            <w:tcW w:w="838" w:type="pct"/>
          </w:tcPr>
          <w:p w14:paraId="202F6A9C" w14:textId="596056D3" w:rsidR="00903172" w:rsidRPr="00076EDD" w:rsidRDefault="00903172" w:rsidP="00903172">
            <w:pPr>
              <w:rPr>
                <w:rFonts w:eastAsia="Times New Roman" w:cstheme="minorHAnsi"/>
                <w:sz w:val="18"/>
                <w:szCs w:val="18"/>
                <w:lang w:eastAsia="en-AU"/>
              </w:rPr>
            </w:pPr>
            <w:r>
              <w:rPr>
                <w:rFonts w:eastAsia="Times New Roman" w:cstheme="minorHAnsi"/>
                <w:sz w:val="18"/>
                <w:szCs w:val="18"/>
                <w:lang w:eastAsia="en-AU"/>
              </w:rPr>
              <w:t>2.00pm – 2.15pm</w:t>
            </w:r>
          </w:p>
        </w:tc>
        <w:tc>
          <w:tcPr>
            <w:tcW w:w="1559" w:type="pct"/>
          </w:tcPr>
          <w:p w14:paraId="5619B76A" w14:textId="28C157B5" w:rsidR="00903172" w:rsidRPr="00076EDD" w:rsidRDefault="00B84800" w:rsidP="00903172">
            <w:pPr>
              <w:pStyle w:val="ListParagraph"/>
              <w:numPr>
                <w:ilvl w:val="0"/>
                <w:numId w:val="5"/>
              </w:numPr>
              <w:spacing w:before="60" w:after="0" w:line="25" w:lineRule="atLeast"/>
              <w:contextualSpacing w:val="0"/>
              <w:rPr>
                <w:b/>
                <w:sz w:val="18"/>
                <w:szCs w:val="18"/>
              </w:rPr>
            </w:pPr>
            <w:r>
              <w:rPr>
                <w:rFonts w:eastAsia="Times New Roman" w:cstheme="minorHAnsi"/>
                <w:b/>
                <w:sz w:val="18"/>
                <w:szCs w:val="18"/>
                <w:lang w:eastAsia="en-AU"/>
              </w:rPr>
              <w:t>Tax Transparency Measure</w:t>
            </w:r>
          </w:p>
        </w:tc>
        <w:tc>
          <w:tcPr>
            <w:tcW w:w="2603" w:type="pct"/>
          </w:tcPr>
          <w:p w14:paraId="5A3F262A" w14:textId="16A6CCFB" w:rsidR="00903172" w:rsidRPr="00076EDD" w:rsidRDefault="00D244C1" w:rsidP="00903172">
            <w:pPr>
              <w:rPr>
                <w:sz w:val="18"/>
                <w:szCs w:val="18"/>
              </w:rPr>
            </w:pPr>
            <w:r w:rsidRPr="00A62573">
              <w:rPr>
                <w:rFonts w:eastAsia="Times New Roman" w:cstheme="minorHAnsi"/>
                <w:sz w:val="18"/>
                <w:szCs w:val="18"/>
                <w:lang w:eastAsia="en-AU"/>
              </w:rPr>
              <w:t>Leisa Letheby,</w:t>
            </w:r>
            <w:r w:rsidR="00903172" w:rsidRPr="00A62573">
              <w:rPr>
                <w:rFonts w:eastAsia="Times New Roman" w:cstheme="minorHAnsi"/>
                <w:sz w:val="18"/>
                <w:szCs w:val="18"/>
                <w:lang w:eastAsia="en-AU"/>
              </w:rPr>
              <w:t xml:space="preserve"> ATO</w:t>
            </w:r>
          </w:p>
        </w:tc>
      </w:tr>
      <w:tr w:rsidR="00903172" w14:paraId="278F2262" w14:textId="77777777" w:rsidTr="00F556BC">
        <w:trPr>
          <w:trHeight w:val="113"/>
        </w:trPr>
        <w:tc>
          <w:tcPr>
            <w:tcW w:w="838" w:type="pct"/>
          </w:tcPr>
          <w:p w14:paraId="1D56B58F" w14:textId="2DC33D15" w:rsidR="00903172" w:rsidRPr="00076EDD" w:rsidRDefault="00903172" w:rsidP="00903172">
            <w:pPr>
              <w:rPr>
                <w:rFonts w:eastAsia="Times New Roman" w:cstheme="minorHAnsi"/>
                <w:sz w:val="18"/>
                <w:szCs w:val="18"/>
                <w:lang w:eastAsia="en-AU"/>
              </w:rPr>
            </w:pPr>
            <w:r>
              <w:rPr>
                <w:rFonts w:eastAsia="Times New Roman" w:cstheme="minorHAnsi"/>
                <w:sz w:val="18"/>
                <w:szCs w:val="18"/>
                <w:lang w:eastAsia="en-AU"/>
              </w:rPr>
              <w:t>2.15pm – 2.</w:t>
            </w:r>
            <w:r w:rsidR="0018351C">
              <w:rPr>
                <w:rFonts w:eastAsia="Times New Roman" w:cstheme="minorHAnsi"/>
                <w:sz w:val="18"/>
                <w:szCs w:val="18"/>
                <w:lang w:eastAsia="en-AU"/>
              </w:rPr>
              <w:t>5</w:t>
            </w:r>
            <w:r>
              <w:rPr>
                <w:rFonts w:eastAsia="Times New Roman" w:cstheme="minorHAnsi"/>
                <w:sz w:val="18"/>
                <w:szCs w:val="18"/>
                <w:lang w:eastAsia="en-AU"/>
              </w:rPr>
              <w:t>5pm</w:t>
            </w:r>
          </w:p>
        </w:tc>
        <w:tc>
          <w:tcPr>
            <w:tcW w:w="1559" w:type="pct"/>
          </w:tcPr>
          <w:p w14:paraId="227FE8A5" w14:textId="422A94EB" w:rsidR="00903172" w:rsidRPr="00076EDD" w:rsidRDefault="005B1356" w:rsidP="00801B7B">
            <w:pPr>
              <w:pStyle w:val="ListParagraph"/>
              <w:numPr>
                <w:ilvl w:val="0"/>
                <w:numId w:val="5"/>
              </w:numPr>
              <w:spacing w:before="60" w:after="0" w:line="25" w:lineRule="atLeast"/>
              <w:contextualSpacing w:val="0"/>
              <w:rPr>
                <w:b/>
                <w:bCs/>
                <w:sz w:val="18"/>
                <w:szCs w:val="18"/>
              </w:rPr>
            </w:pPr>
            <w:hyperlink w:anchor="_Other_Business_and" w:history="1">
              <w:r w:rsidR="00903172" w:rsidRPr="00801B7B">
                <w:rPr>
                  <w:b/>
                  <w:sz w:val="18"/>
                  <w:szCs w:val="18"/>
                </w:rPr>
                <w:t>Determinations</w:t>
              </w:r>
            </w:hyperlink>
            <w:r w:rsidR="00903172">
              <w:rPr>
                <w:b/>
                <w:sz w:val="18"/>
                <w:szCs w:val="18"/>
              </w:rPr>
              <w:t xml:space="preserve"> Discussion </w:t>
            </w:r>
          </w:p>
        </w:tc>
        <w:tc>
          <w:tcPr>
            <w:tcW w:w="2603" w:type="pct"/>
          </w:tcPr>
          <w:p w14:paraId="200CD68A" w14:textId="769FD176" w:rsidR="00903172" w:rsidRPr="00076EDD" w:rsidRDefault="00903172" w:rsidP="00903172">
            <w:pPr>
              <w:rPr>
                <w:rFonts w:eastAsia="Times New Roman" w:cstheme="minorHAnsi"/>
                <w:sz w:val="18"/>
                <w:szCs w:val="18"/>
                <w:lang w:eastAsia="en-AU"/>
              </w:rPr>
            </w:pPr>
            <w:r>
              <w:rPr>
                <w:sz w:val="18"/>
                <w:szCs w:val="18"/>
              </w:rPr>
              <w:t>Chiara Cirillo, Manager, Administrative Review</w:t>
            </w:r>
          </w:p>
        </w:tc>
      </w:tr>
      <w:tr w:rsidR="00903172" w14:paraId="58A401B5" w14:textId="77777777" w:rsidTr="00F556BC">
        <w:trPr>
          <w:trHeight w:val="113"/>
        </w:trPr>
        <w:tc>
          <w:tcPr>
            <w:tcW w:w="838" w:type="pct"/>
          </w:tcPr>
          <w:p w14:paraId="3926D08F" w14:textId="0C3880B6" w:rsidR="00903172" w:rsidRPr="00076EDD" w:rsidRDefault="00903172" w:rsidP="00903172">
            <w:pPr>
              <w:rPr>
                <w:rFonts w:eastAsia="Times New Roman" w:cstheme="minorHAnsi"/>
                <w:sz w:val="18"/>
                <w:szCs w:val="18"/>
                <w:lang w:eastAsia="en-AU"/>
              </w:rPr>
            </w:pPr>
            <w:r>
              <w:rPr>
                <w:rFonts w:eastAsia="Times New Roman" w:cstheme="minorHAnsi"/>
                <w:sz w:val="18"/>
                <w:szCs w:val="18"/>
                <w:lang w:eastAsia="en-AU"/>
              </w:rPr>
              <w:t>2.</w:t>
            </w:r>
            <w:r w:rsidR="0018351C">
              <w:rPr>
                <w:rFonts w:eastAsia="Times New Roman" w:cstheme="minorHAnsi"/>
                <w:sz w:val="18"/>
                <w:szCs w:val="18"/>
                <w:lang w:eastAsia="en-AU"/>
              </w:rPr>
              <w:t>5</w:t>
            </w:r>
            <w:r>
              <w:rPr>
                <w:rFonts w:eastAsia="Times New Roman" w:cstheme="minorHAnsi"/>
                <w:sz w:val="18"/>
                <w:szCs w:val="18"/>
                <w:lang w:eastAsia="en-AU"/>
              </w:rPr>
              <w:t xml:space="preserve">5pm – </w:t>
            </w:r>
            <w:r w:rsidR="0018351C">
              <w:rPr>
                <w:rFonts w:eastAsia="Times New Roman" w:cstheme="minorHAnsi"/>
                <w:sz w:val="18"/>
                <w:szCs w:val="18"/>
                <w:lang w:eastAsia="en-AU"/>
              </w:rPr>
              <w:t>3</w:t>
            </w:r>
            <w:r>
              <w:rPr>
                <w:rFonts w:eastAsia="Times New Roman" w:cstheme="minorHAnsi"/>
                <w:sz w:val="18"/>
                <w:szCs w:val="18"/>
                <w:lang w:eastAsia="en-AU"/>
              </w:rPr>
              <w:t>.</w:t>
            </w:r>
            <w:r w:rsidR="0018351C">
              <w:rPr>
                <w:rFonts w:eastAsia="Times New Roman" w:cstheme="minorHAnsi"/>
                <w:sz w:val="18"/>
                <w:szCs w:val="18"/>
                <w:lang w:eastAsia="en-AU"/>
              </w:rPr>
              <w:t>0</w:t>
            </w:r>
            <w:r>
              <w:rPr>
                <w:rFonts w:eastAsia="Times New Roman" w:cstheme="minorHAnsi"/>
                <w:sz w:val="18"/>
                <w:szCs w:val="18"/>
                <w:lang w:eastAsia="en-AU"/>
              </w:rPr>
              <w:t>0pm</w:t>
            </w:r>
          </w:p>
        </w:tc>
        <w:tc>
          <w:tcPr>
            <w:tcW w:w="1559" w:type="pct"/>
          </w:tcPr>
          <w:p w14:paraId="211BD851" w14:textId="4DF2E934" w:rsidR="00903172" w:rsidRPr="00901E94" w:rsidRDefault="00903172" w:rsidP="00801B7B">
            <w:pPr>
              <w:pStyle w:val="ListParagraph"/>
              <w:spacing w:before="60" w:after="0" w:line="25" w:lineRule="atLeast"/>
              <w:ind w:left="360"/>
              <w:contextualSpacing w:val="0"/>
              <w:rPr>
                <w:sz w:val="18"/>
                <w:szCs w:val="18"/>
              </w:rPr>
            </w:pPr>
            <w:r w:rsidRPr="00901E94">
              <w:rPr>
                <w:sz w:val="18"/>
                <w:szCs w:val="18"/>
              </w:rPr>
              <w:t>Break</w:t>
            </w:r>
          </w:p>
        </w:tc>
        <w:tc>
          <w:tcPr>
            <w:tcW w:w="2603" w:type="pct"/>
          </w:tcPr>
          <w:p w14:paraId="44465126" w14:textId="7AE95890" w:rsidR="00903172" w:rsidRDefault="00903172" w:rsidP="00903172">
            <w:pPr>
              <w:rPr>
                <w:rFonts w:eastAsia="Times New Roman" w:cstheme="minorHAnsi"/>
                <w:sz w:val="18"/>
                <w:szCs w:val="18"/>
                <w:lang w:eastAsia="en-AU"/>
              </w:rPr>
            </w:pPr>
          </w:p>
        </w:tc>
      </w:tr>
      <w:tr w:rsidR="00903172" w14:paraId="753DF16F" w14:textId="77777777" w:rsidTr="00F556BC">
        <w:trPr>
          <w:trHeight w:val="113"/>
        </w:trPr>
        <w:tc>
          <w:tcPr>
            <w:tcW w:w="838" w:type="pct"/>
          </w:tcPr>
          <w:p w14:paraId="26E273F7" w14:textId="16195507" w:rsidR="00903172" w:rsidRPr="00076EDD" w:rsidRDefault="0018351C" w:rsidP="00903172">
            <w:pPr>
              <w:rPr>
                <w:sz w:val="18"/>
                <w:szCs w:val="18"/>
              </w:rPr>
            </w:pPr>
            <w:r>
              <w:rPr>
                <w:rFonts w:eastAsia="Times New Roman" w:cstheme="minorHAnsi"/>
                <w:sz w:val="18"/>
                <w:szCs w:val="18"/>
                <w:lang w:eastAsia="en-AU"/>
              </w:rPr>
              <w:t>3.0</w:t>
            </w:r>
            <w:r w:rsidR="00903172">
              <w:rPr>
                <w:rFonts w:eastAsia="Times New Roman" w:cstheme="minorHAnsi"/>
                <w:sz w:val="18"/>
                <w:szCs w:val="18"/>
                <w:lang w:eastAsia="en-AU"/>
              </w:rPr>
              <w:t>0pm – 3.</w:t>
            </w:r>
            <w:r>
              <w:rPr>
                <w:rFonts w:eastAsia="Times New Roman" w:cstheme="minorHAnsi"/>
                <w:sz w:val="18"/>
                <w:szCs w:val="18"/>
                <w:lang w:eastAsia="en-AU"/>
              </w:rPr>
              <w:t>1</w:t>
            </w:r>
            <w:r w:rsidR="00903172">
              <w:rPr>
                <w:rFonts w:eastAsia="Times New Roman" w:cstheme="minorHAnsi"/>
                <w:sz w:val="18"/>
                <w:szCs w:val="18"/>
                <w:lang w:eastAsia="en-AU"/>
              </w:rPr>
              <w:t>5pm</w:t>
            </w:r>
          </w:p>
        </w:tc>
        <w:tc>
          <w:tcPr>
            <w:tcW w:w="1559" w:type="pct"/>
          </w:tcPr>
          <w:p w14:paraId="5887A432" w14:textId="6AC8BFCA" w:rsidR="00903172" w:rsidRPr="00076EDD" w:rsidRDefault="00B84800" w:rsidP="00903172">
            <w:pPr>
              <w:pStyle w:val="ListParagraph"/>
              <w:numPr>
                <w:ilvl w:val="0"/>
                <w:numId w:val="5"/>
              </w:numPr>
              <w:spacing w:before="60" w:after="0" w:line="25" w:lineRule="atLeast"/>
              <w:contextualSpacing w:val="0"/>
              <w:rPr>
                <w:rFonts w:eastAsia="Times New Roman" w:cstheme="minorHAnsi"/>
                <w:b/>
                <w:sz w:val="18"/>
                <w:szCs w:val="18"/>
                <w:lang w:eastAsia="en-AU"/>
              </w:rPr>
            </w:pPr>
            <w:r>
              <w:rPr>
                <w:rFonts w:eastAsia="Times New Roman" w:cstheme="minorHAnsi"/>
                <w:b/>
                <w:sz w:val="18"/>
                <w:szCs w:val="18"/>
                <w:lang w:eastAsia="en-AU"/>
              </w:rPr>
              <w:t xml:space="preserve">Joint Review </w:t>
            </w:r>
          </w:p>
        </w:tc>
        <w:tc>
          <w:tcPr>
            <w:tcW w:w="2603" w:type="pct"/>
          </w:tcPr>
          <w:p w14:paraId="78627C0D" w14:textId="3CB6CA17" w:rsidR="00903172" w:rsidRPr="00076EDD" w:rsidRDefault="00903172" w:rsidP="00903172">
            <w:pPr>
              <w:spacing w:after="60" w:line="25" w:lineRule="atLeast"/>
              <w:rPr>
                <w:sz w:val="18"/>
                <w:szCs w:val="18"/>
              </w:rPr>
            </w:pPr>
            <w:r w:rsidRPr="00076EDD">
              <w:rPr>
                <w:rFonts w:eastAsia="Times New Roman" w:cstheme="minorHAnsi"/>
                <w:sz w:val="18"/>
                <w:szCs w:val="18"/>
                <w:lang w:eastAsia="en-AU"/>
              </w:rPr>
              <w:t>Brett Challans, Senior Director, Innovation Taxes, ATO</w:t>
            </w:r>
          </w:p>
        </w:tc>
      </w:tr>
      <w:tr w:rsidR="00903172" w14:paraId="26076C73" w14:textId="77777777" w:rsidTr="00F556BC">
        <w:trPr>
          <w:trHeight w:val="113"/>
        </w:trPr>
        <w:tc>
          <w:tcPr>
            <w:tcW w:w="838" w:type="pct"/>
          </w:tcPr>
          <w:p w14:paraId="3865222F" w14:textId="457C0E18" w:rsidR="00903172" w:rsidRDefault="00903172" w:rsidP="00903172">
            <w:pPr>
              <w:rPr>
                <w:rFonts w:eastAsia="Times New Roman" w:cstheme="minorHAnsi"/>
                <w:sz w:val="18"/>
                <w:szCs w:val="18"/>
                <w:lang w:eastAsia="en-AU"/>
              </w:rPr>
            </w:pPr>
            <w:r>
              <w:rPr>
                <w:rFonts w:eastAsia="Times New Roman" w:cstheme="minorHAnsi"/>
                <w:sz w:val="18"/>
                <w:szCs w:val="18"/>
                <w:lang w:eastAsia="en-AU"/>
              </w:rPr>
              <w:t>3.15pm – 3.55pm</w:t>
            </w:r>
          </w:p>
        </w:tc>
        <w:tc>
          <w:tcPr>
            <w:tcW w:w="1559" w:type="pct"/>
          </w:tcPr>
          <w:p w14:paraId="1ADD41C3" w14:textId="791D9819" w:rsidR="00903172" w:rsidRDefault="00903172" w:rsidP="00903172">
            <w:pPr>
              <w:pStyle w:val="ListParagraph"/>
              <w:numPr>
                <w:ilvl w:val="0"/>
                <w:numId w:val="5"/>
              </w:numPr>
              <w:spacing w:before="60" w:after="0" w:line="25" w:lineRule="atLeast"/>
              <w:contextualSpacing w:val="0"/>
              <w:rPr>
                <w:b/>
                <w:bCs/>
                <w:sz w:val="18"/>
                <w:szCs w:val="18"/>
              </w:rPr>
            </w:pPr>
            <w:r>
              <w:rPr>
                <w:b/>
                <w:bCs/>
                <w:sz w:val="18"/>
                <w:szCs w:val="18"/>
              </w:rPr>
              <w:t>Advance Findings Discussion</w:t>
            </w:r>
          </w:p>
        </w:tc>
        <w:tc>
          <w:tcPr>
            <w:tcW w:w="2603" w:type="pct"/>
          </w:tcPr>
          <w:p w14:paraId="3530A3C4" w14:textId="468B36CD" w:rsidR="00903172" w:rsidRDefault="00903172" w:rsidP="00903172">
            <w:pPr>
              <w:spacing w:after="60" w:line="25" w:lineRule="atLeast"/>
              <w:rPr>
                <w:rFonts w:eastAsia="Times New Roman" w:cstheme="minorHAnsi"/>
                <w:sz w:val="18"/>
                <w:szCs w:val="18"/>
                <w:lang w:eastAsia="en-AU"/>
              </w:rPr>
            </w:pPr>
            <w:r>
              <w:rPr>
                <w:rFonts w:eastAsia="Times New Roman" w:cstheme="minorHAnsi"/>
                <w:sz w:val="18"/>
                <w:szCs w:val="18"/>
                <w:lang w:eastAsia="en-AU"/>
              </w:rPr>
              <w:t xml:space="preserve">Tom Gilbert, Manager, National Assessment </w:t>
            </w:r>
          </w:p>
        </w:tc>
      </w:tr>
      <w:tr w:rsidR="00801B7B" w14:paraId="2A089B45" w14:textId="77777777" w:rsidTr="00F556BC">
        <w:trPr>
          <w:trHeight w:val="113"/>
        </w:trPr>
        <w:tc>
          <w:tcPr>
            <w:tcW w:w="838" w:type="pct"/>
          </w:tcPr>
          <w:p w14:paraId="2A1269F0" w14:textId="306E0593" w:rsidR="00801B7B" w:rsidRDefault="00801B7B" w:rsidP="00903172">
            <w:pPr>
              <w:rPr>
                <w:rFonts w:eastAsia="Times New Roman" w:cstheme="minorHAnsi"/>
                <w:sz w:val="18"/>
                <w:szCs w:val="18"/>
                <w:lang w:eastAsia="en-AU"/>
              </w:rPr>
            </w:pPr>
            <w:r>
              <w:rPr>
                <w:rFonts w:eastAsia="Times New Roman" w:cstheme="minorHAnsi"/>
                <w:sz w:val="18"/>
                <w:szCs w:val="18"/>
                <w:lang w:eastAsia="en-AU"/>
              </w:rPr>
              <w:t>3.55pm – 4.00pm</w:t>
            </w:r>
          </w:p>
        </w:tc>
        <w:tc>
          <w:tcPr>
            <w:tcW w:w="1559" w:type="pct"/>
          </w:tcPr>
          <w:p w14:paraId="1F76E864" w14:textId="73A36153" w:rsidR="00801B7B" w:rsidRDefault="00801B7B" w:rsidP="00903172">
            <w:pPr>
              <w:pStyle w:val="ListParagraph"/>
              <w:numPr>
                <w:ilvl w:val="0"/>
                <w:numId w:val="5"/>
              </w:numPr>
              <w:spacing w:before="60" w:after="0" w:line="25" w:lineRule="atLeast"/>
              <w:contextualSpacing w:val="0"/>
              <w:rPr>
                <w:b/>
                <w:bCs/>
                <w:sz w:val="18"/>
                <w:szCs w:val="18"/>
              </w:rPr>
            </w:pPr>
            <w:r>
              <w:rPr>
                <w:b/>
                <w:bCs/>
                <w:sz w:val="18"/>
                <w:szCs w:val="18"/>
              </w:rPr>
              <w:t>Meeting close</w:t>
            </w:r>
          </w:p>
        </w:tc>
        <w:tc>
          <w:tcPr>
            <w:tcW w:w="2603" w:type="pct"/>
          </w:tcPr>
          <w:p w14:paraId="2FBE13C1" w14:textId="4C76757D" w:rsidR="00801B7B" w:rsidRDefault="0047400E" w:rsidP="00903172">
            <w:pPr>
              <w:spacing w:after="60" w:line="25" w:lineRule="atLeast"/>
              <w:rPr>
                <w:rFonts w:eastAsia="Times New Roman" w:cstheme="minorHAnsi"/>
                <w:sz w:val="18"/>
                <w:szCs w:val="18"/>
                <w:lang w:eastAsia="en-AU"/>
              </w:rPr>
            </w:pPr>
            <w:r>
              <w:rPr>
                <w:rFonts w:eastAsia="Times New Roman" w:cstheme="minorHAnsi"/>
                <w:sz w:val="18"/>
                <w:szCs w:val="18"/>
                <w:lang w:eastAsia="en-AU"/>
              </w:rPr>
              <w:t xml:space="preserve">Facilitator </w:t>
            </w:r>
          </w:p>
        </w:tc>
      </w:tr>
    </w:tbl>
    <w:p w14:paraId="7361C0C7" w14:textId="77777777" w:rsidR="0018351C" w:rsidRDefault="0018351C" w:rsidP="00272C66">
      <w:pPr>
        <w:rPr>
          <w:highlight w:val="green"/>
        </w:rPr>
      </w:pPr>
      <w:bookmarkStart w:id="0" w:name="_1._Welcome_–"/>
      <w:bookmarkStart w:id="1" w:name="_Hlk147492060"/>
      <w:bookmarkEnd w:id="0"/>
    </w:p>
    <w:p w14:paraId="550F7E44" w14:textId="77777777" w:rsidR="0018351C" w:rsidRDefault="0018351C">
      <w:pPr>
        <w:rPr>
          <w:rFonts w:asciiTheme="majorHAnsi" w:eastAsiaTheme="majorEastAsia" w:hAnsiTheme="majorHAnsi" w:cstheme="majorBidi"/>
          <w:b/>
          <w:bCs/>
          <w:color w:val="264F90" w:themeColor="accent2"/>
          <w:sz w:val="22"/>
          <w:szCs w:val="22"/>
          <w:highlight w:val="green"/>
        </w:rPr>
      </w:pPr>
      <w:r>
        <w:rPr>
          <w:b/>
          <w:bCs/>
          <w:sz w:val="22"/>
          <w:szCs w:val="22"/>
          <w:highlight w:val="green"/>
        </w:rPr>
        <w:lastRenderedPageBreak/>
        <w:br w:type="page"/>
      </w:r>
    </w:p>
    <w:p w14:paraId="442AAE77" w14:textId="0D41AC47" w:rsidR="008A1D8F" w:rsidRDefault="008A1D8F" w:rsidP="006319F1">
      <w:pPr>
        <w:pStyle w:val="Bullet1"/>
        <w:numPr>
          <w:ilvl w:val="0"/>
          <w:numId w:val="0"/>
        </w:numPr>
        <w:ind w:left="284" w:hanging="284"/>
        <w:rPr>
          <w:b/>
          <w:color w:val="212A4C" w:themeColor="text2"/>
          <w:sz w:val="28"/>
          <w:szCs w:val="26"/>
        </w:rPr>
      </w:pPr>
      <w:r w:rsidRPr="00F556BC">
        <w:rPr>
          <w:b/>
          <w:color w:val="212A4C" w:themeColor="text2"/>
          <w:sz w:val="28"/>
          <w:szCs w:val="26"/>
        </w:rPr>
        <w:lastRenderedPageBreak/>
        <w:t>1.</w:t>
      </w:r>
      <w:r w:rsidR="00E27592">
        <w:rPr>
          <w:b/>
          <w:color w:val="212A4C" w:themeColor="text2"/>
          <w:sz w:val="28"/>
          <w:szCs w:val="26"/>
        </w:rPr>
        <w:t xml:space="preserve"> </w:t>
      </w:r>
      <w:r w:rsidRPr="00F556BC">
        <w:rPr>
          <w:b/>
          <w:color w:val="212A4C" w:themeColor="text2"/>
          <w:sz w:val="28"/>
          <w:szCs w:val="26"/>
        </w:rPr>
        <w:t xml:space="preserve">Welcome </w:t>
      </w:r>
    </w:p>
    <w:p w14:paraId="4EADA7A3" w14:textId="3016DCD7" w:rsidR="00E27592" w:rsidRDefault="00E27592" w:rsidP="00E27592">
      <w:pPr>
        <w:rPr>
          <w:color w:val="202020"/>
          <w:shd w:val="clear" w:color="auto" w:fill="FFFFFF"/>
        </w:rPr>
      </w:pPr>
      <w:r>
        <w:rPr>
          <w:color w:val="202020"/>
          <w:shd w:val="clear" w:color="auto" w:fill="FFFFFF"/>
        </w:rPr>
        <w:t>The meeting commenced with an Acknowledgement of Country and welcome to attendees.</w:t>
      </w:r>
      <w:r w:rsidRPr="00877C8D">
        <w:rPr>
          <w:color w:val="202020"/>
          <w:shd w:val="clear" w:color="auto" w:fill="FFFFFF"/>
        </w:rPr>
        <w:t xml:space="preserve"> </w:t>
      </w:r>
    </w:p>
    <w:p w14:paraId="7822FC25" w14:textId="5ADEF44B" w:rsidR="001C0B2E" w:rsidRPr="00877C8D" w:rsidRDefault="001C0B2E" w:rsidP="00E27592">
      <w:pPr>
        <w:rPr>
          <w:color w:val="202020"/>
          <w:shd w:val="clear" w:color="auto" w:fill="FFFFFF"/>
        </w:rPr>
      </w:pPr>
      <w:r>
        <w:t xml:space="preserve">The program update included with the agenda papers </w:t>
      </w:r>
      <w:r w:rsidRPr="00C12380">
        <w:rPr>
          <w:b/>
          <w:bCs/>
        </w:rPr>
        <w:t>(Attachment 1)</w:t>
      </w:r>
      <w:r>
        <w:t xml:space="preserve"> w</w:t>
      </w:r>
      <w:r w:rsidR="00F06E93">
        <w:t>as</w:t>
      </w:r>
      <w:r>
        <w:t xml:space="preserve"> taken as read.</w:t>
      </w:r>
    </w:p>
    <w:bookmarkEnd w:id="1"/>
    <w:p w14:paraId="1A3EF379" w14:textId="65FF3EE5" w:rsidR="005316F5" w:rsidRDefault="00FB2873" w:rsidP="005316F5">
      <w:pPr>
        <w:pStyle w:val="Heading2"/>
      </w:pPr>
      <w:r>
        <w:t>2.</w:t>
      </w:r>
      <w:r w:rsidR="005316F5" w:rsidRPr="005316F5">
        <w:t xml:space="preserve"> </w:t>
      </w:r>
      <w:r w:rsidR="005316F5">
        <w:t xml:space="preserve">ATO Insights </w:t>
      </w:r>
    </w:p>
    <w:p w14:paraId="05649812" w14:textId="02255449" w:rsidR="00A62573" w:rsidRPr="00A62573" w:rsidRDefault="00A62573" w:rsidP="00A62573">
      <w:r w:rsidRPr="00A62573">
        <w:t xml:space="preserve">The ATO </w:t>
      </w:r>
      <w:r w:rsidR="00901E94">
        <w:t>is</w:t>
      </w:r>
      <w:r w:rsidR="00901E94" w:rsidRPr="00A62573">
        <w:t xml:space="preserve"> </w:t>
      </w:r>
      <w:r w:rsidRPr="00A62573">
        <w:t>focussed on the tax transparency measure, where data related to the R&amp;DTI will be released</w:t>
      </w:r>
      <w:r w:rsidR="00901E94">
        <w:t xml:space="preserve"> publicly</w:t>
      </w:r>
      <w:r w:rsidRPr="00A62573">
        <w:t xml:space="preserve"> from September 2024. Communications have commenced and the ATO is developing an information sheet. This will ensure that all claimants are informed of the measure before it comes into effect and have had the opportunity to correct any errors in </w:t>
      </w:r>
      <w:r w:rsidR="006A26F0">
        <w:t>claims.</w:t>
      </w:r>
    </w:p>
    <w:p w14:paraId="486E979C" w14:textId="42F2E2B1" w:rsidR="006A26F0" w:rsidRDefault="00901E94" w:rsidP="006A26F0">
      <w:pPr>
        <w:spacing w:before="100" w:beforeAutospacing="1" w:after="100" w:afterAutospacing="1" w:line="240" w:lineRule="auto"/>
      </w:pPr>
      <w:r>
        <w:t>The ATO and DISR as</w:t>
      </w:r>
      <w:r w:rsidRPr="00A62573">
        <w:t xml:space="preserve"> </w:t>
      </w:r>
      <w:r w:rsidR="00A62573" w:rsidRPr="00A62573">
        <w:t xml:space="preserve">co-administrators are working together on a joint </w:t>
      </w:r>
      <w:r w:rsidR="00184C0A">
        <w:t>review</w:t>
      </w:r>
      <w:r w:rsidR="00A62573" w:rsidRPr="00A62573">
        <w:t xml:space="preserve"> which will </w:t>
      </w:r>
      <w:r w:rsidR="006A26F0">
        <w:t>provide vital information about the integrity of the program.</w:t>
      </w:r>
    </w:p>
    <w:p w14:paraId="1EDD8992" w14:textId="4C149E67" w:rsidR="00A62573" w:rsidRPr="00A62573" w:rsidRDefault="00B946A2" w:rsidP="00A62573">
      <w:r>
        <w:t>A p</w:t>
      </w:r>
      <w:r w:rsidR="00A62573">
        <w:t>u</w:t>
      </w:r>
      <w:r w:rsidR="00A62573" w:rsidRPr="00A62573">
        <w:t xml:space="preserve">blic advice and guidance program is in place for the next 12 months which will result in updated guidance being released. Members </w:t>
      </w:r>
      <w:r w:rsidR="003C4A69">
        <w:t>are</w:t>
      </w:r>
      <w:r w:rsidR="00A62573" w:rsidRPr="00A62573">
        <w:t xml:space="preserve"> encouraged to </w:t>
      </w:r>
      <w:r>
        <w:t>make submissions on</w:t>
      </w:r>
      <w:r w:rsidR="00A62573" w:rsidRPr="00A62573">
        <w:t xml:space="preserve"> areas </w:t>
      </w:r>
      <w:r>
        <w:t>where updated guidance would be most valuable.</w:t>
      </w:r>
    </w:p>
    <w:p w14:paraId="33F364C1" w14:textId="7FBE34FD" w:rsidR="00A62573" w:rsidRPr="00A62573" w:rsidRDefault="00A62573" w:rsidP="00A62573">
      <w:r w:rsidRPr="00A62573">
        <w:t>Guidance has recently been released clarifying R&amp;D</w:t>
      </w:r>
      <w:r w:rsidR="003C4A69">
        <w:t>TI</w:t>
      </w:r>
      <w:r w:rsidRPr="00A62573">
        <w:t xml:space="preserve"> program integrity rules and further communications are planned for the remainder of the 2023-24 financial year. </w:t>
      </w:r>
    </w:p>
    <w:p w14:paraId="1B6D1B3B" w14:textId="259CFB1F" w:rsidR="00A62573" w:rsidRPr="00A62573" w:rsidRDefault="00B946A2" w:rsidP="00A62573">
      <w:r>
        <w:t>The ATO noted that s</w:t>
      </w:r>
      <w:r w:rsidR="00A62573" w:rsidRPr="00A62573">
        <w:t xml:space="preserve">ome expenditure claims being made lack the required substantiation, resulting in a high number of voluntary disclosures when claims are reviewed. </w:t>
      </w:r>
    </w:p>
    <w:p w14:paraId="43BA551D" w14:textId="125A966D" w:rsidR="00A62573" w:rsidRDefault="00A62573" w:rsidP="00A62573">
      <w:pPr>
        <w:rPr>
          <w:rFonts w:cstheme="minorHAnsi"/>
        </w:rPr>
      </w:pPr>
      <w:r w:rsidRPr="00A62573">
        <w:rPr>
          <w:rFonts w:cstheme="minorHAnsi"/>
        </w:rPr>
        <w:t>R&amp;D entities may be under the impression that registering activities with DISR means they are automatically entitled to an R&amp;D offset. However, claiming is a two-step process and evidence is also required to support the expenditure. The ATO will monitor expenditure and request to see this evidence if risk criteria are met.</w:t>
      </w:r>
      <w:r w:rsidRPr="003F2119">
        <w:rPr>
          <w:rFonts w:cstheme="minorHAnsi"/>
        </w:rPr>
        <w:t xml:space="preserve"> </w:t>
      </w:r>
    </w:p>
    <w:p w14:paraId="3BAC75B1" w14:textId="0261E751" w:rsidR="0048137A" w:rsidRDefault="005316F5" w:rsidP="00FB2873">
      <w:pPr>
        <w:pStyle w:val="Heading2"/>
        <w:tabs>
          <w:tab w:val="left" w:pos="284"/>
        </w:tabs>
      </w:pPr>
      <w:r>
        <w:t xml:space="preserve">3. </w:t>
      </w:r>
      <w:r w:rsidR="00764DA6">
        <w:t>DISR</w:t>
      </w:r>
      <w:r w:rsidR="00D60D1B">
        <w:t xml:space="preserve"> </w:t>
      </w:r>
      <w:r w:rsidR="00901E94">
        <w:t>I</w:t>
      </w:r>
      <w:r w:rsidR="00150EFE">
        <w:t xml:space="preserve">nsights </w:t>
      </w:r>
    </w:p>
    <w:p w14:paraId="568F89A0" w14:textId="7BE132E5" w:rsidR="00157EFE" w:rsidRDefault="005316F5" w:rsidP="00157EFE">
      <w:pPr>
        <w:pStyle w:val="Heading3"/>
      </w:pPr>
      <w:bookmarkStart w:id="2" w:name="_AusIndustry_Insights_–"/>
      <w:bookmarkStart w:id="3" w:name="_2.1_Customer_Portal"/>
      <w:bookmarkEnd w:id="2"/>
      <w:bookmarkEnd w:id="3"/>
      <w:r>
        <w:t>3</w:t>
      </w:r>
      <w:r w:rsidR="00054504">
        <w:t xml:space="preserve">.1 </w:t>
      </w:r>
      <w:r w:rsidR="00157EFE">
        <w:t xml:space="preserve">Customer </w:t>
      </w:r>
      <w:r w:rsidR="00150EFE">
        <w:t xml:space="preserve">portal </w:t>
      </w:r>
    </w:p>
    <w:p w14:paraId="7C96AF91" w14:textId="32F0F92C" w:rsidR="000E3A39" w:rsidRPr="00616154" w:rsidRDefault="000E3A39" w:rsidP="00616154">
      <w:pPr>
        <w:rPr>
          <w:color w:val="202020"/>
          <w:shd w:val="clear" w:color="auto" w:fill="FFFFFF"/>
        </w:rPr>
      </w:pPr>
      <w:r w:rsidRPr="00616154">
        <w:rPr>
          <w:color w:val="202020"/>
          <w:shd w:val="clear" w:color="auto" w:fill="FFFFFF"/>
        </w:rPr>
        <w:t xml:space="preserve">Work is underway to establish a forward plan to prioritise future system enhancements for the </w:t>
      </w:r>
      <w:r w:rsidR="003C4A69">
        <w:rPr>
          <w:color w:val="202020"/>
          <w:shd w:val="clear" w:color="auto" w:fill="FFFFFF"/>
        </w:rPr>
        <w:t xml:space="preserve">customer </w:t>
      </w:r>
      <w:r w:rsidRPr="00616154">
        <w:rPr>
          <w:color w:val="202020"/>
          <w:shd w:val="clear" w:color="auto" w:fill="FFFFFF"/>
        </w:rPr>
        <w:t>portal</w:t>
      </w:r>
      <w:r w:rsidR="00E27592" w:rsidRPr="00616154">
        <w:rPr>
          <w:color w:val="202020"/>
          <w:shd w:val="clear" w:color="auto" w:fill="FFFFFF"/>
        </w:rPr>
        <w:t xml:space="preserve">, focussing on the needs of program users. </w:t>
      </w:r>
      <w:r w:rsidRPr="00616154">
        <w:rPr>
          <w:color w:val="202020"/>
          <w:shd w:val="clear" w:color="auto" w:fill="FFFFFF"/>
        </w:rPr>
        <w:t xml:space="preserve"> </w:t>
      </w:r>
    </w:p>
    <w:p w14:paraId="2A0F1E19" w14:textId="6193CAA6" w:rsidR="0018351C" w:rsidRPr="00616154" w:rsidRDefault="008828C0" w:rsidP="00616154">
      <w:pPr>
        <w:rPr>
          <w:color w:val="202020"/>
          <w:shd w:val="clear" w:color="auto" w:fill="FFFFFF"/>
        </w:rPr>
      </w:pPr>
      <w:r>
        <w:rPr>
          <w:color w:val="202020"/>
          <w:shd w:val="clear" w:color="auto" w:fill="FFFFFF"/>
        </w:rPr>
        <w:t>In the immediate period, t</w:t>
      </w:r>
      <w:r w:rsidR="0018351C" w:rsidRPr="00616154">
        <w:rPr>
          <w:color w:val="202020"/>
          <w:shd w:val="clear" w:color="auto" w:fill="FFFFFF"/>
        </w:rPr>
        <w:t>he A</w:t>
      </w:r>
      <w:r w:rsidR="00E27592" w:rsidRPr="00616154">
        <w:rPr>
          <w:color w:val="202020"/>
          <w:shd w:val="clear" w:color="auto" w:fill="FFFFFF"/>
        </w:rPr>
        <w:t xml:space="preserve">dvance and </w:t>
      </w:r>
      <w:r w:rsidR="0018351C" w:rsidRPr="00616154">
        <w:rPr>
          <w:color w:val="202020"/>
          <w:shd w:val="clear" w:color="auto" w:fill="FFFFFF"/>
        </w:rPr>
        <w:t>O</w:t>
      </w:r>
      <w:r w:rsidR="00E27592" w:rsidRPr="00616154">
        <w:rPr>
          <w:color w:val="202020"/>
          <w:shd w:val="clear" w:color="auto" w:fill="FFFFFF"/>
        </w:rPr>
        <w:t xml:space="preserve">verseas </w:t>
      </w:r>
      <w:r w:rsidR="0018351C" w:rsidRPr="00616154">
        <w:rPr>
          <w:color w:val="202020"/>
          <w:shd w:val="clear" w:color="auto" w:fill="FFFFFF"/>
        </w:rPr>
        <w:t>F</w:t>
      </w:r>
      <w:r w:rsidR="00E27592" w:rsidRPr="00616154">
        <w:rPr>
          <w:color w:val="202020"/>
          <w:shd w:val="clear" w:color="auto" w:fill="FFFFFF"/>
        </w:rPr>
        <w:t>inding</w:t>
      </w:r>
      <w:r w:rsidR="0018351C" w:rsidRPr="00616154">
        <w:rPr>
          <w:color w:val="202020"/>
          <w:shd w:val="clear" w:color="auto" w:fill="FFFFFF"/>
        </w:rPr>
        <w:t xml:space="preserve"> form is being redeveloped to address stakeholder feedback and ANAO recommendations. The </w:t>
      </w:r>
      <w:r w:rsidR="00E27592" w:rsidRPr="00616154">
        <w:rPr>
          <w:color w:val="202020"/>
          <w:shd w:val="clear" w:color="auto" w:fill="FFFFFF"/>
        </w:rPr>
        <w:t xml:space="preserve">updated form will be live from 1 July 2024 and will </w:t>
      </w:r>
      <w:r w:rsidR="0018351C" w:rsidRPr="00616154">
        <w:rPr>
          <w:color w:val="202020"/>
          <w:shd w:val="clear" w:color="auto" w:fill="FFFFFF"/>
        </w:rPr>
        <w:t xml:space="preserve">gather more information upfront </w:t>
      </w:r>
      <w:r w:rsidR="00E27592" w:rsidRPr="00616154">
        <w:rPr>
          <w:color w:val="202020"/>
          <w:shd w:val="clear" w:color="auto" w:fill="FFFFFF"/>
        </w:rPr>
        <w:t>to reduce</w:t>
      </w:r>
      <w:r w:rsidR="0018351C" w:rsidRPr="00616154">
        <w:rPr>
          <w:color w:val="202020"/>
          <w:shd w:val="clear" w:color="auto" w:fill="FFFFFF"/>
        </w:rPr>
        <w:t xml:space="preserve"> assessment timeframes</w:t>
      </w:r>
      <w:r w:rsidR="00E27592" w:rsidRPr="00616154">
        <w:rPr>
          <w:color w:val="202020"/>
          <w:shd w:val="clear" w:color="auto" w:fill="FFFFFF"/>
        </w:rPr>
        <w:t>.</w:t>
      </w:r>
    </w:p>
    <w:p w14:paraId="111707EF" w14:textId="64C90613" w:rsidR="001C0B2E" w:rsidRDefault="0018351C" w:rsidP="00616154">
      <w:pPr>
        <w:rPr>
          <w:color w:val="202020"/>
          <w:shd w:val="clear" w:color="auto" w:fill="FFFFFF"/>
        </w:rPr>
      </w:pPr>
      <w:r w:rsidRPr="00616154">
        <w:rPr>
          <w:color w:val="202020"/>
          <w:shd w:val="clear" w:color="auto" w:fill="FFFFFF"/>
        </w:rPr>
        <w:t xml:space="preserve">A targeted stakeholder consultation process occurred with businesses and tax </w:t>
      </w:r>
      <w:r w:rsidR="008828C0">
        <w:rPr>
          <w:color w:val="202020"/>
          <w:shd w:val="clear" w:color="auto" w:fill="FFFFFF"/>
        </w:rPr>
        <w:t>consultants</w:t>
      </w:r>
      <w:r w:rsidR="008828C0" w:rsidRPr="00616154">
        <w:rPr>
          <w:color w:val="202020"/>
          <w:shd w:val="clear" w:color="auto" w:fill="FFFFFF"/>
        </w:rPr>
        <w:t xml:space="preserve"> </w:t>
      </w:r>
      <w:r w:rsidRPr="00616154">
        <w:rPr>
          <w:color w:val="202020"/>
          <w:shd w:val="clear" w:color="auto" w:fill="FFFFFF"/>
        </w:rPr>
        <w:t>that have</w:t>
      </w:r>
      <w:r w:rsidR="008828C0">
        <w:rPr>
          <w:color w:val="202020"/>
          <w:shd w:val="clear" w:color="auto" w:fill="FFFFFF"/>
        </w:rPr>
        <w:t xml:space="preserve"> previously</w:t>
      </w:r>
      <w:r w:rsidRPr="00616154">
        <w:rPr>
          <w:color w:val="202020"/>
          <w:shd w:val="clear" w:color="auto" w:fill="FFFFFF"/>
        </w:rPr>
        <w:t xml:space="preserve"> used the form. </w:t>
      </w:r>
    </w:p>
    <w:p w14:paraId="7758FA94" w14:textId="006DD87E" w:rsidR="0018351C" w:rsidRPr="00616154" w:rsidRDefault="0018351C" w:rsidP="00616154">
      <w:pPr>
        <w:rPr>
          <w:color w:val="202020"/>
          <w:shd w:val="clear" w:color="auto" w:fill="FFFFFF"/>
        </w:rPr>
      </w:pPr>
      <w:r w:rsidRPr="00616154">
        <w:rPr>
          <w:color w:val="202020"/>
          <w:shd w:val="clear" w:color="auto" w:fill="FFFFFF"/>
        </w:rPr>
        <w:t>The scope of the project is restricted to redeveloping the form</w:t>
      </w:r>
      <w:r w:rsidR="00E27592" w:rsidRPr="00616154">
        <w:rPr>
          <w:color w:val="202020"/>
          <w:shd w:val="clear" w:color="auto" w:fill="FFFFFF"/>
        </w:rPr>
        <w:t xml:space="preserve">, </w:t>
      </w:r>
      <w:r w:rsidRPr="00616154">
        <w:rPr>
          <w:color w:val="202020"/>
          <w:shd w:val="clear" w:color="auto" w:fill="FFFFFF"/>
        </w:rPr>
        <w:t xml:space="preserve">funding for the project does not extend to further enhancements such as automation. </w:t>
      </w:r>
    </w:p>
    <w:p w14:paraId="7424882C" w14:textId="65A1E5FF" w:rsidR="00701098" w:rsidRDefault="00701098" w:rsidP="00CF112B">
      <w:pPr>
        <w:pStyle w:val="Heading3"/>
        <w:numPr>
          <w:ilvl w:val="1"/>
          <w:numId w:val="7"/>
        </w:numPr>
      </w:pPr>
      <w:r>
        <w:t xml:space="preserve">Advance Finding </w:t>
      </w:r>
      <w:r w:rsidR="0083399F">
        <w:t xml:space="preserve">software </w:t>
      </w:r>
      <w:r w:rsidR="00150EFE">
        <w:t>pilot</w:t>
      </w:r>
      <w:r w:rsidR="001C7CEE">
        <w:t xml:space="preserve"> </w:t>
      </w:r>
    </w:p>
    <w:p w14:paraId="5B03989F" w14:textId="78E910F9" w:rsidR="003050CB" w:rsidRPr="00616154" w:rsidRDefault="00E27592" w:rsidP="00616154">
      <w:pPr>
        <w:rPr>
          <w:color w:val="202020"/>
          <w:shd w:val="clear" w:color="auto" w:fill="FFFFFF"/>
        </w:rPr>
      </w:pPr>
      <w:r w:rsidRPr="00616154">
        <w:rPr>
          <w:color w:val="202020"/>
          <w:shd w:val="clear" w:color="auto" w:fill="FFFFFF"/>
        </w:rPr>
        <w:t xml:space="preserve">The objective of this pilot, which has now concluded, </w:t>
      </w:r>
      <w:r w:rsidR="003050CB" w:rsidRPr="00616154">
        <w:rPr>
          <w:color w:val="202020"/>
          <w:shd w:val="clear" w:color="auto" w:fill="FFFFFF"/>
        </w:rPr>
        <w:t xml:space="preserve">was to demonstrate the benefits of advance findings for software companies and to determine the effectiveness of small group consultation sessions for companies looking to apply for an advance finding. </w:t>
      </w:r>
    </w:p>
    <w:p w14:paraId="3402FAE2" w14:textId="77777777" w:rsidR="003050CB" w:rsidRPr="00616154" w:rsidRDefault="003050CB" w:rsidP="00616154">
      <w:pPr>
        <w:rPr>
          <w:color w:val="202020"/>
          <w:shd w:val="clear" w:color="auto" w:fill="FFFFFF"/>
        </w:rPr>
      </w:pPr>
      <w:r w:rsidRPr="00616154">
        <w:rPr>
          <w:color w:val="202020"/>
          <w:shd w:val="clear" w:color="auto" w:fill="FFFFFF"/>
        </w:rPr>
        <w:t>Seven applications were assessed following the pilot, with all deemed eligible, assuring eligibility for three years.</w:t>
      </w:r>
    </w:p>
    <w:p w14:paraId="0231C80C" w14:textId="31A14328" w:rsidR="001713FB" w:rsidRPr="00616154" w:rsidRDefault="001713FB" w:rsidP="00616154">
      <w:pPr>
        <w:rPr>
          <w:color w:val="202020"/>
          <w:shd w:val="clear" w:color="auto" w:fill="FFFFFF"/>
        </w:rPr>
      </w:pPr>
      <w:r w:rsidRPr="00616154">
        <w:rPr>
          <w:color w:val="202020"/>
          <w:shd w:val="clear" w:color="auto" w:fill="FFFFFF"/>
        </w:rPr>
        <w:lastRenderedPageBreak/>
        <w:t>The average assessment timeframe for these advance findings was 28 business days</w:t>
      </w:r>
      <w:r w:rsidR="00E27592" w:rsidRPr="00616154">
        <w:rPr>
          <w:color w:val="202020"/>
          <w:shd w:val="clear" w:color="auto" w:fill="FFFFFF"/>
        </w:rPr>
        <w:t>.</w:t>
      </w:r>
    </w:p>
    <w:p w14:paraId="5C0C459A" w14:textId="0F014620" w:rsidR="00CC6401" w:rsidRDefault="005316F5" w:rsidP="008A1D8F">
      <w:pPr>
        <w:pStyle w:val="Heading3"/>
      </w:pPr>
      <w:r>
        <w:t>3</w:t>
      </w:r>
      <w:r w:rsidR="00701098">
        <w:t xml:space="preserve">.3 </w:t>
      </w:r>
      <w:r w:rsidR="00054504" w:rsidRPr="00054504">
        <w:t xml:space="preserve">Registrations </w:t>
      </w:r>
      <w:r>
        <w:t>insights</w:t>
      </w:r>
      <w:r w:rsidR="00150EFE" w:rsidRPr="00054504">
        <w:t xml:space="preserve"> </w:t>
      </w:r>
    </w:p>
    <w:p w14:paraId="16967393" w14:textId="5298804F" w:rsidR="001570EC" w:rsidRPr="00616154" w:rsidRDefault="00A271F8" w:rsidP="00616154">
      <w:pPr>
        <w:rPr>
          <w:color w:val="202020"/>
          <w:shd w:val="clear" w:color="auto" w:fill="FFFFFF"/>
        </w:rPr>
      </w:pPr>
      <w:r w:rsidRPr="00616154">
        <w:rPr>
          <w:color w:val="202020"/>
          <w:shd w:val="clear" w:color="auto" w:fill="FFFFFF"/>
        </w:rPr>
        <w:t>A</w:t>
      </w:r>
      <w:r w:rsidR="001C0B2E">
        <w:rPr>
          <w:color w:val="202020"/>
          <w:shd w:val="clear" w:color="auto" w:fill="FFFFFF"/>
        </w:rPr>
        <w:t>s of</w:t>
      </w:r>
      <w:r w:rsidRPr="00616154">
        <w:rPr>
          <w:color w:val="202020"/>
          <w:shd w:val="clear" w:color="auto" w:fill="FFFFFF"/>
        </w:rPr>
        <w:t xml:space="preserve"> </w:t>
      </w:r>
      <w:r w:rsidR="001570EC" w:rsidRPr="00616154">
        <w:rPr>
          <w:color w:val="202020"/>
          <w:shd w:val="clear" w:color="auto" w:fill="FFFFFF"/>
        </w:rPr>
        <w:t>31 August 2023, 12,943 applications had been registered</w:t>
      </w:r>
      <w:r w:rsidRPr="00616154">
        <w:rPr>
          <w:color w:val="202020"/>
          <w:shd w:val="clear" w:color="auto" w:fill="FFFFFF"/>
        </w:rPr>
        <w:t xml:space="preserve"> for the 2021-22 financial year, </w:t>
      </w:r>
      <w:r w:rsidR="005B33A0" w:rsidRPr="00616154">
        <w:rPr>
          <w:color w:val="202020"/>
          <w:shd w:val="clear" w:color="auto" w:fill="FFFFFF"/>
        </w:rPr>
        <w:t>a 4% increase compared</w:t>
      </w:r>
      <w:r w:rsidR="001570EC" w:rsidRPr="00616154">
        <w:rPr>
          <w:color w:val="202020"/>
          <w:shd w:val="clear" w:color="auto" w:fill="FFFFFF"/>
        </w:rPr>
        <w:t xml:space="preserve"> to the previous financial year.</w:t>
      </w:r>
    </w:p>
    <w:p w14:paraId="0B76A102" w14:textId="379443A8" w:rsidR="00782335" w:rsidRPr="00616154" w:rsidRDefault="00782335" w:rsidP="00616154">
      <w:pPr>
        <w:rPr>
          <w:color w:val="202020"/>
          <w:shd w:val="clear" w:color="auto" w:fill="FFFFFF"/>
        </w:rPr>
      </w:pPr>
      <w:r w:rsidRPr="00616154">
        <w:rPr>
          <w:color w:val="202020"/>
          <w:shd w:val="clear" w:color="auto" w:fill="FFFFFF"/>
        </w:rPr>
        <w:t>Registrations in th</w:t>
      </w:r>
      <w:r w:rsidR="00A271F8" w:rsidRPr="00616154">
        <w:rPr>
          <w:color w:val="202020"/>
          <w:shd w:val="clear" w:color="auto" w:fill="FFFFFF"/>
        </w:rPr>
        <w:t>e Professional, Scientific and Technical Services</w:t>
      </w:r>
      <w:r w:rsidRPr="00616154">
        <w:rPr>
          <w:color w:val="202020"/>
          <w:shd w:val="clear" w:color="auto" w:fill="FFFFFF"/>
        </w:rPr>
        <w:t xml:space="preserve"> </w:t>
      </w:r>
      <w:r w:rsidR="00A271F8" w:rsidRPr="00616154">
        <w:rPr>
          <w:color w:val="202020"/>
          <w:shd w:val="clear" w:color="auto" w:fill="FFFFFF"/>
        </w:rPr>
        <w:t xml:space="preserve">accounted for approximately one-third of total registrations. This is a 12% increase on the previous financial year. </w:t>
      </w:r>
    </w:p>
    <w:p w14:paraId="1627A233" w14:textId="66A96344" w:rsidR="001C0B2E" w:rsidRDefault="00A271F8" w:rsidP="00616154">
      <w:pPr>
        <w:rPr>
          <w:color w:val="202020"/>
          <w:shd w:val="clear" w:color="auto" w:fill="FFFFFF"/>
        </w:rPr>
      </w:pPr>
      <w:r w:rsidRPr="00616154">
        <w:rPr>
          <w:color w:val="202020"/>
          <w:shd w:val="clear" w:color="auto" w:fill="FFFFFF"/>
        </w:rPr>
        <w:t>S</w:t>
      </w:r>
      <w:r w:rsidR="005B33A0" w:rsidRPr="00616154">
        <w:rPr>
          <w:color w:val="202020"/>
          <w:shd w:val="clear" w:color="auto" w:fill="FFFFFF"/>
        </w:rPr>
        <w:t>ervice level agreements</w:t>
      </w:r>
      <w:r w:rsidRPr="00616154">
        <w:rPr>
          <w:color w:val="202020"/>
          <w:shd w:val="clear" w:color="auto" w:fill="FFFFFF"/>
        </w:rPr>
        <w:t xml:space="preserve"> </w:t>
      </w:r>
      <w:r w:rsidR="005B33A0" w:rsidRPr="00616154">
        <w:rPr>
          <w:color w:val="202020"/>
          <w:shd w:val="clear" w:color="auto" w:fill="FFFFFF"/>
        </w:rPr>
        <w:t>were met for the 2021-22 income year</w:t>
      </w:r>
      <w:r w:rsidR="001C0B2E">
        <w:rPr>
          <w:color w:val="202020"/>
          <w:shd w:val="clear" w:color="auto" w:fill="FFFFFF"/>
        </w:rPr>
        <w:t>, this means</w:t>
      </w:r>
      <w:r w:rsidR="00AD557F">
        <w:rPr>
          <w:color w:val="202020"/>
          <w:shd w:val="clear" w:color="auto" w:fill="FFFFFF"/>
        </w:rPr>
        <w:t xml:space="preserve"> </w:t>
      </w:r>
      <w:r w:rsidR="001C0B2E" w:rsidRPr="00616154">
        <w:rPr>
          <w:color w:val="202020"/>
          <w:shd w:val="clear" w:color="auto" w:fill="FFFFFF"/>
        </w:rPr>
        <w:t>95% of applications were processed within</w:t>
      </w:r>
      <w:r w:rsidR="001C0B2E">
        <w:rPr>
          <w:color w:val="202020"/>
          <w:shd w:val="clear" w:color="auto" w:fill="FFFFFF"/>
        </w:rPr>
        <w:t>:</w:t>
      </w:r>
    </w:p>
    <w:p w14:paraId="04EE70DC" w14:textId="7E0D7570" w:rsidR="001C0B2E" w:rsidRPr="001C0B2E" w:rsidRDefault="005B33A0" w:rsidP="001C0B2E">
      <w:pPr>
        <w:pStyle w:val="ListParagraph"/>
        <w:numPr>
          <w:ilvl w:val="0"/>
          <w:numId w:val="19"/>
        </w:numPr>
        <w:rPr>
          <w:color w:val="202020"/>
          <w:shd w:val="clear" w:color="auto" w:fill="FFFFFF"/>
        </w:rPr>
      </w:pPr>
      <w:r w:rsidRPr="001C0B2E">
        <w:rPr>
          <w:color w:val="202020"/>
          <w:shd w:val="clear" w:color="auto" w:fill="FFFFFF"/>
        </w:rPr>
        <w:t>40 business days for first-time registrants</w:t>
      </w:r>
    </w:p>
    <w:p w14:paraId="1BE056FB" w14:textId="655F3F9F" w:rsidR="001C0B2E" w:rsidRPr="001C0B2E" w:rsidRDefault="005B33A0" w:rsidP="001C0B2E">
      <w:pPr>
        <w:pStyle w:val="ListParagraph"/>
        <w:numPr>
          <w:ilvl w:val="0"/>
          <w:numId w:val="19"/>
        </w:numPr>
        <w:rPr>
          <w:color w:val="202020"/>
          <w:shd w:val="clear" w:color="auto" w:fill="FFFFFF"/>
        </w:rPr>
      </w:pPr>
      <w:r w:rsidRPr="001C0B2E">
        <w:rPr>
          <w:color w:val="202020"/>
          <w:shd w:val="clear" w:color="auto" w:fill="FFFFFF"/>
        </w:rPr>
        <w:t>20 business days for registrants that applied within 6 months after the end of the income period</w:t>
      </w:r>
    </w:p>
    <w:p w14:paraId="2EEA4186" w14:textId="75CC631C" w:rsidR="00B73318" w:rsidRPr="001C0B2E" w:rsidRDefault="005B33A0" w:rsidP="001C0B2E">
      <w:pPr>
        <w:pStyle w:val="ListParagraph"/>
        <w:numPr>
          <w:ilvl w:val="0"/>
          <w:numId w:val="19"/>
        </w:numPr>
        <w:rPr>
          <w:color w:val="202020"/>
          <w:shd w:val="clear" w:color="auto" w:fill="FFFFFF"/>
        </w:rPr>
      </w:pPr>
      <w:r w:rsidRPr="001C0B2E">
        <w:rPr>
          <w:color w:val="202020"/>
          <w:shd w:val="clear" w:color="auto" w:fill="FFFFFF"/>
        </w:rPr>
        <w:t>80 business days for applications submitted from 6 to 10 months after the end of the income perio</w:t>
      </w:r>
      <w:r w:rsidR="001C0B2E" w:rsidRPr="001C0B2E">
        <w:rPr>
          <w:color w:val="202020"/>
          <w:shd w:val="clear" w:color="auto" w:fill="FFFFFF"/>
        </w:rPr>
        <w:t>d</w:t>
      </w:r>
      <w:r w:rsidR="00D547E6">
        <w:rPr>
          <w:color w:val="202020"/>
          <w:shd w:val="clear" w:color="auto" w:fill="FFFFFF"/>
        </w:rPr>
        <w:t>.</w:t>
      </w:r>
    </w:p>
    <w:p w14:paraId="53B7511B" w14:textId="50AFA9E6" w:rsidR="00F550B3" w:rsidRPr="00616154" w:rsidRDefault="00A271F8" w:rsidP="00616154">
      <w:pPr>
        <w:rPr>
          <w:color w:val="202020"/>
          <w:shd w:val="clear" w:color="auto" w:fill="FFFFFF"/>
        </w:rPr>
      </w:pPr>
      <w:r w:rsidRPr="00616154">
        <w:rPr>
          <w:color w:val="202020"/>
          <w:shd w:val="clear" w:color="auto" w:fill="FFFFFF"/>
        </w:rPr>
        <w:t xml:space="preserve">Key points related to </w:t>
      </w:r>
      <w:r w:rsidR="00F550B3" w:rsidRPr="00616154">
        <w:rPr>
          <w:color w:val="202020"/>
          <w:shd w:val="clear" w:color="auto" w:fill="FFFFFF"/>
        </w:rPr>
        <w:t>time extension requests</w:t>
      </w:r>
      <w:r w:rsidRPr="00616154">
        <w:rPr>
          <w:color w:val="202020"/>
          <w:shd w:val="clear" w:color="auto" w:fill="FFFFFF"/>
        </w:rPr>
        <w:t>:</w:t>
      </w:r>
    </w:p>
    <w:p w14:paraId="4F5FF31D" w14:textId="77777777" w:rsidR="00A271F8" w:rsidRPr="00616154" w:rsidRDefault="00A271F8" w:rsidP="00616154">
      <w:pPr>
        <w:pStyle w:val="ListParagraph"/>
        <w:numPr>
          <w:ilvl w:val="0"/>
          <w:numId w:val="17"/>
        </w:numPr>
        <w:rPr>
          <w:color w:val="202020"/>
          <w:shd w:val="clear" w:color="auto" w:fill="FFFFFF"/>
        </w:rPr>
      </w:pPr>
      <w:r w:rsidRPr="00616154">
        <w:rPr>
          <w:color w:val="202020"/>
          <w:shd w:val="clear" w:color="auto" w:fill="FFFFFF"/>
        </w:rPr>
        <w:t>T</w:t>
      </w:r>
      <w:r w:rsidR="00B73318" w:rsidRPr="00616154">
        <w:rPr>
          <w:color w:val="202020"/>
          <w:shd w:val="clear" w:color="auto" w:fill="FFFFFF"/>
        </w:rPr>
        <w:t xml:space="preserve">ime extension requests can be approved for up to 92 days after the statutory deadline. </w:t>
      </w:r>
    </w:p>
    <w:p w14:paraId="0710EE68" w14:textId="42EEC64F" w:rsidR="00F550B3" w:rsidRPr="00616154" w:rsidRDefault="00B73318" w:rsidP="00616154">
      <w:pPr>
        <w:pStyle w:val="ListParagraph"/>
        <w:numPr>
          <w:ilvl w:val="0"/>
          <w:numId w:val="17"/>
        </w:numPr>
        <w:rPr>
          <w:color w:val="202020"/>
          <w:shd w:val="clear" w:color="auto" w:fill="FFFFFF"/>
        </w:rPr>
      </w:pPr>
      <w:r w:rsidRPr="00616154">
        <w:rPr>
          <w:color w:val="202020"/>
          <w:shd w:val="clear" w:color="auto" w:fill="FFFFFF"/>
        </w:rPr>
        <w:t xml:space="preserve">Requests can only be submitted and processed through the customer portal; any requests submitted via email cannot be approved.  </w:t>
      </w:r>
    </w:p>
    <w:p w14:paraId="29BDADCF" w14:textId="6241FA30" w:rsidR="001570EC" w:rsidRPr="00616154" w:rsidRDefault="004479E7" w:rsidP="00616154">
      <w:pPr>
        <w:pStyle w:val="ListParagraph"/>
        <w:numPr>
          <w:ilvl w:val="0"/>
          <w:numId w:val="17"/>
        </w:numPr>
        <w:rPr>
          <w:color w:val="202020"/>
          <w:shd w:val="clear" w:color="auto" w:fill="FFFFFF"/>
        </w:rPr>
      </w:pPr>
      <w:r w:rsidRPr="00616154">
        <w:rPr>
          <w:color w:val="202020"/>
          <w:shd w:val="clear" w:color="auto" w:fill="FFFFFF"/>
        </w:rPr>
        <w:t>A</w:t>
      </w:r>
      <w:r w:rsidR="00B73318" w:rsidRPr="00616154">
        <w:rPr>
          <w:color w:val="202020"/>
          <w:shd w:val="clear" w:color="auto" w:fill="FFFFFF"/>
        </w:rPr>
        <w:t xml:space="preserve"> 14-day extension is granted to all applicants</w:t>
      </w:r>
      <w:r w:rsidRPr="00616154">
        <w:rPr>
          <w:color w:val="202020"/>
          <w:shd w:val="clear" w:color="auto" w:fill="FFFFFF"/>
        </w:rPr>
        <w:t xml:space="preserve"> unless otherwise requested</w:t>
      </w:r>
      <w:r w:rsidR="00B73318" w:rsidRPr="00616154">
        <w:rPr>
          <w:color w:val="202020"/>
          <w:shd w:val="clear" w:color="auto" w:fill="FFFFFF"/>
        </w:rPr>
        <w:t xml:space="preserve">. If </w:t>
      </w:r>
      <w:r w:rsidRPr="00616154">
        <w:rPr>
          <w:color w:val="202020"/>
          <w:shd w:val="clear" w:color="auto" w:fill="FFFFFF"/>
        </w:rPr>
        <w:t xml:space="preserve">a longer extension is required, this information must be included within the request. </w:t>
      </w:r>
    </w:p>
    <w:p w14:paraId="1B487E00" w14:textId="2B76B61A" w:rsidR="009052AB" w:rsidRPr="00616154" w:rsidRDefault="00A271F8" w:rsidP="00616154">
      <w:pPr>
        <w:rPr>
          <w:color w:val="202020"/>
          <w:shd w:val="clear" w:color="auto" w:fill="FFFFFF"/>
        </w:rPr>
      </w:pPr>
      <w:r w:rsidRPr="00616154">
        <w:rPr>
          <w:color w:val="202020"/>
          <w:shd w:val="clear" w:color="auto" w:fill="FFFFFF"/>
        </w:rPr>
        <w:t>Research Service Provider</w:t>
      </w:r>
      <w:r w:rsidR="004479E7" w:rsidRPr="00616154">
        <w:rPr>
          <w:color w:val="202020"/>
          <w:shd w:val="clear" w:color="auto" w:fill="FFFFFF"/>
        </w:rPr>
        <w:t xml:space="preserve"> (RSP)</w:t>
      </w:r>
      <w:r w:rsidR="008312E9" w:rsidRPr="00616154">
        <w:rPr>
          <w:color w:val="202020"/>
          <w:shd w:val="clear" w:color="auto" w:fill="FFFFFF"/>
        </w:rPr>
        <w:t xml:space="preserve"> application forms </w:t>
      </w:r>
      <w:r w:rsidRPr="00616154">
        <w:rPr>
          <w:color w:val="202020"/>
          <w:shd w:val="clear" w:color="auto" w:fill="FFFFFF"/>
        </w:rPr>
        <w:t>are now available on the</w:t>
      </w:r>
      <w:r w:rsidR="009052AB" w:rsidRPr="00616154">
        <w:rPr>
          <w:color w:val="202020"/>
          <w:shd w:val="clear" w:color="auto" w:fill="FFFFFF"/>
        </w:rPr>
        <w:t xml:space="preserve"> customer portal. The online register of RSPs on the </w:t>
      </w:r>
      <w:r w:rsidR="004479E7" w:rsidRPr="00616154">
        <w:rPr>
          <w:color w:val="202020"/>
          <w:shd w:val="clear" w:color="auto" w:fill="FFFFFF"/>
        </w:rPr>
        <w:t>business.gov.au</w:t>
      </w:r>
      <w:r w:rsidR="009052AB" w:rsidRPr="00616154">
        <w:rPr>
          <w:color w:val="202020"/>
          <w:shd w:val="clear" w:color="auto" w:fill="FFFFFF"/>
        </w:rPr>
        <w:t xml:space="preserve"> website has</w:t>
      </w:r>
      <w:r w:rsidR="008312E9" w:rsidRPr="00616154">
        <w:rPr>
          <w:color w:val="202020"/>
          <w:shd w:val="clear" w:color="auto" w:fill="FFFFFF"/>
        </w:rPr>
        <w:t xml:space="preserve"> </w:t>
      </w:r>
      <w:r w:rsidR="009052AB" w:rsidRPr="00616154">
        <w:rPr>
          <w:color w:val="202020"/>
          <w:shd w:val="clear" w:color="auto" w:fill="FFFFFF"/>
        </w:rPr>
        <w:t>been updated for the 2023-24 year.</w:t>
      </w:r>
    </w:p>
    <w:p w14:paraId="2E1BC79C" w14:textId="4FDD49A2" w:rsidR="00A114D2" w:rsidRPr="00BC302C" w:rsidRDefault="00C303C8" w:rsidP="00A114D2">
      <w:pPr>
        <w:pStyle w:val="Heading3"/>
      </w:pPr>
      <w:bookmarkStart w:id="4" w:name="_2.3_Data_Insights"/>
      <w:bookmarkStart w:id="5" w:name="_2.4_Compliance_trends"/>
      <w:bookmarkEnd w:id="4"/>
      <w:bookmarkEnd w:id="5"/>
      <w:r>
        <w:t>3</w:t>
      </w:r>
      <w:r w:rsidR="00A114D2">
        <w:t>.</w:t>
      </w:r>
      <w:r w:rsidR="008437CC">
        <w:t xml:space="preserve">4 </w:t>
      </w:r>
      <w:r w:rsidR="00A114D2">
        <w:t>Litigation insights</w:t>
      </w:r>
      <w:r w:rsidR="001C7CEE">
        <w:t xml:space="preserve"> </w:t>
      </w:r>
    </w:p>
    <w:p w14:paraId="62A7BDC1" w14:textId="2CB0457E" w:rsidR="0064539A" w:rsidRPr="00FD52E3" w:rsidRDefault="0064539A" w:rsidP="0064539A">
      <w:pPr>
        <w:pStyle w:val="Heading4"/>
      </w:pPr>
      <w:r w:rsidRPr="00FD52E3">
        <w:t xml:space="preserve">Approach to </w:t>
      </w:r>
      <w:r w:rsidR="00302A61">
        <w:t>L</w:t>
      </w:r>
      <w:r w:rsidRPr="00FD52E3">
        <w:t>itigation</w:t>
      </w:r>
    </w:p>
    <w:p w14:paraId="4674FB3F" w14:textId="77777777" w:rsidR="004479E7" w:rsidRPr="00616154" w:rsidRDefault="004479E7" w:rsidP="00616154">
      <w:pPr>
        <w:rPr>
          <w:color w:val="202020"/>
          <w:shd w:val="clear" w:color="auto" w:fill="FFFFFF"/>
        </w:rPr>
      </w:pPr>
      <w:r w:rsidRPr="00616154">
        <w:rPr>
          <w:color w:val="202020"/>
          <w:shd w:val="clear" w:color="auto" w:fill="FFFFFF"/>
        </w:rPr>
        <w:t xml:space="preserve">Industry Innovation and Science Australia’s (IISA) litigation approach is to assist the Administrative Appeals Tribunal (AAT) to reach the correct or preferable decision on the facts and information before it. </w:t>
      </w:r>
    </w:p>
    <w:p w14:paraId="560CB117" w14:textId="42A04A19" w:rsidR="006E5FF8" w:rsidRPr="00616154" w:rsidRDefault="006E5FF8" w:rsidP="00616154">
      <w:pPr>
        <w:rPr>
          <w:color w:val="202020"/>
          <w:shd w:val="clear" w:color="auto" w:fill="FFFFFF"/>
        </w:rPr>
      </w:pPr>
      <w:r w:rsidRPr="00616154">
        <w:rPr>
          <w:color w:val="202020"/>
          <w:shd w:val="clear" w:color="auto" w:fill="FFFFFF"/>
        </w:rPr>
        <w:t xml:space="preserve">AAT decisions are based on the specific facts of the case and are not necessarily applicable to the </w:t>
      </w:r>
      <w:r w:rsidR="00E11EBA" w:rsidRPr="00616154">
        <w:rPr>
          <w:color w:val="202020"/>
          <w:shd w:val="clear" w:color="auto" w:fill="FFFFFF"/>
        </w:rPr>
        <w:t>R&amp;DTI</w:t>
      </w:r>
      <w:r w:rsidRPr="00616154">
        <w:rPr>
          <w:color w:val="202020"/>
          <w:shd w:val="clear" w:color="auto" w:fill="FFFFFF"/>
        </w:rPr>
        <w:t xml:space="preserve"> program more broadly.</w:t>
      </w:r>
    </w:p>
    <w:p w14:paraId="03561CEC" w14:textId="08BB444B" w:rsidR="00CD2C83" w:rsidRPr="00616154" w:rsidRDefault="00CD2C83" w:rsidP="00616154">
      <w:pPr>
        <w:rPr>
          <w:color w:val="202020"/>
          <w:shd w:val="clear" w:color="auto" w:fill="FFFFFF"/>
        </w:rPr>
      </w:pPr>
      <w:r w:rsidRPr="00616154">
        <w:rPr>
          <w:color w:val="202020"/>
          <w:shd w:val="clear" w:color="auto" w:fill="FFFFFF"/>
        </w:rPr>
        <w:t>While the IISA considers AAT decisions when forming policy positions, these decisions are not precedential as they are always based on the specific facts of a case and are not necessarily applicable to the program more broadly. AAT decisions are reviewed considering internal policy and operations to build best practice administration.</w:t>
      </w:r>
    </w:p>
    <w:p w14:paraId="1ADBE38C" w14:textId="7ACF5F7B" w:rsidR="0064539A" w:rsidRPr="00616154" w:rsidRDefault="00CD2C83" w:rsidP="00616154">
      <w:pPr>
        <w:rPr>
          <w:color w:val="202020"/>
          <w:shd w:val="clear" w:color="auto" w:fill="FFFFFF"/>
        </w:rPr>
      </w:pPr>
      <w:r w:rsidRPr="00616154">
        <w:rPr>
          <w:color w:val="202020"/>
          <w:shd w:val="clear" w:color="auto" w:fill="FFFFFF"/>
        </w:rPr>
        <w:t xml:space="preserve">As IISA’s </w:t>
      </w:r>
      <w:r w:rsidR="0064539A" w:rsidRPr="00616154">
        <w:rPr>
          <w:color w:val="202020"/>
          <w:shd w:val="clear" w:color="auto" w:fill="FFFFFF"/>
        </w:rPr>
        <w:t xml:space="preserve">focus is </w:t>
      </w:r>
      <w:r w:rsidRPr="00616154">
        <w:rPr>
          <w:color w:val="202020"/>
          <w:shd w:val="clear" w:color="auto" w:fill="FFFFFF"/>
        </w:rPr>
        <w:t xml:space="preserve">to </w:t>
      </w:r>
      <w:r w:rsidR="0064539A" w:rsidRPr="00616154">
        <w:rPr>
          <w:color w:val="202020"/>
          <w:shd w:val="clear" w:color="auto" w:fill="FFFFFF"/>
        </w:rPr>
        <w:t>ascertain eligibility and uphold the integrity of the program</w:t>
      </w:r>
      <w:r w:rsidRPr="00616154">
        <w:rPr>
          <w:color w:val="202020"/>
          <w:shd w:val="clear" w:color="auto" w:fill="FFFFFF"/>
        </w:rPr>
        <w:t xml:space="preserve"> settlements will not occur if there is insufficient evidence to </w:t>
      </w:r>
      <w:r w:rsidR="0064539A" w:rsidRPr="00616154">
        <w:rPr>
          <w:color w:val="202020"/>
          <w:shd w:val="clear" w:color="auto" w:fill="FFFFFF"/>
        </w:rPr>
        <w:t>establish eligibility</w:t>
      </w:r>
      <w:r w:rsidRPr="00616154">
        <w:rPr>
          <w:color w:val="202020"/>
          <w:shd w:val="clear" w:color="auto" w:fill="FFFFFF"/>
        </w:rPr>
        <w:t>.</w:t>
      </w:r>
    </w:p>
    <w:p w14:paraId="00B54256" w14:textId="77777777" w:rsidR="0064539A" w:rsidRPr="00FD52E3" w:rsidRDefault="0064539A" w:rsidP="0064539A">
      <w:pPr>
        <w:pStyle w:val="Heading4"/>
      </w:pPr>
      <w:r w:rsidRPr="00FD52E3">
        <w:t>Evidence</w:t>
      </w:r>
    </w:p>
    <w:p w14:paraId="2F8494D0" w14:textId="45D60FCA" w:rsidR="00CD2C83" w:rsidRPr="00616154" w:rsidRDefault="00CD2C83" w:rsidP="00616154">
      <w:pPr>
        <w:rPr>
          <w:color w:val="202020"/>
          <w:shd w:val="clear" w:color="auto" w:fill="FFFFFF"/>
        </w:rPr>
      </w:pPr>
      <w:r w:rsidRPr="00616154">
        <w:rPr>
          <w:color w:val="202020"/>
          <w:shd w:val="clear" w:color="auto" w:fill="FFFFFF"/>
        </w:rPr>
        <w:t>As evidence and record-keeping are key</w:t>
      </w:r>
      <w:r w:rsidR="005A2827">
        <w:rPr>
          <w:color w:val="202020"/>
          <w:shd w:val="clear" w:color="auto" w:fill="FFFFFF"/>
        </w:rPr>
        <w:t>,</w:t>
      </w:r>
      <w:r w:rsidRPr="00616154">
        <w:rPr>
          <w:color w:val="202020"/>
          <w:shd w:val="clear" w:color="auto" w:fill="FFFFFF"/>
        </w:rPr>
        <w:t xml:space="preserve"> it is essential that all registrants keep contemporaneous records and evidence to support their claims. In the absence of any evidence, IISA may find it difficult to determine eligibility.</w:t>
      </w:r>
    </w:p>
    <w:p w14:paraId="0C4DCF06" w14:textId="77777777" w:rsidR="00CD2C83" w:rsidRPr="00616154" w:rsidRDefault="00CD2C83" w:rsidP="00616154">
      <w:pPr>
        <w:rPr>
          <w:color w:val="202020"/>
          <w:shd w:val="clear" w:color="auto" w:fill="FFFFFF"/>
        </w:rPr>
      </w:pPr>
      <w:r w:rsidRPr="00616154">
        <w:rPr>
          <w:color w:val="202020"/>
          <w:shd w:val="clear" w:color="auto" w:fill="FFFFFF"/>
        </w:rPr>
        <w:t xml:space="preserve">R&amp;D entities are encouraged to actively engage with IISA when involved in compliance activities. Early engagement can often lead to narrowing the issues in dispute and help to ascertain what records may be required to establish eligibility. </w:t>
      </w:r>
    </w:p>
    <w:p w14:paraId="3CB26901" w14:textId="052C170E" w:rsidR="004063CA" w:rsidRDefault="00800817" w:rsidP="00800817">
      <w:pPr>
        <w:pStyle w:val="Heading4"/>
      </w:pPr>
      <w:r>
        <w:lastRenderedPageBreak/>
        <w:t xml:space="preserve">Most </w:t>
      </w:r>
      <w:r w:rsidR="00302A61">
        <w:t xml:space="preserve">Recent </w:t>
      </w:r>
      <w:r>
        <w:t xml:space="preserve">AAT Decision </w:t>
      </w:r>
      <w:r w:rsidR="00640274">
        <w:t>- Lakes</w:t>
      </w:r>
      <w:r w:rsidR="004063CA" w:rsidRPr="00B908E8">
        <w:t xml:space="preserve"> Oil </w:t>
      </w:r>
    </w:p>
    <w:p w14:paraId="227C793F" w14:textId="34E54178" w:rsidR="00806A7B" w:rsidRPr="00616154" w:rsidRDefault="00CD2C83" w:rsidP="00616154">
      <w:pPr>
        <w:rPr>
          <w:color w:val="202020"/>
          <w:shd w:val="clear" w:color="auto" w:fill="FFFFFF"/>
        </w:rPr>
      </w:pPr>
      <w:r w:rsidRPr="00616154">
        <w:rPr>
          <w:color w:val="202020"/>
          <w:shd w:val="clear" w:color="auto" w:fill="FFFFFF"/>
        </w:rPr>
        <w:t>AAT</w:t>
      </w:r>
      <w:r w:rsidR="00806A7B" w:rsidRPr="00616154">
        <w:rPr>
          <w:color w:val="202020"/>
          <w:shd w:val="clear" w:color="auto" w:fill="FFFFFF"/>
        </w:rPr>
        <w:t xml:space="preserve"> handed down its decision in Lakes Oil v Innovation and Science Australia (now Industry Innovation and Science Australia) on 14 April 2023. </w:t>
      </w:r>
    </w:p>
    <w:p w14:paraId="7F36FE29" w14:textId="523080ED" w:rsidR="00806A7B" w:rsidRPr="00616154" w:rsidRDefault="00806A7B" w:rsidP="00616154">
      <w:pPr>
        <w:rPr>
          <w:color w:val="202020"/>
          <w:shd w:val="clear" w:color="auto" w:fill="FFFFFF"/>
        </w:rPr>
      </w:pPr>
      <w:r w:rsidRPr="00616154">
        <w:rPr>
          <w:color w:val="202020"/>
          <w:shd w:val="clear" w:color="auto" w:fill="FFFFFF"/>
        </w:rPr>
        <w:t xml:space="preserve">The activities related to proposed fracking (i.e. work associated with determining the potential of hydraulic fracturing to achieve commercial flow rates at certain depths). </w:t>
      </w:r>
    </w:p>
    <w:p w14:paraId="2A0E3D2C" w14:textId="6DA05F53" w:rsidR="00800817" w:rsidRPr="00616154" w:rsidRDefault="00CD2C83" w:rsidP="00616154">
      <w:pPr>
        <w:rPr>
          <w:color w:val="202020"/>
          <w:shd w:val="clear" w:color="auto" w:fill="FFFFFF"/>
        </w:rPr>
      </w:pPr>
      <w:r w:rsidRPr="00616154">
        <w:rPr>
          <w:color w:val="202020"/>
          <w:shd w:val="clear" w:color="auto" w:fill="FFFFFF"/>
        </w:rPr>
        <w:t>AAT</w:t>
      </w:r>
      <w:r w:rsidR="00806A7B" w:rsidRPr="00616154">
        <w:rPr>
          <w:color w:val="202020"/>
          <w:shd w:val="clear" w:color="auto" w:fill="FFFFFF"/>
        </w:rPr>
        <w:t xml:space="preserve"> affirmed IISA’s decision than none of Lakes Oil’s claimed activities were eligible R&amp;D activities</w:t>
      </w:r>
      <w:r w:rsidR="00B908E8" w:rsidRPr="00616154">
        <w:rPr>
          <w:color w:val="202020"/>
          <w:shd w:val="clear" w:color="auto" w:fill="FFFFFF"/>
        </w:rPr>
        <w:t xml:space="preserve"> in certain income years</w:t>
      </w:r>
      <w:r w:rsidR="00616154">
        <w:rPr>
          <w:color w:val="202020"/>
          <w:shd w:val="clear" w:color="auto" w:fill="FFFFFF"/>
        </w:rPr>
        <w:t xml:space="preserve"> as</w:t>
      </w:r>
      <w:r w:rsidR="00806A7B" w:rsidRPr="00616154">
        <w:rPr>
          <w:color w:val="202020"/>
          <w:shd w:val="clear" w:color="auto" w:fill="FFFFFF"/>
        </w:rPr>
        <w:t xml:space="preserve"> the activities fell within an excluded category of activities that included exploring, prospecting or drilling (section 355.25(2)(b)</w:t>
      </w:r>
      <w:r w:rsidR="009F228F">
        <w:rPr>
          <w:color w:val="202020"/>
          <w:shd w:val="clear" w:color="auto" w:fill="FFFFFF"/>
        </w:rPr>
        <w:t xml:space="preserve"> of the Income Tax Assessment Act</w:t>
      </w:r>
      <w:r w:rsidR="00806A7B" w:rsidRPr="00616154">
        <w:rPr>
          <w:color w:val="202020"/>
          <w:shd w:val="clear" w:color="auto" w:fill="FFFFFF"/>
        </w:rPr>
        <w:t xml:space="preserve">). </w:t>
      </w:r>
    </w:p>
    <w:p w14:paraId="61220C56" w14:textId="421996D3" w:rsidR="00B908E8" w:rsidRPr="00616154" w:rsidRDefault="00CD2C83" w:rsidP="00616154">
      <w:pPr>
        <w:rPr>
          <w:color w:val="202020"/>
          <w:shd w:val="clear" w:color="auto" w:fill="FFFFFF"/>
        </w:rPr>
      </w:pPr>
      <w:r w:rsidRPr="00616154">
        <w:rPr>
          <w:color w:val="202020"/>
          <w:shd w:val="clear" w:color="auto" w:fill="FFFFFF"/>
        </w:rPr>
        <w:t>AAT</w:t>
      </w:r>
      <w:r w:rsidR="00B908E8" w:rsidRPr="00616154">
        <w:rPr>
          <w:color w:val="202020"/>
          <w:shd w:val="clear" w:color="auto" w:fill="FFFFFF"/>
        </w:rPr>
        <w:t xml:space="preserve"> found that ‘prospecting, exploring or drilling for minerals or petroleum for the purposes of one or more of discovering deposits, determining more precisely the location of deposits, and/or determining the size or quality of deposits’ is expressly excluded from the definition of core R&amp;D activities. </w:t>
      </w:r>
    </w:p>
    <w:p w14:paraId="4C9252BE" w14:textId="776D1402" w:rsidR="00616154" w:rsidRDefault="00CD2C83" w:rsidP="00616154">
      <w:pPr>
        <w:rPr>
          <w:color w:val="202020"/>
          <w:shd w:val="clear" w:color="auto" w:fill="FFFFFF"/>
        </w:rPr>
      </w:pPr>
      <w:r w:rsidRPr="00616154">
        <w:rPr>
          <w:color w:val="202020"/>
          <w:shd w:val="clear" w:color="auto" w:fill="FFFFFF"/>
        </w:rPr>
        <w:t>AAT</w:t>
      </w:r>
      <w:r w:rsidR="00B908E8" w:rsidRPr="00616154">
        <w:rPr>
          <w:color w:val="202020"/>
          <w:shd w:val="clear" w:color="auto" w:fill="FFFFFF"/>
        </w:rPr>
        <w:t>’s decision focu</w:t>
      </w:r>
      <w:r w:rsidR="001F115D">
        <w:rPr>
          <w:color w:val="202020"/>
          <w:shd w:val="clear" w:color="auto" w:fill="FFFFFF"/>
        </w:rPr>
        <w:t>s</w:t>
      </w:r>
      <w:r w:rsidR="00B908E8" w:rsidRPr="00616154">
        <w:rPr>
          <w:color w:val="202020"/>
          <w:shd w:val="clear" w:color="auto" w:fill="FFFFFF"/>
        </w:rPr>
        <w:t xml:space="preserve">sed on the importance of a valid hypothesis (which must have a scientific basis) as the starting point in determining whether claimed activities are experimental and follow a systematic progression of work.  </w:t>
      </w:r>
    </w:p>
    <w:p w14:paraId="0A6A105E" w14:textId="57D73DDC" w:rsidR="00800817" w:rsidRDefault="00B908E8" w:rsidP="00616154">
      <w:r w:rsidRPr="00B908E8">
        <w:t>The decision also focu</w:t>
      </w:r>
      <w:r w:rsidR="001F115D">
        <w:t>s</w:t>
      </w:r>
      <w:r w:rsidRPr="00B908E8">
        <w:t xml:space="preserve">sed on the importance of contemporaneous documentation to establish that the claimed activities </w:t>
      </w:r>
      <w:r w:rsidRPr="00616154">
        <w:rPr>
          <w:color w:val="202020"/>
          <w:shd w:val="clear" w:color="auto" w:fill="FFFFFF"/>
        </w:rPr>
        <w:t>are</w:t>
      </w:r>
      <w:r w:rsidRPr="00B908E8">
        <w:t xml:space="preserve"> eligible, which is consistent with IISA’s position. IISA expects companies to provide evidence that they undertook the claimed activities. </w:t>
      </w:r>
    </w:p>
    <w:p w14:paraId="5CFDD22C" w14:textId="414D6F69" w:rsidR="00544674" w:rsidRDefault="00C303C8" w:rsidP="00544674">
      <w:pPr>
        <w:pStyle w:val="Heading3"/>
      </w:pPr>
      <w:r>
        <w:t>3.5 Joint Program Charter</w:t>
      </w:r>
      <w:r w:rsidR="001C7CEE">
        <w:t xml:space="preserve"> </w:t>
      </w:r>
    </w:p>
    <w:p w14:paraId="07DEEC65" w14:textId="77777777" w:rsidR="00616154" w:rsidRDefault="00616154" w:rsidP="00616154">
      <w:pPr>
        <w:rPr>
          <w:color w:val="auto"/>
          <w:shd w:val="clear" w:color="auto" w:fill="FFFFFF"/>
        </w:rPr>
      </w:pPr>
      <w:r w:rsidRPr="00F56C51">
        <w:rPr>
          <w:color w:val="auto"/>
          <w:shd w:val="clear" w:color="auto" w:fill="FFFFFF"/>
        </w:rPr>
        <w:t xml:space="preserve">The </w:t>
      </w:r>
      <w:r>
        <w:rPr>
          <w:color w:val="auto"/>
          <w:shd w:val="clear" w:color="auto" w:fill="FFFFFF"/>
        </w:rPr>
        <w:t xml:space="preserve">2022 </w:t>
      </w:r>
      <w:r w:rsidRPr="00F56C51">
        <w:rPr>
          <w:color w:val="auto"/>
          <w:shd w:val="clear" w:color="auto" w:fill="FFFFFF"/>
        </w:rPr>
        <w:t>Board of Taxation Review of the R&amp;D Tax Incentive Dual Agency Administration Model recommended the two agencies publish a joint charter setting out</w:t>
      </w:r>
      <w:r>
        <w:rPr>
          <w:color w:val="auto"/>
          <w:shd w:val="clear" w:color="auto" w:fill="FFFFFF"/>
        </w:rPr>
        <w:t xml:space="preserve"> </w:t>
      </w:r>
      <w:r w:rsidRPr="005B794E">
        <w:rPr>
          <w:color w:val="auto"/>
          <w:shd w:val="clear" w:color="auto" w:fill="FFFFFF"/>
        </w:rPr>
        <w:t>the expectations and roles of all parties that participate in the R&amp;DTI program</w:t>
      </w:r>
      <w:r>
        <w:rPr>
          <w:color w:val="auto"/>
          <w:shd w:val="clear" w:color="auto" w:fill="FFFFFF"/>
        </w:rPr>
        <w:t>.</w:t>
      </w:r>
    </w:p>
    <w:p w14:paraId="0E1F86DB" w14:textId="5DE24047" w:rsidR="00616154" w:rsidRDefault="00616154" w:rsidP="00616154">
      <w:r>
        <w:t xml:space="preserve">This </w:t>
      </w:r>
      <w:r w:rsidR="00FE6C99">
        <w:t>C</w:t>
      </w:r>
      <w:r>
        <w:t xml:space="preserve">harter will complement rather than replace existing </w:t>
      </w:r>
      <w:r w:rsidR="001F115D">
        <w:t>c</w:t>
      </w:r>
      <w:r>
        <w:t>harters, including the ATO’s recently published ‘Our Charter’.</w:t>
      </w:r>
    </w:p>
    <w:p w14:paraId="6A8540D2" w14:textId="744AFC7D" w:rsidR="00616154" w:rsidRDefault="00616154" w:rsidP="00616154">
      <w:r>
        <w:t xml:space="preserve">The </w:t>
      </w:r>
      <w:r w:rsidR="00FE6C99">
        <w:t>C</w:t>
      </w:r>
      <w:r>
        <w:t>harter is due for release by the end of 2023 and will be a regularly reviewed and updated, living document.</w:t>
      </w:r>
      <w:r w:rsidR="00FE6C99">
        <w:rPr>
          <w:rStyle w:val="FootnoteReference"/>
        </w:rPr>
        <w:footnoteReference w:id="2"/>
      </w:r>
      <w:r>
        <w:t xml:space="preserve">  </w:t>
      </w:r>
    </w:p>
    <w:p w14:paraId="4C61141D" w14:textId="450F05B1" w:rsidR="00C303C8" w:rsidRDefault="00C303C8" w:rsidP="00C303C8">
      <w:pPr>
        <w:pStyle w:val="Heading3"/>
      </w:pPr>
      <w:r>
        <w:t xml:space="preserve">3.6 Compliance insights </w:t>
      </w:r>
    </w:p>
    <w:p w14:paraId="7D8712E7" w14:textId="21777334" w:rsidR="0075252D" w:rsidRPr="00B908E8" w:rsidRDefault="0075252D" w:rsidP="0075252D">
      <w:pPr>
        <w:pStyle w:val="Heading4"/>
        <w:rPr>
          <w:rStyle w:val="Emphasis"/>
          <w:i w:val="0"/>
          <w:iCs/>
        </w:rPr>
      </w:pPr>
      <w:r>
        <w:rPr>
          <w:rStyle w:val="Heading4Char"/>
          <w:b/>
          <w:iCs/>
        </w:rPr>
        <w:t>Advance and Overseas Findings Assessment</w:t>
      </w:r>
    </w:p>
    <w:p w14:paraId="787C9531" w14:textId="684E0186" w:rsidR="000F2999" w:rsidRPr="005C4FD5" w:rsidRDefault="005C4FD5" w:rsidP="005C4FD5">
      <w:pPr>
        <w:rPr>
          <w:color w:val="auto"/>
          <w:shd w:val="clear" w:color="auto" w:fill="FFFFFF"/>
        </w:rPr>
      </w:pPr>
      <w:r w:rsidRPr="005C4FD5">
        <w:rPr>
          <w:color w:val="auto"/>
          <w:shd w:val="clear" w:color="auto" w:fill="FFFFFF"/>
        </w:rPr>
        <w:t xml:space="preserve">Approximately 75% of the </w:t>
      </w:r>
      <w:r w:rsidR="000F2999" w:rsidRPr="005C4FD5">
        <w:rPr>
          <w:color w:val="auto"/>
          <w:shd w:val="clear" w:color="auto" w:fill="FFFFFF"/>
        </w:rPr>
        <w:t>advance and overseas finding applications</w:t>
      </w:r>
      <w:r w:rsidRPr="005C4FD5">
        <w:rPr>
          <w:color w:val="auto"/>
          <w:shd w:val="clear" w:color="auto" w:fill="FFFFFF"/>
        </w:rPr>
        <w:t xml:space="preserve"> submitted in the 2022-23 have been assessed</w:t>
      </w:r>
      <w:r>
        <w:rPr>
          <w:color w:val="auto"/>
          <w:shd w:val="clear" w:color="auto" w:fill="FFFFFF"/>
        </w:rPr>
        <w:t>.</w:t>
      </w:r>
      <w:r w:rsidR="000F2999" w:rsidRPr="005C4FD5">
        <w:rPr>
          <w:color w:val="auto"/>
          <w:shd w:val="clear" w:color="auto" w:fill="FFFFFF"/>
        </w:rPr>
        <w:t xml:space="preserve"> </w:t>
      </w:r>
    </w:p>
    <w:p w14:paraId="28CB2D45" w14:textId="18329347" w:rsidR="0075252D" w:rsidRPr="005C4FD5" w:rsidRDefault="005C4FD5" w:rsidP="005C4FD5">
      <w:pPr>
        <w:rPr>
          <w:color w:val="auto"/>
          <w:shd w:val="clear" w:color="auto" w:fill="FFFFFF"/>
        </w:rPr>
      </w:pPr>
      <w:r w:rsidRPr="005C4FD5">
        <w:rPr>
          <w:color w:val="auto"/>
          <w:shd w:val="clear" w:color="auto" w:fill="FFFFFF"/>
        </w:rPr>
        <w:t>These findings were completed following the new</w:t>
      </w:r>
      <w:r w:rsidR="000F2999" w:rsidRPr="005C4FD5">
        <w:rPr>
          <w:color w:val="auto"/>
          <w:shd w:val="clear" w:color="auto" w:fill="FFFFFF"/>
        </w:rPr>
        <w:t xml:space="preserve"> ‘shorter findings approach</w:t>
      </w:r>
      <w:r w:rsidR="0075252D" w:rsidRPr="005C4FD5">
        <w:rPr>
          <w:color w:val="auto"/>
          <w:shd w:val="clear" w:color="auto" w:fill="FFFFFF"/>
        </w:rPr>
        <w:t>’</w:t>
      </w:r>
      <w:r w:rsidRPr="005C4FD5">
        <w:rPr>
          <w:color w:val="auto"/>
          <w:shd w:val="clear" w:color="auto" w:fill="FFFFFF"/>
        </w:rPr>
        <w:t xml:space="preserve"> that was piloted last year, resulting in an </w:t>
      </w:r>
      <w:r w:rsidR="0075252D" w:rsidRPr="005C4FD5">
        <w:rPr>
          <w:color w:val="auto"/>
          <w:shd w:val="clear" w:color="auto" w:fill="FFFFFF"/>
        </w:rPr>
        <w:t xml:space="preserve">average </w:t>
      </w:r>
      <w:r w:rsidRPr="005C4FD5">
        <w:rPr>
          <w:color w:val="auto"/>
          <w:shd w:val="clear" w:color="auto" w:fill="FFFFFF"/>
        </w:rPr>
        <w:t xml:space="preserve">processing time </w:t>
      </w:r>
      <w:r w:rsidR="0075252D" w:rsidRPr="005C4FD5">
        <w:rPr>
          <w:color w:val="auto"/>
          <w:shd w:val="clear" w:color="auto" w:fill="FFFFFF"/>
        </w:rPr>
        <w:t xml:space="preserve">of 70 business days </w:t>
      </w:r>
      <w:r w:rsidRPr="005C4FD5">
        <w:rPr>
          <w:color w:val="auto"/>
          <w:shd w:val="clear" w:color="auto" w:fill="FFFFFF"/>
        </w:rPr>
        <w:t>at the time of the meeting</w:t>
      </w:r>
      <w:r>
        <w:rPr>
          <w:color w:val="auto"/>
          <w:shd w:val="clear" w:color="auto" w:fill="FFFFFF"/>
        </w:rPr>
        <w:t>.</w:t>
      </w:r>
    </w:p>
    <w:p w14:paraId="5910EA97" w14:textId="112D41A2" w:rsidR="0075252D" w:rsidRPr="005C4FD5" w:rsidRDefault="005C4FD5" w:rsidP="005C4FD5">
      <w:pPr>
        <w:rPr>
          <w:color w:val="auto"/>
          <w:shd w:val="clear" w:color="auto" w:fill="FFFFFF"/>
        </w:rPr>
      </w:pPr>
      <w:r w:rsidRPr="005C4FD5">
        <w:rPr>
          <w:color w:val="auto"/>
          <w:shd w:val="clear" w:color="auto" w:fill="FFFFFF"/>
        </w:rPr>
        <w:t>DISR</w:t>
      </w:r>
      <w:r w:rsidR="0075252D" w:rsidRPr="005C4FD5">
        <w:rPr>
          <w:color w:val="auto"/>
          <w:shd w:val="clear" w:color="auto" w:fill="FFFFFF"/>
        </w:rPr>
        <w:t xml:space="preserve"> continues to utilise the services of Canberra</w:t>
      </w:r>
      <w:r w:rsidR="003C4FB5" w:rsidRPr="005C4FD5">
        <w:rPr>
          <w:color w:val="auto"/>
          <w:shd w:val="clear" w:color="auto" w:fill="FFFFFF"/>
        </w:rPr>
        <w:t>-</w:t>
      </w:r>
      <w:r w:rsidR="0075252D" w:rsidRPr="005C4FD5">
        <w:rPr>
          <w:color w:val="auto"/>
          <w:shd w:val="clear" w:color="auto" w:fill="FFFFFF"/>
        </w:rPr>
        <w:t xml:space="preserve">based Proximity Advisory Services to provide support to its assessment capability during the annual advance and overseas finding peak. Feedback from advance and overseas finding applicants who have </w:t>
      </w:r>
      <w:r w:rsidRPr="005C4FD5">
        <w:rPr>
          <w:color w:val="auto"/>
          <w:shd w:val="clear" w:color="auto" w:fill="FFFFFF"/>
        </w:rPr>
        <w:t>worked</w:t>
      </w:r>
      <w:r w:rsidR="0075252D" w:rsidRPr="005C4FD5">
        <w:rPr>
          <w:color w:val="auto"/>
          <w:shd w:val="clear" w:color="auto" w:fill="FFFFFF"/>
        </w:rPr>
        <w:t xml:space="preserve"> with Proximity </w:t>
      </w:r>
      <w:r w:rsidR="0022309A" w:rsidRPr="005C4FD5">
        <w:rPr>
          <w:color w:val="auto"/>
          <w:shd w:val="clear" w:color="auto" w:fill="FFFFFF"/>
        </w:rPr>
        <w:t>remains</w:t>
      </w:r>
      <w:r w:rsidR="0075252D" w:rsidRPr="005C4FD5">
        <w:rPr>
          <w:color w:val="auto"/>
          <w:shd w:val="clear" w:color="auto" w:fill="FFFFFF"/>
        </w:rPr>
        <w:t xml:space="preserve"> positive.</w:t>
      </w:r>
    </w:p>
    <w:p w14:paraId="376D9D3D" w14:textId="670DF680" w:rsidR="005C4FD5" w:rsidRPr="005C4FD5" w:rsidRDefault="005C4FD5" w:rsidP="005C4FD5">
      <w:pPr>
        <w:rPr>
          <w:color w:val="auto"/>
          <w:shd w:val="clear" w:color="auto" w:fill="FFFFFF"/>
        </w:rPr>
      </w:pPr>
      <w:r w:rsidRPr="005C4FD5">
        <w:rPr>
          <w:color w:val="auto"/>
          <w:shd w:val="clear" w:color="auto" w:fill="FFFFFF"/>
        </w:rPr>
        <w:t>Most</w:t>
      </w:r>
      <w:r w:rsidR="0075252D" w:rsidRPr="005C4FD5">
        <w:rPr>
          <w:color w:val="auto"/>
          <w:shd w:val="clear" w:color="auto" w:fill="FFFFFF"/>
        </w:rPr>
        <w:t xml:space="preserve"> advance and overseas findings applications are found eligible</w:t>
      </w:r>
      <w:r>
        <w:rPr>
          <w:color w:val="auto"/>
          <w:shd w:val="clear" w:color="auto" w:fill="FFFFFF"/>
        </w:rPr>
        <w:t>, which</w:t>
      </w:r>
      <w:r w:rsidR="0075252D" w:rsidRPr="005C4FD5">
        <w:rPr>
          <w:color w:val="auto"/>
          <w:shd w:val="clear" w:color="auto" w:fill="FFFFFF"/>
        </w:rPr>
        <w:t xml:space="preserve"> is partially </w:t>
      </w:r>
      <w:r>
        <w:rPr>
          <w:color w:val="auto"/>
          <w:shd w:val="clear" w:color="auto" w:fill="FFFFFF"/>
        </w:rPr>
        <w:t>because</w:t>
      </w:r>
      <w:r w:rsidR="007D3A0A" w:rsidRPr="005C4FD5">
        <w:rPr>
          <w:color w:val="auto"/>
          <w:shd w:val="clear" w:color="auto" w:fill="FFFFFF"/>
        </w:rPr>
        <w:t xml:space="preserve"> </w:t>
      </w:r>
      <w:r w:rsidR="0075252D" w:rsidRPr="005C4FD5">
        <w:rPr>
          <w:color w:val="auto"/>
          <w:shd w:val="clear" w:color="auto" w:fill="FFFFFF"/>
        </w:rPr>
        <w:t>applicants who cannot demonstrate eligible R&amp;D activities</w:t>
      </w:r>
      <w:r w:rsidR="007D3A0A" w:rsidRPr="005C4FD5">
        <w:rPr>
          <w:color w:val="auto"/>
          <w:shd w:val="clear" w:color="auto" w:fill="FFFFFF"/>
        </w:rPr>
        <w:t xml:space="preserve"> </w:t>
      </w:r>
      <w:r>
        <w:rPr>
          <w:color w:val="auto"/>
          <w:shd w:val="clear" w:color="auto" w:fill="FFFFFF"/>
        </w:rPr>
        <w:t xml:space="preserve">often </w:t>
      </w:r>
      <w:r w:rsidR="007D3A0A" w:rsidRPr="005C4FD5">
        <w:rPr>
          <w:color w:val="auto"/>
          <w:shd w:val="clear" w:color="auto" w:fill="FFFFFF"/>
        </w:rPr>
        <w:t xml:space="preserve">withdraw from the assessment process after discussion with assessors. </w:t>
      </w:r>
    </w:p>
    <w:p w14:paraId="1DA2C284" w14:textId="77777777" w:rsidR="005C4FD5" w:rsidRDefault="0022309A" w:rsidP="005C4FD5">
      <w:pPr>
        <w:rPr>
          <w:color w:val="auto"/>
          <w:shd w:val="clear" w:color="auto" w:fill="FFFFFF"/>
        </w:rPr>
      </w:pPr>
      <w:r w:rsidRPr="005C4FD5">
        <w:rPr>
          <w:color w:val="auto"/>
          <w:shd w:val="clear" w:color="auto" w:fill="FFFFFF"/>
        </w:rPr>
        <w:t>Recent i</w:t>
      </w:r>
      <w:r w:rsidR="007D3A0A" w:rsidRPr="005C4FD5">
        <w:rPr>
          <w:color w:val="auto"/>
          <w:shd w:val="clear" w:color="auto" w:fill="FFFFFF"/>
        </w:rPr>
        <w:t>nstances of advance and overseas findings being found ineligible include</w:t>
      </w:r>
      <w:r w:rsidR="005C4FD5">
        <w:rPr>
          <w:color w:val="auto"/>
          <w:shd w:val="clear" w:color="auto" w:fill="FFFFFF"/>
        </w:rPr>
        <w:t>:</w:t>
      </w:r>
    </w:p>
    <w:p w14:paraId="1D3EF68A" w14:textId="31EFF970" w:rsidR="005C4FD5" w:rsidRPr="005C4FD5" w:rsidRDefault="00FE6C99" w:rsidP="005C4FD5">
      <w:pPr>
        <w:pStyle w:val="ListParagraph"/>
        <w:numPr>
          <w:ilvl w:val="0"/>
          <w:numId w:val="18"/>
        </w:numPr>
        <w:rPr>
          <w:color w:val="auto"/>
          <w:shd w:val="clear" w:color="auto" w:fill="FFFFFF"/>
        </w:rPr>
      </w:pPr>
      <w:r>
        <w:rPr>
          <w:color w:val="auto"/>
          <w:shd w:val="clear" w:color="auto" w:fill="FFFFFF"/>
        </w:rPr>
        <w:t xml:space="preserve">an </w:t>
      </w:r>
      <w:r w:rsidR="007D3A0A" w:rsidRPr="005C4FD5">
        <w:rPr>
          <w:color w:val="auto"/>
          <w:shd w:val="clear" w:color="auto" w:fill="FFFFFF"/>
        </w:rPr>
        <w:t xml:space="preserve">Australian core activity which </w:t>
      </w:r>
      <w:r w:rsidR="001F115D">
        <w:rPr>
          <w:color w:val="auto"/>
          <w:shd w:val="clear" w:color="auto" w:fill="FFFFFF"/>
        </w:rPr>
        <w:t>could not</w:t>
      </w:r>
      <w:r w:rsidR="001F115D" w:rsidRPr="005C4FD5">
        <w:rPr>
          <w:color w:val="auto"/>
          <w:shd w:val="clear" w:color="auto" w:fill="FFFFFF"/>
        </w:rPr>
        <w:t xml:space="preserve"> </w:t>
      </w:r>
      <w:r w:rsidR="007D3A0A" w:rsidRPr="005C4FD5">
        <w:rPr>
          <w:color w:val="auto"/>
          <w:shd w:val="clear" w:color="auto" w:fill="FFFFFF"/>
        </w:rPr>
        <w:t>be evidenced</w:t>
      </w:r>
    </w:p>
    <w:p w14:paraId="4FFC6D1C" w14:textId="378D7914" w:rsidR="005C4FD5" w:rsidRPr="005C4FD5" w:rsidRDefault="00647201" w:rsidP="005C4FD5">
      <w:pPr>
        <w:pStyle w:val="ListParagraph"/>
        <w:numPr>
          <w:ilvl w:val="0"/>
          <w:numId w:val="18"/>
        </w:numPr>
        <w:rPr>
          <w:color w:val="auto"/>
          <w:shd w:val="clear" w:color="auto" w:fill="FFFFFF"/>
        </w:rPr>
      </w:pPr>
      <w:r w:rsidRPr="005C4FD5">
        <w:rPr>
          <w:color w:val="auto"/>
          <w:shd w:val="clear" w:color="auto" w:fill="FFFFFF"/>
        </w:rPr>
        <w:lastRenderedPageBreak/>
        <w:t>activities claimed</w:t>
      </w:r>
      <w:r w:rsidR="007D3A0A" w:rsidRPr="005C4FD5">
        <w:rPr>
          <w:color w:val="auto"/>
          <w:shd w:val="clear" w:color="auto" w:fill="FFFFFF"/>
        </w:rPr>
        <w:t xml:space="preserve"> </w:t>
      </w:r>
      <w:r w:rsidRPr="005C4FD5">
        <w:rPr>
          <w:color w:val="auto"/>
          <w:shd w:val="clear" w:color="auto" w:fill="FFFFFF"/>
        </w:rPr>
        <w:t xml:space="preserve">as being conducted wholly within Australia </w:t>
      </w:r>
      <w:r w:rsidR="00302A61">
        <w:rPr>
          <w:color w:val="auto"/>
          <w:shd w:val="clear" w:color="auto" w:fill="FFFFFF"/>
        </w:rPr>
        <w:t>but were in fact</w:t>
      </w:r>
      <w:r w:rsidR="00302A61" w:rsidRPr="005C4FD5">
        <w:rPr>
          <w:color w:val="auto"/>
          <w:shd w:val="clear" w:color="auto" w:fill="FFFFFF"/>
        </w:rPr>
        <w:t xml:space="preserve"> </w:t>
      </w:r>
      <w:r w:rsidR="005C4FD5" w:rsidRPr="005C4FD5">
        <w:rPr>
          <w:color w:val="auto"/>
          <w:shd w:val="clear" w:color="auto" w:fill="FFFFFF"/>
        </w:rPr>
        <w:t>being</w:t>
      </w:r>
      <w:r w:rsidRPr="005C4FD5">
        <w:rPr>
          <w:color w:val="auto"/>
          <w:shd w:val="clear" w:color="auto" w:fill="FFFFFF"/>
        </w:rPr>
        <w:t xml:space="preserve"> partially conducted overseas</w:t>
      </w:r>
    </w:p>
    <w:p w14:paraId="41FF0127" w14:textId="09D3C22E" w:rsidR="0075252D" w:rsidRPr="005C4FD5" w:rsidRDefault="0022309A" w:rsidP="005C4FD5">
      <w:pPr>
        <w:pStyle w:val="ListParagraph"/>
        <w:numPr>
          <w:ilvl w:val="0"/>
          <w:numId w:val="18"/>
        </w:numPr>
        <w:rPr>
          <w:color w:val="auto"/>
          <w:shd w:val="clear" w:color="auto" w:fill="FFFFFF"/>
        </w:rPr>
      </w:pPr>
      <w:r w:rsidRPr="005C4FD5">
        <w:rPr>
          <w:color w:val="auto"/>
          <w:shd w:val="clear" w:color="auto" w:fill="FFFFFF"/>
        </w:rPr>
        <w:t>supporting activities subject to the dominant purpose test</w:t>
      </w:r>
      <w:r w:rsidR="00302A61">
        <w:rPr>
          <w:color w:val="auto"/>
          <w:shd w:val="clear" w:color="auto" w:fill="FFFFFF"/>
        </w:rPr>
        <w:t xml:space="preserve"> that</w:t>
      </w:r>
      <w:r w:rsidR="005C4FD5" w:rsidRPr="005C4FD5">
        <w:rPr>
          <w:color w:val="auto"/>
          <w:shd w:val="clear" w:color="auto" w:fill="FFFFFF"/>
        </w:rPr>
        <w:t xml:space="preserve"> d</w:t>
      </w:r>
      <w:r w:rsidR="00302A61">
        <w:rPr>
          <w:color w:val="auto"/>
          <w:shd w:val="clear" w:color="auto" w:fill="FFFFFF"/>
        </w:rPr>
        <w:t>id</w:t>
      </w:r>
      <w:r w:rsidR="005C4FD5" w:rsidRPr="005C4FD5">
        <w:rPr>
          <w:color w:val="auto"/>
          <w:shd w:val="clear" w:color="auto" w:fill="FFFFFF"/>
        </w:rPr>
        <w:t xml:space="preserve"> not meet the relevant requirements</w:t>
      </w:r>
      <w:r w:rsidR="00302A61">
        <w:rPr>
          <w:color w:val="auto"/>
          <w:shd w:val="clear" w:color="auto" w:fill="FFFFFF"/>
        </w:rPr>
        <w:t>.</w:t>
      </w:r>
    </w:p>
    <w:p w14:paraId="371139BF" w14:textId="550A7841" w:rsidR="0022309A" w:rsidRPr="00B908E8" w:rsidRDefault="0022309A" w:rsidP="0022309A">
      <w:pPr>
        <w:pStyle w:val="Heading4"/>
        <w:rPr>
          <w:rStyle w:val="Emphasis"/>
          <w:i w:val="0"/>
          <w:iCs/>
        </w:rPr>
      </w:pPr>
      <w:r>
        <w:rPr>
          <w:rStyle w:val="Heading4Char"/>
          <w:b/>
          <w:iCs/>
        </w:rPr>
        <w:t>Compliance Risk Reviews and Examinations</w:t>
      </w:r>
    </w:p>
    <w:p w14:paraId="512996AF" w14:textId="70586930" w:rsidR="001921B2" w:rsidRPr="003841EF" w:rsidRDefault="00607A07" w:rsidP="003841EF">
      <w:pPr>
        <w:rPr>
          <w:color w:val="auto"/>
          <w:shd w:val="clear" w:color="auto" w:fill="FFFFFF"/>
        </w:rPr>
      </w:pPr>
      <w:r w:rsidRPr="003841EF">
        <w:rPr>
          <w:color w:val="auto"/>
          <w:shd w:val="clear" w:color="auto" w:fill="FFFFFF"/>
        </w:rPr>
        <w:t xml:space="preserve">Throughout and in the wake of the COVID pandemic, </w:t>
      </w:r>
      <w:r w:rsidR="003841EF">
        <w:rPr>
          <w:color w:val="auto"/>
          <w:shd w:val="clear" w:color="auto" w:fill="FFFFFF"/>
        </w:rPr>
        <w:t>DISR</w:t>
      </w:r>
      <w:r w:rsidRPr="003841EF">
        <w:rPr>
          <w:color w:val="auto"/>
          <w:shd w:val="clear" w:color="auto" w:fill="FFFFFF"/>
        </w:rPr>
        <w:t xml:space="preserve"> conducted</w:t>
      </w:r>
      <w:r w:rsidR="003841EF">
        <w:rPr>
          <w:color w:val="auto"/>
          <w:shd w:val="clear" w:color="auto" w:fill="FFFFFF"/>
        </w:rPr>
        <w:t xml:space="preserve"> </w:t>
      </w:r>
      <w:r w:rsidRPr="003841EF">
        <w:rPr>
          <w:color w:val="auto"/>
          <w:shd w:val="clear" w:color="auto" w:fill="FFFFFF"/>
        </w:rPr>
        <w:t xml:space="preserve">education and guidance focussed compliance engagements with R&amp;D entities. As these entities return to the program in subsequent </w:t>
      </w:r>
      <w:r w:rsidR="003841EF">
        <w:rPr>
          <w:color w:val="auto"/>
          <w:shd w:val="clear" w:color="auto" w:fill="FFFFFF"/>
        </w:rPr>
        <w:t xml:space="preserve">financial </w:t>
      </w:r>
      <w:r w:rsidRPr="003841EF">
        <w:rPr>
          <w:color w:val="auto"/>
          <w:shd w:val="clear" w:color="auto" w:fill="FFFFFF"/>
        </w:rPr>
        <w:t>years</w:t>
      </w:r>
      <w:r w:rsidR="001921B2" w:rsidRPr="003841EF">
        <w:rPr>
          <w:color w:val="auto"/>
          <w:shd w:val="clear" w:color="auto" w:fill="FFFFFF"/>
        </w:rPr>
        <w:t>,</w:t>
      </w:r>
      <w:r w:rsidRPr="003841EF">
        <w:rPr>
          <w:color w:val="auto"/>
          <w:shd w:val="clear" w:color="auto" w:fill="FFFFFF"/>
        </w:rPr>
        <w:t xml:space="preserve"> </w:t>
      </w:r>
      <w:r w:rsidR="003841EF">
        <w:rPr>
          <w:color w:val="auto"/>
          <w:shd w:val="clear" w:color="auto" w:fill="FFFFFF"/>
        </w:rPr>
        <w:t xml:space="preserve">compliance </w:t>
      </w:r>
      <w:r w:rsidR="00302A61">
        <w:rPr>
          <w:color w:val="auto"/>
          <w:shd w:val="clear" w:color="auto" w:fill="FFFFFF"/>
        </w:rPr>
        <w:t xml:space="preserve">activities </w:t>
      </w:r>
      <w:r w:rsidR="003841EF">
        <w:rPr>
          <w:color w:val="auto"/>
          <w:shd w:val="clear" w:color="auto" w:fill="FFFFFF"/>
        </w:rPr>
        <w:t xml:space="preserve">will be completed to ensure </w:t>
      </w:r>
      <w:r w:rsidR="003A3D43">
        <w:rPr>
          <w:color w:val="auto"/>
          <w:shd w:val="clear" w:color="auto" w:fill="FFFFFF"/>
        </w:rPr>
        <w:t xml:space="preserve">this </w:t>
      </w:r>
      <w:r w:rsidRPr="003841EF">
        <w:rPr>
          <w:color w:val="auto"/>
          <w:shd w:val="clear" w:color="auto" w:fill="FFFFFF"/>
        </w:rPr>
        <w:t>guidance has been adhered to</w:t>
      </w:r>
      <w:r w:rsidR="00381F04">
        <w:rPr>
          <w:color w:val="auto"/>
          <w:shd w:val="clear" w:color="auto" w:fill="FFFFFF"/>
        </w:rPr>
        <w:t xml:space="preserve"> and if not, </w:t>
      </w:r>
      <w:r w:rsidRPr="003841EF">
        <w:rPr>
          <w:color w:val="auto"/>
          <w:shd w:val="clear" w:color="auto" w:fill="FFFFFF"/>
        </w:rPr>
        <w:t>full compliance examination</w:t>
      </w:r>
      <w:r w:rsidR="00381F04">
        <w:rPr>
          <w:color w:val="auto"/>
          <w:shd w:val="clear" w:color="auto" w:fill="FFFFFF"/>
        </w:rPr>
        <w:t xml:space="preserve">s will be undertaken. </w:t>
      </w:r>
    </w:p>
    <w:p w14:paraId="3F4A2D78" w14:textId="18DAD6C5" w:rsidR="00381F04" w:rsidRDefault="00381F04" w:rsidP="003841EF">
      <w:pPr>
        <w:rPr>
          <w:color w:val="auto"/>
          <w:shd w:val="clear" w:color="auto" w:fill="FFFFFF"/>
        </w:rPr>
      </w:pPr>
      <w:r>
        <w:rPr>
          <w:color w:val="auto"/>
          <w:shd w:val="clear" w:color="auto" w:fill="FFFFFF"/>
        </w:rPr>
        <w:t>DISR and the</w:t>
      </w:r>
      <w:r w:rsidR="0075252D" w:rsidRPr="003841EF">
        <w:rPr>
          <w:color w:val="auto"/>
          <w:shd w:val="clear" w:color="auto" w:fill="FFFFFF"/>
        </w:rPr>
        <w:t xml:space="preserve"> ATO co</w:t>
      </w:r>
      <w:r>
        <w:rPr>
          <w:color w:val="auto"/>
          <w:shd w:val="clear" w:color="auto" w:fill="FFFFFF"/>
        </w:rPr>
        <w:t>ntinue</w:t>
      </w:r>
      <w:r w:rsidR="0022309A" w:rsidRPr="003841EF">
        <w:rPr>
          <w:color w:val="auto"/>
          <w:shd w:val="clear" w:color="auto" w:fill="FFFFFF"/>
        </w:rPr>
        <w:t xml:space="preserve"> to engage with individual R&amp;D entities who are at risk of non-compliance with program requirements.</w:t>
      </w:r>
      <w:r w:rsidR="00607A07" w:rsidRPr="003841EF">
        <w:rPr>
          <w:color w:val="auto"/>
          <w:shd w:val="clear" w:color="auto" w:fill="FFFFFF"/>
        </w:rPr>
        <w:t xml:space="preserve"> </w:t>
      </w:r>
      <w:r>
        <w:rPr>
          <w:color w:val="auto"/>
          <w:shd w:val="clear" w:color="auto" w:fill="FFFFFF"/>
        </w:rPr>
        <w:t xml:space="preserve">Engagement has now also commenced with </w:t>
      </w:r>
      <w:r w:rsidR="0022309A" w:rsidRPr="003841EF">
        <w:rPr>
          <w:color w:val="auto"/>
          <w:shd w:val="clear" w:color="auto" w:fill="FFFFFF"/>
        </w:rPr>
        <w:t>tax agents and R&amp;D advisers whose clients’ registrations display</w:t>
      </w:r>
      <w:r w:rsidR="00607A07" w:rsidRPr="003841EF">
        <w:rPr>
          <w:color w:val="auto"/>
          <w:shd w:val="clear" w:color="auto" w:fill="FFFFFF"/>
        </w:rPr>
        <w:t xml:space="preserve"> similar compliance</w:t>
      </w:r>
      <w:r w:rsidR="001B036F" w:rsidRPr="003841EF">
        <w:rPr>
          <w:color w:val="auto"/>
          <w:shd w:val="clear" w:color="auto" w:fill="FFFFFF"/>
        </w:rPr>
        <w:t xml:space="preserve"> </w:t>
      </w:r>
      <w:r w:rsidR="00607A07" w:rsidRPr="003841EF">
        <w:rPr>
          <w:color w:val="auto"/>
          <w:shd w:val="clear" w:color="auto" w:fill="FFFFFF"/>
        </w:rPr>
        <w:t xml:space="preserve">risks. </w:t>
      </w:r>
      <w:r>
        <w:rPr>
          <w:color w:val="auto"/>
          <w:shd w:val="clear" w:color="auto" w:fill="FFFFFF"/>
        </w:rPr>
        <w:t xml:space="preserve">This work helps to </w:t>
      </w:r>
      <w:r w:rsidR="00607A07" w:rsidRPr="003841EF">
        <w:rPr>
          <w:color w:val="auto"/>
          <w:shd w:val="clear" w:color="auto" w:fill="FFFFFF"/>
        </w:rPr>
        <w:t>increase the integrity of the program.</w:t>
      </w:r>
    </w:p>
    <w:p w14:paraId="14388DB3" w14:textId="1E6E13D1" w:rsidR="00381F04" w:rsidRDefault="00381F04" w:rsidP="003841EF">
      <w:pPr>
        <w:rPr>
          <w:color w:val="auto"/>
          <w:shd w:val="clear" w:color="auto" w:fill="FFFFFF"/>
        </w:rPr>
      </w:pPr>
      <w:r>
        <w:rPr>
          <w:color w:val="auto"/>
          <w:shd w:val="clear" w:color="auto" w:fill="FFFFFF"/>
        </w:rPr>
        <w:t>DISR</w:t>
      </w:r>
      <w:r w:rsidR="00066C22" w:rsidRPr="003841EF">
        <w:rPr>
          <w:color w:val="auto"/>
          <w:shd w:val="clear" w:color="auto" w:fill="FFFFFF"/>
        </w:rPr>
        <w:t xml:space="preserve"> continue to approach each compliance engagement with an open mind</w:t>
      </w:r>
      <w:r>
        <w:rPr>
          <w:color w:val="auto"/>
          <w:shd w:val="clear" w:color="auto" w:fill="FFFFFF"/>
        </w:rPr>
        <w:t>,</w:t>
      </w:r>
      <w:r w:rsidR="001B036F" w:rsidRPr="003841EF">
        <w:rPr>
          <w:color w:val="auto"/>
          <w:shd w:val="clear" w:color="auto" w:fill="FFFFFF"/>
        </w:rPr>
        <w:t xml:space="preserve"> </w:t>
      </w:r>
      <w:r w:rsidR="00066C22" w:rsidRPr="003841EF">
        <w:rPr>
          <w:color w:val="auto"/>
          <w:shd w:val="clear" w:color="auto" w:fill="FFFFFF"/>
        </w:rPr>
        <w:t>an attitude of suspended judgement</w:t>
      </w:r>
      <w:r w:rsidR="001B036F" w:rsidRPr="003841EF">
        <w:rPr>
          <w:color w:val="auto"/>
          <w:shd w:val="clear" w:color="auto" w:fill="FFFFFF"/>
        </w:rPr>
        <w:t>, and an appreciation of the importance of procedural fairness.</w:t>
      </w:r>
      <w:r>
        <w:rPr>
          <w:color w:val="auto"/>
          <w:shd w:val="clear" w:color="auto" w:fill="FFFFFF"/>
        </w:rPr>
        <w:t xml:space="preserve"> However, matters of non-compliance will be escalated through the appropriate processes. </w:t>
      </w:r>
    </w:p>
    <w:p w14:paraId="4356CF50" w14:textId="7950357B" w:rsidR="00C303C8" w:rsidRDefault="008437CC" w:rsidP="008437CC">
      <w:pPr>
        <w:pStyle w:val="Heading3"/>
      </w:pPr>
      <w:r>
        <w:t xml:space="preserve">3.7 </w:t>
      </w:r>
      <w:r w:rsidR="00381F04">
        <w:t>R</w:t>
      </w:r>
      <w:r w:rsidR="008A1D8F">
        <w:t>&amp;D</w:t>
      </w:r>
      <w:r w:rsidR="00381F04">
        <w:t xml:space="preserve"> Tax Incentive</w:t>
      </w:r>
      <w:r w:rsidR="008A1D8F">
        <w:t xml:space="preserve"> Insider Plus </w:t>
      </w:r>
    </w:p>
    <w:p w14:paraId="67818772" w14:textId="5A535CC3" w:rsidR="00274133" w:rsidRDefault="00381F04" w:rsidP="00381F04">
      <w:pPr>
        <w:pStyle w:val="Bullet1"/>
        <w:numPr>
          <w:ilvl w:val="0"/>
          <w:numId w:val="0"/>
        </w:numPr>
        <w:ind w:left="284" w:hanging="284"/>
      </w:pPr>
      <w:r w:rsidRPr="00381F04">
        <w:rPr>
          <w:i/>
          <w:iCs/>
        </w:rPr>
        <w:t>R&amp;D Tax Incentive Insider Plus</w:t>
      </w:r>
      <w:r>
        <w:t xml:space="preserve"> will shortly be launching t</w:t>
      </w:r>
      <w:r w:rsidR="00274133">
        <w:t xml:space="preserve">o complement </w:t>
      </w:r>
      <w:r>
        <w:t>DISR’s monthly</w:t>
      </w:r>
      <w:r w:rsidR="00274133">
        <w:t xml:space="preserve"> </w:t>
      </w:r>
      <w:r w:rsidR="00274133" w:rsidRPr="00381F04">
        <w:rPr>
          <w:i/>
          <w:iCs/>
        </w:rPr>
        <w:t>R&amp;D Tax Incentive Insider</w:t>
      </w:r>
      <w:r>
        <w:t>.</w:t>
      </w:r>
      <w:r w:rsidR="00217BD4">
        <w:rPr>
          <w:rStyle w:val="FootnoteReference"/>
        </w:rPr>
        <w:footnoteReference w:id="3"/>
      </w:r>
    </w:p>
    <w:p w14:paraId="5166E414" w14:textId="435BED2C" w:rsidR="00934946" w:rsidRPr="00381F04" w:rsidRDefault="00381F04" w:rsidP="00381F04">
      <w:pPr>
        <w:rPr>
          <w:color w:val="auto"/>
          <w:shd w:val="clear" w:color="auto" w:fill="FFFFFF"/>
        </w:rPr>
      </w:pPr>
      <w:r w:rsidRPr="00381F04">
        <w:rPr>
          <w:color w:val="auto"/>
          <w:shd w:val="clear" w:color="auto" w:fill="FFFFFF"/>
        </w:rPr>
        <w:t xml:space="preserve">This collaboration between DISR and the ATO will be released multiple times a year and </w:t>
      </w:r>
      <w:r w:rsidR="0061697E" w:rsidRPr="00381F04">
        <w:rPr>
          <w:color w:val="auto"/>
          <w:shd w:val="clear" w:color="auto" w:fill="FFFFFF"/>
        </w:rPr>
        <w:t xml:space="preserve">take a deeper dive into R&amp;DTI content, </w:t>
      </w:r>
      <w:r w:rsidR="00E61304" w:rsidRPr="00381F04">
        <w:rPr>
          <w:color w:val="auto"/>
          <w:shd w:val="clear" w:color="auto" w:fill="FFFFFF"/>
        </w:rPr>
        <w:t xml:space="preserve">intended for readers </w:t>
      </w:r>
      <w:r w:rsidR="00C502FD" w:rsidRPr="00381F04">
        <w:rPr>
          <w:color w:val="auto"/>
          <w:shd w:val="clear" w:color="auto" w:fill="FFFFFF"/>
        </w:rPr>
        <w:t xml:space="preserve">that already </w:t>
      </w:r>
      <w:r w:rsidR="00A5130F" w:rsidRPr="00381F04">
        <w:rPr>
          <w:color w:val="auto"/>
          <w:shd w:val="clear" w:color="auto" w:fill="FFFFFF"/>
        </w:rPr>
        <w:t>understand</w:t>
      </w:r>
      <w:r w:rsidR="0061697E" w:rsidRPr="00381F04">
        <w:rPr>
          <w:color w:val="auto"/>
          <w:shd w:val="clear" w:color="auto" w:fill="FFFFFF"/>
        </w:rPr>
        <w:t xml:space="preserve"> the program</w:t>
      </w:r>
      <w:r w:rsidR="00274133" w:rsidRPr="00381F04">
        <w:rPr>
          <w:color w:val="auto"/>
          <w:shd w:val="clear" w:color="auto" w:fill="FFFFFF"/>
        </w:rPr>
        <w:t xml:space="preserve">. </w:t>
      </w:r>
      <w:r w:rsidR="00934946" w:rsidRPr="00381F04">
        <w:rPr>
          <w:color w:val="auto"/>
          <w:shd w:val="clear" w:color="auto" w:fill="FFFFFF"/>
        </w:rPr>
        <w:t xml:space="preserve">The aim of this newsletter is to share key </w:t>
      </w:r>
      <w:r w:rsidR="00302A61">
        <w:rPr>
          <w:color w:val="auto"/>
          <w:shd w:val="clear" w:color="auto" w:fill="FFFFFF"/>
        </w:rPr>
        <w:t>messages</w:t>
      </w:r>
      <w:r w:rsidR="00302A61" w:rsidRPr="00381F04">
        <w:rPr>
          <w:color w:val="auto"/>
          <w:shd w:val="clear" w:color="auto" w:fill="FFFFFF"/>
        </w:rPr>
        <w:t xml:space="preserve"> </w:t>
      </w:r>
      <w:r w:rsidR="00934946" w:rsidRPr="00381F04">
        <w:rPr>
          <w:color w:val="auto"/>
          <w:shd w:val="clear" w:color="auto" w:fill="FFFFFF"/>
        </w:rPr>
        <w:t>with tax agents and con</w:t>
      </w:r>
      <w:r w:rsidR="00AD7B89" w:rsidRPr="00381F04">
        <w:rPr>
          <w:color w:val="auto"/>
          <w:shd w:val="clear" w:color="auto" w:fill="FFFFFF"/>
        </w:rPr>
        <w:t>sultants more broadly and to provide a</w:t>
      </w:r>
      <w:r w:rsidR="00302A61">
        <w:rPr>
          <w:color w:val="auto"/>
          <w:shd w:val="clear" w:color="auto" w:fill="FFFFFF"/>
        </w:rPr>
        <w:t>n additional</w:t>
      </w:r>
      <w:r w:rsidR="00AD7B89" w:rsidRPr="00381F04">
        <w:rPr>
          <w:color w:val="auto"/>
          <w:shd w:val="clear" w:color="auto" w:fill="FFFFFF"/>
        </w:rPr>
        <w:t xml:space="preserve"> platform to ask questions and provide feedback on the program. </w:t>
      </w:r>
    </w:p>
    <w:p w14:paraId="0234C9D1" w14:textId="22E44FEA" w:rsidR="00801B7B" w:rsidRDefault="004A51CE" w:rsidP="00C303C8">
      <w:pPr>
        <w:pStyle w:val="Heading2"/>
      </w:pPr>
      <w:r>
        <w:t>4</w:t>
      </w:r>
      <w:r w:rsidR="00C303C8">
        <w:t>.</w:t>
      </w:r>
      <w:r w:rsidR="00571E4C" w:rsidRPr="00571E4C">
        <w:t xml:space="preserve"> </w:t>
      </w:r>
      <w:r w:rsidR="00571E4C">
        <w:t xml:space="preserve">Tax Transparency Measure </w:t>
      </w:r>
    </w:p>
    <w:p w14:paraId="233CBD9C" w14:textId="49419D7C" w:rsidR="00A62573" w:rsidRPr="004D0FB8" w:rsidRDefault="00A62573" w:rsidP="004D0FB8">
      <w:pPr>
        <w:rPr>
          <w:color w:val="auto"/>
          <w:shd w:val="clear" w:color="auto" w:fill="FFFFFF"/>
        </w:rPr>
      </w:pPr>
      <w:r w:rsidRPr="00A62573">
        <w:t xml:space="preserve">The ATO is required to publish publicly </w:t>
      </w:r>
      <w:r w:rsidR="00936768">
        <w:t>certain information regarding</w:t>
      </w:r>
      <w:r w:rsidRPr="00A62573">
        <w:t xml:space="preserve"> entities who claim the </w:t>
      </w:r>
      <w:r>
        <w:t>R&amp;DTI</w:t>
      </w:r>
      <w:r w:rsidRPr="00A62573">
        <w:t xml:space="preserve">. The first year to be published is the 2022 income year where the income year starts at or after 1 July 2021. The first release </w:t>
      </w:r>
      <w:r w:rsidRPr="004D0FB8">
        <w:rPr>
          <w:color w:val="auto"/>
          <w:shd w:val="clear" w:color="auto" w:fill="FFFFFF"/>
        </w:rPr>
        <w:t xml:space="preserve">of the data is planned for September 2024. </w:t>
      </w:r>
    </w:p>
    <w:p w14:paraId="6C42D712" w14:textId="425AAEBC" w:rsidR="00A62573" w:rsidRPr="003F2119" w:rsidRDefault="00A62573" w:rsidP="004D0FB8">
      <w:r w:rsidRPr="004D0FB8">
        <w:rPr>
          <w:color w:val="auto"/>
          <w:shd w:val="clear" w:color="auto" w:fill="FFFFFF"/>
        </w:rPr>
        <w:t>ATO is undertaking a communication strategy to increase the awareness about the measure and seeking entities claiming</w:t>
      </w:r>
      <w:r w:rsidRPr="00A62573">
        <w:t xml:space="preserve"> the R&amp;DTI to review the labels to be published to ensure they are correct and to lodge an amendment to correct any errors. The first outbound email communication to tax agents</w:t>
      </w:r>
      <w:r w:rsidR="008C68DD">
        <w:t xml:space="preserve"> was</w:t>
      </w:r>
      <w:r w:rsidRPr="00A62573">
        <w:t xml:space="preserve"> issued in October 2023. There will be another email communication to tax agents in February 2024 to remind entities to review the labels and lodge amendments prior to 31 March 2024. The third email communication is planned to issue in July 2024 confirming when the data will be released and other information to help understand the data.</w:t>
      </w:r>
    </w:p>
    <w:p w14:paraId="2450BB58" w14:textId="3DF103AA" w:rsidR="008A1D8F" w:rsidRDefault="00801B7B" w:rsidP="00C303C8">
      <w:pPr>
        <w:pStyle w:val="Heading2"/>
      </w:pPr>
      <w:r>
        <w:t xml:space="preserve">5. </w:t>
      </w:r>
      <w:r w:rsidR="008A1D8F">
        <w:t>Determination</w:t>
      </w:r>
      <w:r w:rsidR="00CF112B">
        <w:t>s</w:t>
      </w:r>
    </w:p>
    <w:p w14:paraId="62BA3CF2" w14:textId="102AA459" w:rsidR="001C0B2E" w:rsidRDefault="001C0B2E" w:rsidP="00381F04">
      <w:pPr>
        <w:pStyle w:val="Bullet1"/>
        <w:numPr>
          <w:ilvl w:val="0"/>
          <w:numId w:val="0"/>
        </w:numPr>
        <w:ind w:left="284" w:hanging="284"/>
      </w:pPr>
      <w:r>
        <w:t xml:space="preserve">The background brief on determinations </w:t>
      </w:r>
      <w:r w:rsidRPr="00F06E93">
        <w:rPr>
          <w:b/>
          <w:bCs/>
        </w:rPr>
        <w:t>(Attachment 2)</w:t>
      </w:r>
      <w:r>
        <w:t xml:space="preserve"> included with the agenda papers </w:t>
      </w:r>
      <w:r w:rsidR="00F06E93">
        <w:t>was</w:t>
      </w:r>
      <w:r>
        <w:t xml:space="preserve"> taken as read. </w:t>
      </w:r>
    </w:p>
    <w:p w14:paraId="7A77ACDD" w14:textId="178538D6" w:rsidR="009F6F25" w:rsidRDefault="009F6F25" w:rsidP="00F06E93">
      <w:r w:rsidRPr="00F06E93">
        <w:rPr>
          <w:color w:val="auto"/>
          <w:shd w:val="clear" w:color="auto" w:fill="FFFFFF"/>
        </w:rPr>
        <w:t>The</w:t>
      </w:r>
      <w:r>
        <w:t xml:space="preserve"> </w:t>
      </w:r>
      <w:r w:rsidR="00184C0A">
        <w:t>IISA</w:t>
      </w:r>
      <w:r>
        <w:t xml:space="preserve"> Board can make a </w:t>
      </w:r>
      <w:r w:rsidR="00184C0A">
        <w:t>d</w:t>
      </w:r>
      <w:r>
        <w:t>etermination that states how it will exercise its powers under Part III of the IR&amp;D Act</w:t>
      </w:r>
      <w:r w:rsidR="005A2AF4">
        <w:t>.</w:t>
      </w:r>
    </w:p>
    <w:p w14:paraId="5C2FA0DB" w14:textId="38C45ED0" w:rsidR="009F6F25" w:rsidRDefault="009F6F25" w:rsidP="00F06E93">
      <w:r>
        <w:t xml:space="preserve">The aim of </w:t>
      </w:r>
      <w:r w:rsidR="00184C0A">
        <w:t>d</w:t>
      </w:r>
      <w:r>
        <w:t>etermination</w:t>
      </w:r>
      <w:r w:rsidR="008931D3">
        <w:t>s is</w:t>
      </w:r>
      <w:r>
        <w:t xml:space="preserve"> to improve the efficiency </w:t>
      </w:r>
      <w:r w:rsidR="00184C0A">
        <w:t xml:space="preserve">and </w:t>
      </w:r>
      <w:r>
        <w:t xml:space="preserve">effectiveness and user satisfaction with the </w:t>
      </w:r>
      <w:r w:rsidR="00E11EBA">
        <w:t>R&amp;DTI</w:t>
      </w:r>
      <w:r>
        <w:t xml:space="preserve"> </w:t>
      </w:r>
      <w:r w:rsidR="00184C0A">
        <w:t>p</w:t>
      </w:r>
      <w:r>
        <w:t>rogram</w:t>
      </w:r>
      <w:r w:rsidR="005A2AF4">
        <w:t>.</w:t>
      </w:r>
    </w:p>
    <w:p w14:paraId="1D2A8947" w14:textId="21C11478" w:rsidR="009F6F25" w:rsidRDefault="009F6F25" w:rsidP="00F06E93">
      <w:r>
        <w:t xml:space="preserve">The first </w:t>
      </w:r>
      <w:r w:rsidR="00184C0A">
        <w:t>d</w:t>
      </w:r>
      <w:r>
        <w:t>etermination on clinical trials came into effect on 1 April 2022.</w:t>
      </w:r>
      <w:r w:rsidR="00F06E93">
        <w:t xml:space="preserve"> DISR </w:t>
      </w:r>
      <w:r>
        <w:t xml:space="preserve">are currently measuring the effectiveness of this first </w:t>
      </w:r>
      <w:r w:rsidR="00184C0A">
        <w:t>d</w:t>
      </w:r>
      <w:r>
        <w:t xml:space="preserve">etermination though feedback sessions with users and non-users </w:t>
      </w:r>
      <w:r w:rsidR="008931D3">
        <w:t xml:space="preserve">of the </w:t>
      </w:r>
      <w:r w:rsidR="00184C0A">
        <w:t>d</w:t>
      </w:r>
      <w:r w:rsidR="008931D3">
        <w:t>etermination</w:t>
      </w:r>
      <w:r w:rsidR="00F06E93">
        <w:t>.</w:t>
      </w:r>
    </w:p>
    <w:p w14:paraId="03E13C1E" w14:textId="073AF2B3" w:rsidR="009F6F25" w:rsidRDefault="008931D3" w:rsidP="00F06E93">
      <w:r>
        <w:lastRenderedPageBreak/>
        <w:t>The</w:t>
      </w:r>
      <w:r w:rsidR="00F06E93">
        <w:t>se</w:t>
      </w:r>
      <w:r>
        <w:t xml:space="preserve"> feedback sessions focus</w:t>
      </w:r>
      <w:r w:rsidR="009F6F25">
        <w:t xml:space="preserve"> on understa</w:t>
      </w:r>
      <w:r w:rsidR="005A2AF4">
        <w:t>nd</w:t>
      </w:r>
      <w:r w:rsidR="009F6F25">
        <w:t xml:space="preserve">ing the time and cost savings for applicants and advisers as a result of relying on the </w:t>
      </w:r>
      <w:r w:rsidR="00184C0A">
        <w:t>d</w:t>
      </w:r>
      <w:r w:rsidR="009F6F25">
        <w:t>etermination.</w:t>
      </w:r>
      <w:r w:rsidR="00F06E93">
        <w:t xml:space="preserve"> Respondents have reported:</w:t>
      </w:r>
    </w:p>
    <w:p w14:paraId="0B0684FF" w14:textId="5E410C23" w:rsidR="00117761" w:rsidRPr="00F06E93" w:rsidRDefault="00117761" w:rsidP="00F06E93">
      <w:pPr>
        <w:pStyle w:val="ListParagraph"/>
        <w:numPr>
          <w:ilvl w:val="0"/>
          <w:numId w:val="18"/>
        </w:numPr>
        <w:rPr>
          <w:color w:val="auto"/>
          <w:shd w:val="clear" w:color="auto" w:fill="FFFFFF"/>
        </w:rPr>
      </w:pPr>
      <w:r w:rsidRPr="00F06E93">
        <w:rPr>
          <w:color w:val="auto"/>
          <w:shd w:val="clear" w:color="auto" w:fill="FFFFFF"/>
        </w:rPr>
        <w:t xml:space="preserve">An estimated time saving ranging from 25% up to 75% for clinical trials applications with a CTN and a basic level of complexity  </w:t>
      </w:r>
    </w:p>
    <w:p w14:paraId="1428E648" w14:textId="007B7B60" w:rsidR="00117761" w:rsidRPr="00F06E93" w:rsidRDefault="005A2AF4" w:rsidP="00F06E93">
      <w:pPr>
        <w:pStyle w:val="ListParagraph"/>
        <w:numPr>
          <w:ilvl w:val="0"/>
          <w:numId w:val="18"/>
        </w:numPr>
        <w:rPr>
          <w:color w:val="auto"/>
          <w:shd w:val="clear" w:color="auto" w:fill="FFFFFF"/>
        </w:rPr>
      </w:pPr>
      <w:r w:rsidRPr="00F06E93">
        <w:rPr>
          <w:color w:val="auto"/>
          <w:shd w:val="clear" w:color="auto" w:fill="FFFFFF"/>
        </w:rPr>
        <w:t>A re</w:t>
      </w:r>
      <w:r w:rsidR="00117761" w:rsidRPr="00F06E93">
        <w:rPr>
          <w:color w:val="auto"/>
          <w:shd w:val="clear" w:color="auto" w:fill="FFFFFF"/>
        </w:rPr>
        <w:t>duc</w:t>
      </w:r>
      <w:r w:rsidRPr="00F06E93">
        <w:rPr>
          <w:color w:val="auto"/>
          <w:shd w:val="clear" w:color="auto" w:fill="FFFFFF"/>
        </w:rPr>
        <w:t>tion in</w:t>
      </w:r>
      <w:r w:rsidR="00117761" w:rsidRPr="00F06E93">
        <w:rPr>
          <w:color w:val="auto"/>
          <w:shd w:val="clear" w:color="auto" w:fill="FFFFFF"/>
        </w:rPr>
        <w:t xml:space="preserve"> the amount of evidence consultants need to request from their clients</w:t>
      </w:r>
    </w:p>
    <w:p w14:paraId="63AB103F" w14:textId="7B7D6BDB" w:rsidR="00117761" w:rsidRDefault="00F06E93" w:rsidP="00F06E93">
      <w:pPr>
        <w:pStyle w:val="ListParagraph"/>
        <w:numPr>
          <w:ilvl w:val="0"/>
          <w:numId w:val="18"/>
        </w:numPr>
      </w:pPr>
      <w:r>
        <w:t>T</w:t>
      </w:r>
      <w:r w:rsidR="00117761">
        <w:t xml:space="preserve">he </w:t>
      </w:r>
      <w:r w:rsidR="00184C0A">
        <w:rPr>
          <w:color w:val="auto"/>
          <w:shd w:val="clear" w:color="auto" w:fill="FFFFFF"/>
        </w:rPr>
        <w:t>d</w:t>
      </w:r>
      <w:r w:rsidR="00117761" w:rsidRPr="00F06E93">
        <w:rPr>
          <w:color w:val="auto"/>
          <w:shd w:val="clear" w:color="auto" w:fill="FFFFFF"/>
        </w:rPr>
        <w:t>etermination</w:t>
      </w:r>
      <w:r w:rsidR="00117761">
        <w:t xml:space="preserve"> did not create additional interest in the R&amp;DTI program, but it has confirmed Australia’s reputation as an attractive place to conduct R&amp;D in the life sciences. </w:t>
      </w:r>
    </w:p>
    <w:p w14:paraId="7CCDA938" w14:textId="12EFA76F" w:rsidR="00F06E93" w:rsidRDefault="00F06E93" w:rsidP="00F06E93">
      <w:pPr>
        <w:pStyle w:val="Bullet1"/>
        <w:numPr>
          <w:ilvl w:val="0"/>
          <w:numId w:val="0"/>
        </w:numPr>
      </w:pPr>
      <w:r>
        <w:t xml:space="preserve">Attendees were invited to suggest topics that would benefit from a future determination based on their experience of the program. This feedback was gathered and will be used to inform the development process.  </w:t>
      </w:r>
    </w:p>
    <w:p w14:paraId="5EC5C3C4" w14:textId="3C81351F" w:rsidR="00571E4C" w:rsidRDefault="00801B7B" w:rsidP="00571E4C">
      <w:pPr>
        <w:pStyle w:val="Heading2"/>
      </w:pPr>
      <w:r>
        <w:t>6</w:t>
      </w:r>
      <w:r w:rsidR="003C14D4">
        <w:t xml:space="preserve">. </w:t>
      </w:r>
      <w:r w:rsidR="00571E4C">
        <w:t xml:space="preserve">Joint Review </w:t>
      </w:r>
    </w:p>
    <w:p w14:paraId="09D8BBA3" w14:textId="401F5A97" w:rsidR="00A62573" w:rsidRPr="00A62573" w:rsidRDefault="00A62573" w:rsidP="00A62573">
      <w:r w:rsidRPr="00A62573">
        <w:t xml:space="preserve">DISR and the ATO are conducting a joint review of around 170 R&amp;DTI applications and claims that were made during the 2021-2022 income year. </w:t>
      </w:r>
    </w:p>
    <w:p w14:paraId="5AA31A8E" w14:textId="67F91BA3" w:rsidR="00A62573" w:rsidRPr="00A62573" w:rsidRDefault="00A62573" w:rsidP="00A62573">
      <w:r w:rsidRPr="00A62573">
        <w:t xml:space="preserve">The review will assess the eligibility of R&amp;DTI activities and/or expenditure and identify any potential issues with R&amp;DTI registrations and claims. </w:t>
      </w:r>
    </w:p>
    <w:p w14:paraId="3E3E9839" w14:textId="6A3D2CD8" w:rsidR="00A62573" w:rsidRPr="00A62573" w:rsidRDefault="00A62573" w:rsidP="00A62573">
      <w:r w:rsidRPr="00A62573">
        <w:t xml:space="preserve">DISR and the ATO will work together to limit the impact on companies included in the review. No specific areas of concern have been targeted. All companies have been randomly selected and the review will include refundable and non-refundable claims industry wide. </w:t>
      </w:r>
    </w:p>
    <w:p w14:paraId="026285FF" w14:textId="156587E8" w:rsidR="00A62573" w:rsidRPr="00A62573" w:rsidRDefault="00A62573" w:rsidP="00A62573">
      <w:r w:rsidRPr="00A62573">
        <w:t xml:space="preserve">This new process will help to ensure program integrity and identify any gaps in current guidance products. </w:t>
      </w:r>
    </w:p>
    <w:p w14:paraId="18BB3F76" w14:textId="5FDD1FAF" w:rsidR="00A62573" w:rsidRPr="00CA3EAB" w:rsidRDefault="00A62573" w:rsidP="00CA3EAB">
      <w:r w:rsidRPr="00A62573">
        <w:t>The review will commence in November 2023 and conclude mid-2024.</w:t>
      </w:r>
    </w:p>
    <w:p w14:paraId="35C5BA9D" w14:textId="33D39D38" w:rsidR="004A51CE" w:rsidRDefault="0078483B" w:rsidP="0078483B">
      <w:pPr>
        <w:pStyle w:val="Heading2"/>
        <w:tabs>
          <w:tab w:val="left" w:pos="284"/>
        </w:tabs>
      </w:pPr>
      <w:r>
        <w:t xml:space="preserve">7. </w:t>
      </w:r>
      <w:r w:rsidR="004A51CE">
        <w:t>Advance Finding</w:t>
      </w:r>
      <w:r w:rsidR="00CF112B">
        <w:t>s</w:t>
      </w:r>
    </w:p>
    <w:p w14:paraId="4D16CA4B" w14:textId="750B2311" w:rsidR="0050480A" w:rsidRDefault="0050480A" w:rsidP="00E32ACE">
      <w:bookmarkStart w:id="6" w:name="_Justified_Trust_&amp;"/>
      <w:bookmarkStart w:id="7" w:name="_Other_Business_and"/>
      <w:bookmarkEnd w:id="6"/>
      <w:bookmarkEnd w:id="7"/>
      <w:r>
        <w:t>Advance findings</w:t>
      </w:r>
      <w:r w:rsidR="008D78DF">
        <w:t xml:space="preserve"> </w:t>
      </w:r>
      <w:r>
        <w:t xml:space="preserve">are binding on the Commissioner of Taxation and provide R&amp;D entities with up to three years certainty that </w:t>
      </w:r>
      <w:r w:rsidR="008D78DF">
        <w:t xml:space="preserve">their </w:t>
      </w:r>
      <w:r>
        <w:t>R&amp;D activities are eligible</w:t>
      </w:r>
      <w:r w:rsidR="008D78DF">
        <w:t xml:space="preserve">. </w:t>
      </w:r>
    </w:p>
    <w:p w14:paraId="54779F2D" w14:textId="2516BAE3" w:rsidR="0050480A" w:rsidRDefault="0050480A" w:rsidP="00E32ACE">
      <w:r>
        <w:t>Despite the availability of advance findings as a mechanism that provides certainty, users of the program have consistently, over many years, provided feedback that we as regulators should provide more certainty</w:t>
      </w:r>
      <w:r w:rsidR="008D78DF">
        <w:t>.</w:t>
      </w:r>
    </w:p>
    <w:p w14:paraId="4EC73D8C" w14:textId="688CB3BF" w:rsidR="008E0F50" w:rsidRDefault="0050480A" w:rsidP="00E32ACE">
      <w:r>
        <w:t xml:space="preserve">Over the </w:t>
      </w:r>
      <w:r w:rsidR="008E0F50">
        <w:t xml:space="preserve">12-year </w:t>
      </w:r>
      <w:r>
        <w:t xml:space="preserve">history of the </w:t>
      </w:r>
      <w:r w:rsidR="00184C0A">
        <w:t>program,</w:t>
      </w:r>
      <w:r>
        <w:t xml:space="preserve"> </w:t>
      </w:r>
      <w:r w:rsidR="008E0F50">
        <w:t>around 300 applications for advance findings</w:t>
      </w:r>
      <w:r w:rsidR="008D78DF">
        <w:t xml:space="preserve"> have been received</w:t>
      </w:r>
      <w:r w:rsidR="008E0F50">
        <w:t xml:space="preserve">. </w:t>
      </w:r>
    </w:p>
    <w:p w14:paraId="4A7AEE9B" w14:textId="7F807F2B" w:rsidR="00D56EA9" w:rsidRDefault="008D78DF" w:rsidP="00E32ACE">
      <w:r>
        <w:t>While</w:t>
      </w:r>
      <w:r w:rsidR="008E0F50">
        <w:t xml:space="preserve"> R&amp;D entities appreciate the self-assessment aspect of the </w:t>
      </w:r>
      <w:r w:rsidR="00051BEA">
        <w:t>program</w:t>
      </w:r>
      <w:r>
        <w:t xml:space="preserve">, </w:t>
      </w:r>
      <w:r w:rsidR="008E0F50">
        <w:t xml:space="preserve">the prospect of retrospective compliance action after </w:t>
      </w:r>
      <w:r w:rsidR="00D56EA9">
        <w:t xml:space="preserve">registration and receipt of the associated tax offset </w:t>
      </w:r>
      <w:r>
        <w:t xml:space="preserve">can be a cause for concern. </w:t>
      </w:r>
    </w:p>
    <w:p w14:paraId="1642820E" w14:textId="47CF2D1D" w:rsidR="00F8240B" w:rsidRDefault="00D244C1" w:rsidP="00E32ACE">
      <w:r>
        <w:t>The</w:t>
      </w:r>
      <w:r w:rsidR="00F8240B">
        <w:t xml:space="preserve"> 2021 ANAO audit of the R&amp;D</w:t>
      </w:r>
      <w:r w:rsidR="00051BEA">
        <w:t>TI</w:t>
      </w:r>
      <w:r w:rsidR="00F8240B">
        <w:t xml:space="preserve"> recommended that </w:t>
      </w:r>
      <w:r>
        <w:t>DISR</w:t>
      </w:r>
      <w:r w:rsidR="00F8240B">
        <w:t xml:space="preserve"> u</w:t>
      </w:r>
      <w:r w:rsidR="00F8240B" w:rsidRPr="00F8240B">
        <w:t xml:space="preserve">ndertake analysis to better understand why </w:t>
      </w:r>
      <w:r w:rsidR="00F8240B">
        <w:t xml:space="preserve">R&amp;D </w:t>
      </w:r>
      <w:r w:rsidR="00F8240B" w:rsidRPr="00F8240B">
        <w:t>entities do and do not apply for advance findings</w:t>
      </w:r>
      <w:r w:rsidR="00F8240B">
        <w:t>.</w:t>
      </w:r>
    </w:p>
    <w:p w14:paraId="26CC3F70" w14:textId="4BB27517" w:rsidR="00D56EA9" w:rsidRDefault="00D244C1" w:rsidP="00E32ACE">
      <w:r>
        <w:t xml:space="preserve">Results from a 2022 survey show </w:t>
      </w:r>
      <w:r w:rsidR="00D56EA9">
        <w:t xml:space="preserve">that advance findings have been </w:t>
      </w:r>
      <w:r>
        <w:t>valuable</w:t>
      </w:r>
      <w:r w:rsidR="00D56EA9">
        <w:t xml:space="preserve"> for those few R&amp;D entities that use </w:t>
      </w:r>
      <w:r>
        <w:t>them and</w:t>
      </w:r>
      <w:r w:rsidR="00D56EA9">
        <w:t xml:space="preserve"> were </w:t>
      </w:r>
      <w:r>
        <w:t>viewed</w:t>
      </w:r>
      <w:r w:rsidR="00D56EA9">
        <w:t xml:space="preserve"> as unnecessary by those that d</w:t>
      </w:r>
      <w:r>
        <w:t>idn</w:t>
      </w:r>
      <w:r w:rsidR="00D56EA9">
        <w:t>’t.</w:t>
      </w:r>
    </w:p>
    <w:p w14:paraId="63A8EDD6" w14:textId="7A583BE4" w:rsidR="00682F78" w:rsidRDefault="005266BA" w:rsidP="00E32ACE">
      <w:r>
        <w:t>R&amp;D entit</w:t>
      </w:r>
      <w:r w:rsidR="00D244C1">
        <w:t xml:space="preserve">ies </w:t>
      </w:r>
      <w:r w:rsidR="00D56EA9">
        <w:t xml:space="preserve">more likely to </w:t>
      </w:r>
      <w:r w:rsidR="00682F78">
        <w:t>have submitted an advance finding were:</w:t>
      </w:r>
    </w:p>
    <w:p w14:paraId="43810896" w14:textId="598B4F69" w:rsidR="00682F78" w:rsidRPr="00D244C1" w:rsidRDefault="00682F78" w:rsidP="00D244C1">
      <w:pPr>
        <w:pStyle w:val="ListParagraph"/>
        <w:numPr>
          <w:ilvl w:val="0"/>
          <w:numId w:val="18"/>
        </w:numPr>
        <w:rPr>
          <w:color w:val="auto"/>
          <w:shd w:val="clear" w:color="auto" w:fill="FFFFFF"/>
        </w:rPr>
      </w:pPr>
      <w:r w:rsidRPr="00D244C1">
        <w:rPr>
          <w:color w:val="auto"/>
          <w:shd w:val="clear" w:color="auto" w:fill="FFFFFF"/>
        </w:rPr>
        <w:t xml:space="preserve">the applying </w:t>
      </w:r>
      <w:r w:rsidR="005266BA" w:rsidRPr="00D244C1">
        <w:rPr>
          <w:color w:val="auto"/>
          <w:shd w:val="clear" w:color="auto" w:fill="FFFFFF"/>
        </w:rPr>
        <w:t>R&amp;D entity</w:t>
      </w:r>
      <w:r w:rsidRPr="00D244C1">
        <w:rPr>
          <w:color w:val="auto"/>
          <w:shd w:val="clear" w:color="auto" w:fill="FFFFFF"/>
        </w:rPr>
        <w:t xml:space="preserve"> themselves</w:t>
      </w:r>
    </w:p>
    <w:p w14:paraId="6E6AF3E5" w14:textId="734C33F0" w:rsidR="00682F78" w:rsidRPr="00D244C1" w:rsidRDefault="005266BA" w:rsidP="00D244C1">
      <w:pPr>
        <w:pStyle w:val="ListParagraph"/>
        <w:numPr>
          <w:ilvl w:val="0"/>
          <w:numId w:val="18"/>
        </w:numPr>
        <w:rPr>
          <w:color w:val="auto"/>
          <w:shd w:val="clear" w:color="auto" w:fill="FFFFFF"/>
        </w:rPr>
      </w:pPr>
      <w:bookmarkStart w:id="8" w:name="_Hlk148015902"/>
      <w:r w:rsidRPr="00D244C1">
        <w:rPr>
          <w:color w:val="auto"/>
          <w:shd w:val="clear" w:color="auto" w:fill="FFFFFF"/>
        </w:rPr>
        <w:t>R&amp;D entities</w:t>
      </w:r>
      <w:r w:rsidR="00682F78" w:rsidRPr="00D244C1">
        <w:rPr>
          <w:color w:val="auto"/>
          <w:shd w:val="clear" w:color="auto" w:fill="FFFFFF"/>
        </w:rPr>
        <w:t xml:space="preserve"> </w:t>
      </w:r>
      <w:bookmarkEnd w:id="8"/>
      <w:r w:rsidR="00682F78" w:rsidRPr="00D244C1">
        <w:rPr>
          <w:color w:val="auto"/>
          <w:shd w:val="clear" w:color="auto" w:fill="FFFFFF"/>
        </w:rPr>
        <w:t>in their conception or start-up life stage</w:t>
      </w:r>
    </w:p>
    <w:p w14:paraId="61BE44BF" w14:textId="37F1EA5A" w:rsidR="00682F78" w:rsidRPr="00D244C1" w:rsidRDefault="005266BA" w:rsidP="00D244C1">
      <w:pPr>
        <w:pStyle w:val="ListParagraph"/>
        <w:numPr>
          <w:ilvl w:val="0"/>
          <w:numId w:val="18"/>
        </w:numPr>
        <w:rPr>
          <w:color w:val="auto"/>
          <w:shd w:val="clear" w:color="auto" w:fill="FFFFFF"/>
        </w:rPr>
      </w:pPr>
      <w:r w:rsidRPr="00D244C1">
        <w:rPr>
          <w:color w:val="auto"/>
          <w:shd w:val="clear" w:color="auto" w:fill="FFFFFF"/>
        </w:rPr>
        <w:t>R&amp;D entities</w:t>
      </w:r>
      <w:r w:rsidR="00682F78" w:rsidRPr="00D244C1">
        <w:rPr>
          <w:color w:val="auto"/>
          <w:shd w:val="clear" w:color="auto" w:fill="FFFFFF"/>
        </w:rPr>
        <w:t xml:space="preserve"> conducting biotechnology R&amp;D activities</w:t>
      </w:r>
    </w:p>
    <w:p w14:paraId="73EA0A74" w14:textId="56B842BB" w:rsidR="00682F78" w:rsidRPr="00D244C1" w:rsidRDefault="005266BA" w:rsidP="00D244C1">
      <w:pPr>
        <w:pStyle w:val="ListParagraph"/>
        <w:numPr>
          <w:ilvl w:val="0"/>
          <w:numId w:val="18"/>
        </w:numPr>
        <w:rPr>
          <w:color w:val="auto"/>
          <w:shd w:val="clear" w:color="auto" w:fill="FFFFFF"/>
        </w:rPr>
      </w:pPr>
      <w:r w:rsidRPr="00D244C1">
        <w:rPr>
          <w:color w:val="auto"/>
          <w:shd w:val="clear" w:color="auto" w:fill="FFFFFF"/>
        </w:rPr>
        <w:t>R&amp;D entities</w:t>
      </w:r>
      <w:r w:rsidR="00682F78" w:rsidRPr="00D244C1">
        <w:rPr>
          <w:color w:val="auto"/>
          <w:shd w:val="clear" w:color="auto" w:fill="FFFFFF"/>
        </w:rPr>
        <w:t xml:space="preserve"> with estimated expenditure of over $1m</w:t>
      </w:r>
    </w:p>
    <w:p w14:paraId="54C01C61" w14:textId="2F25185B" w:rsidR="00682F78" w:rsidRDefault="00D244C1" w:rsidP="00D244C1">
      <w:pPr>
        <w:pStyle w:val="Bullet1"/>
        <w:numPr>
          <w:ilvl w:val="0"/>
          <w:numId w:val="0"/>
        </w:numPr>
        <w:ind w:left="284" w:hanging="284"/>
      </w:pPr>
      <w:r>
        <w:t>Re</w:t>
      </w:r>
      <w:r w:rsidR="00682F78">
        <w:t>asons R&amp;D entities do not apply for advance findings include:</w:t>
      </w:r>
    </w:p>
    <w:p w14:paraId="6958DE7D" w14:textId="57D172BC" w:rsidR="00682F78" w:rsidRPr="00D244C1" w:rsidRDefault="005266BA" w:rsidP="00D244C1">
      <w:pPr>
        <w:pStyle w:val="ListParagraph"/>
        <w:numPr>
          <w:ilvl w:val="0"/>
          <w:numId w:val="18"/>
        </w:numPr>
        <w:rPr>
          <w:color w:val="auto"/>
          <w:shd w:val="clear" w:color="auto" w:fill="FFFFFF"/>
        </w:rPr>
      </w:pPr>
      <w:r w:rsidRPr="00D244C1">
        <w:rPr>
          <w:color w:val="auto"/>
          <w:shd w:val="clear" w:color="auto" w:fill="FFFFFF"/>
        </w:rPr>
        <w:lastRenderedPageBreak/>
        <w:t>they</w:t>
      </w:r>
      <w:r w:rsidR="00682F78" w:rsidRPr="00D244C1">
        <w:rPr>
          <w:color w:val="auto"/>
          <w:shd w:val="clear" w:color="auto" w:fill="FFFFFF"/>
        </w:rPr>
        <w:t xml:space="preserve"> are sure that their R&amp;D activities are eligible</w:t>
      </w:r>
    </w:p>
    <w:p w14:paraId="7DE4C234" w14:textId="05D5029A" w:rsidR="00682F78" w:rsidRPr="00D244C1" w:rsidRDefault="005266BA" w:rsidP="00D244C1">
      <w:pPr>
        <w:pStyle w:val="ListParagraph"/>
        <w:numPr>
          <w:ilvl w:val="0"/>
          <w:numId w:val="18"/>
        </w:numPr>
        <w:rPr>
          <w:color w:val="auto"/>
          <w:shd w:val="clear" w:color="auto" w:fill="FFFFFF"/>
        </w:rPr>
      </w:pPr>
      <w:r w:rsidRPr="00D244C1">
        <w:rPr>
          <w:color w:val="auto"/>
          <w:shd w:val="clear" w:color="auto" w:fill="FFFFFF"/>
        </w:rPr>
        <w:t>they</w:t>
      </w:r>
      <w:r w:rsidR="00682F78" w:rsidRPr="00D244C1">
        <w:rPr>
          <w:color w:val="auto"/>
          <w:shd w:val="clear" w:color="auto" w:fill="FFFFFF"/>
        </w:rPr>
        <w:t xml:space="preserve"> </w:t>
      </w:r>
      <w:r w:rsidR="004327DC" w:rsidRPr="00D244C1">
        <w:rPr>
          <w:color w:val="auto"/>
          <w:shd w:val="clear" w:color="auto" w:fill="FFFFFF"/>
        </w:rPr>
        <w:t xml:space="preserve">are </w:t>
      </w:r>
      <w:r w:rsidR="00682F78" w:rsidRPr="00D244C1">
        <w:rPr>
          <w:color w:val="auto"/>
          <w:shd w:val="clear" w:color="auto" w:fill="FFFFFF"/>
        </w:rPr>
        <w:t>unaware of the advance finding offering</w:t>
      </w:r>
    </w:p>
    <w:p w14:paraId="5316F333" w14:textId="47CF6D95" w:rsidR="00682F78" w:rsidRPr="00D244C1" w:rsidRDefault="005266BA" w:rsidP="00D244C1">
      <w:pPr>
        <w:pStyle w:val="ListParagraph"/>
        <w:numPr>
          <w:ilvl w:val="0"/>
          <w:numId w:val="18"/>
        </w:numPr>
        <w:rPr>
          <w:color w:val="auto"/>
          <w:shd w:val="clear" w:color="auto" w:fill="FFFFFF"/>
        </w:rPr>
      </w:pPr>
      <w:r w:rsidRPr="00D244C1">
        <w:rPr>
          <w:color w:val="auto"/>
          <w:shd w:val="clear" w:color="auto" w:fill="FFFFFF"/>
        </w:rPr>
        <w:t>they</w:t>
      </w:r>
      <w:r w:rsidR="004327DC" w:rsidRPr="00D244C1">
        <w:rPr>
          <w:color w:val="auto"/>
          <w:shd w:val="clear" w:color="auto" w:fill="FFFFFF"/>
        </w:rPr>
        <w:t xml:space="preserve"> </w:t>
      </w:r>
      <w:r w:rsidR="00682F78" w:rsidRPr="00D244C1">
        <w:rPr>
          <w:color w:val="auto"/>
          <w:shd w:val="clear" w:color="auto" w:fill="FFFFFF"/>
        </w:rPr>
        <w:t>d</w:t>
      </w:r>
      <w:r w:rsidR="004327DC" w:rsidRPr="00D244C1">
        <w:rPr>
          <w:color w:val="auto"/>
          <w:shd w:val="clear" w:color="auto" w:fill="FFFFFF"/>
        </w:rPr>
        <w:t xml:space="preserve">on’t </w:t>
      </w:r>
      <w:r w:rsidR="00682F78" w:rsidRPr="00D244C1">
        <w:rPr>
          <w:color w:val="auto"/>
          <w:shd w:val="clear" w:color="auto" w:fill="FFFFFF"/>
        </w:rPr>
        <w:t>see the need for an advance finding</w:t>
      </w:r>
    </w:p>
    <w:p w14:paraId="2CB451C9" w14:textId="16F671EE" w:rsidR="004327DC" w:rsidRPr="00D244C1" w:rsidRDefault="005266BA" w:rsidP="00D244C1">
      <w:pPr>
        <w:pStyle w:val="ListParagraph"/>
        <w:numPr>
          <w:ilvl w:val="0"/>
          <w:numId w:val="18"/>
        </w:numPr>
        <w:rPr>
          <w:color w:val="auto"/>
          <w:shd w:val="clear" w:color="auto" w:fill="FFFFFF"/>
        </w:rPr>
      </w:pPr>
      <w:r w:rsidRPr="00D244C1">
        <w:rPr>
          <w:color w:val="auto"/>
          <w:shd w:val="clear" w:color="auto" w:fill="FFFFFF"/>
        </w:rPr>
        <w:t>t</w:t>
      </w:r>
      <w:r w:rsidR="004327DC" w:rsidRPr="00D244C1">
        <w:rPr>
          <w:color w:val="auto"/>
          <w:shd w:val="clear" w:color="auto" w:fill="FFFFFF"/>
        </w:rPr>
        <w:t>ime commitment involved in applying</w:t>
      </w:r>
    </w:p>
    <w:p w14:paraId="5F0CBC23" w14:textId="0C2F43EE" w:rsidR="004327DC" w:rsidRPr="00D244C1" w:rsidRDefault="005266BA" w:rsidP="00D244C1">
      <w:pPr>
        <w:pStyle w:val="ListParagraph"/>
        <w:numPr>
          <w:ilvl w:val="0"/>
          <w:numId w:val="18"/>
        </w:numPr>
        <w:rPr>
          <w:color w:val="auto"/>
          <w:shd w:val="clear" w:color="auto" w:fill="FFFFFF"/>
        </w:rPr>
      </w:pPr>
      <w:r w:rsidRPr="00D244C1">
        <w:rPr>
          <w:color w:val="auto"/>
          <w:shd w:val="clear" w:color="auto" w:fill="FFFFFF"/>
        </w:rPr>
        <w:t>p</w:t>
      </w:r>
      <w:r w:rsidR="004327DC" w:rsidRPr="00D244C1">
        <w:rPr>
          <w:color w:val="auto"/>
          <w:shd w:val="clear" w:color="auto" w:fill="FFFFFF"/>
        </w:rPr>
        <w:t>erceived complexity of applying</w:t>
      </w:r>
      <w:r w:rsidR="00051BEA">
        <w:rPr>
          <w:color w:val="auto"/>
          <w:shd w:val="clear" w:color="auto" w:fill="FFFFFF"/>
        </w:rPr>
        <w:t>.</w:t>
      </w:r>
    </w:p>
    <w:p w14:paraId="3DBA9534" w14:textId="39933C06" w:rsidR="0000743A" w:rsidRDefault="00D244C1" w:rsidP="00E32ACE">
      <w:r>
        <w:t>Following this survey, DISR has</w:t>
      </w:r>
      <w:r w:rsidR="0000743A">
        <w:t xml:space="preserve"> established an Advance Finding Strategy team to </w:t>
      </w:r>
      <w:r w:rsidR="00AE1508">
        <w:t xml:space="preserve">review potential opportunities to </w:t>
      </w:r>
      <w:r w:rsidR="0000743A">
        <w:t xml:space="preserve">increase the </w:t>
      </w:r>
      <w:r w:rsidR="00051BEA">
        <w:t>uptake of</w:t>
      </w:r>
      <w:r w:rsidR="00AE1508">
        <w:t xml:space="preserve"> advance finding</w:t>
      </w:r>
      <w:r w:rsidR="00051BEA">
        <w:t>s</w:t>
      </w:r>
      <w:r w:rsidR="0000743A">
        <w:t>.</w:t>
      </w:r>
    </w:p>
    <w:p w14:paraId="0638C6E7" w14:textId="447BE3DD" w:rsidR="00E9592F" w:rsidRPr="007E29A2" w:rsidRDefault="008D78DF" w:rsidP="00E32ACE">
      <w:r>
        <w:t xml:space="preserve">Attendees were invited to </w:t>
      </w:r>
      <w:r w:rsidR="00D244C1">
        <w:t xml:space="preserve">discuss what factors, circumstances, or barriers influence the decision not to seek an advance finding and potential improvements that could be made to the process. </w:t>
      </w:r>
      <w:r w:rsidR="00275F0C">
        <w:t xml:space="preserve">Key themes raised included the cost/benefit of procuring an advance finding, streamlining the administrative process for advance finding applications, and the adoption of mechanisms used in similar programs by other jurisdictions. </w:t>
      </w:r>
      <w:r w:rsidR="00D244C1">
        <w:t xml:space="preserve">This feedback will be used in the development of the Advance Finding Strategy. </w:t>
      </w:r>
    </w:p>
    <w:p w14:paraId="2052D352" w14:textId="4A5EDB36" w:rsidR="006F1F97" w:rsidRDefault="006F1F97" w:rsidP="008D78DF">
      <w:pPr>
        <w:pStyle w:val="Heading2"/>
        <w:tabs>
          <w:tab w:val="left" w:pos="284"/>
        </w:tabs>
      </w:pPr>
      <w:r w:rsidRPr="007D1BB3">
        <w:t>A</w:t>
      </w:r>
      <w:r>
        <w:t>ttachments</w:t>
      </w:r>
    </w:p>
    <w:p w14:paraId="2481C5C2" w14:textId="54110C32" w:rsidR="006F1F97" w:rsidRDefault="006F1F97" w:rsidP="006F1F97">
      <w:pPr>
        <w:pStyle w:val="Heading4"/>
        <w:rPr>
          <w:rFonts w:asciiTheme="minorHAnsi" w:hAnsiTheme="minorHAnsi"/>
          <w:b w:val="0"/>
          <w:color w:val="264F90"/>
          <w:sz w:val="24"/>
          <w:lang w:eastAsia="en-US"/>
        </w:rPr>
      </w:pPr>
      <w:r w:rsidRPr="00E6605F">
        <w:rPr>
          <w:rFonts w:asciiTheme="minorHAnsi" w:hAnsiTheme="minorHAnsi"/>
          <w:b w:val="0"/>
          <w:color w:val="264F90"/>
          <w:sz w:val="24"/>
          <w:lang w:eastAsia="en-US"/>
        </w:rPr>
        <w:t>Attachment 1 – R&amp;D Tax Incentive program update</w:t>
      </w:r>
    </w:p>
    <w:p w14:paraId="218C7C92" w14:textId="5D944E16" w:rsidR="006F1F97" w:rsidRDefault="006F1F97" w:rsidP="006F1F97">
      <w:pPr>
        <w:pStyle w:val="Heading4"/>
        <w:rPr>
          <w:rFonts w:asciiTheme="minorHAnsi" w:hAnsiTheme="minorHAnsi"/>
          <w:b w:val="0"/>
          <w:color w:val="264F90"/>
          <w:sz w:val="24"/>
          <w:lang w:eastAsia="en-US"/>
        </w:rPr>
      </w:pPr>
      <w:r w:rsidRPr="00665F26">
        <w:rPr>
          <w:rFonts w:asciiTheme="minorHAnsi" w:hAnsiTheme="minorHAnsi"/>
          <w:b w:val="0"/>
          <w:color w:val="264F90"/>
          <w:sz w:val="24"/>
          <w:lang w:eastAsia="en-US"/>
        </w:rPr>
        <w:t xml:space="preserve">Attachment 2 </w:t>
      </w:r>
      <w:r>
        <w:rPr>
          <w:rFonts w:asciiTheme="minorHAnsi" w:hAnsiTheme="minorHAnsi"/>
          <w:b w:val="0"/>
          <w:color w:val="264F90"/>
          <w:sz w:val="24"/>
          <w:lang w:eastAsia="en-US"/>
        </w:rPr>
        <w:t>–</w:t>
      </w:r>
      <w:r w:rsidRPr="00665F26">
        <w:rPr>
          <w:rFonts w:asciiTheme="minorHAnsi" w:hAnsiTheme="minorHAnsi"/>
          <w:b w:val="0"/>
          <w:color w:val="264F90"/>
          <w:sz w:val="24"/>
          <w:lang w:eastAsia="en-US"/>
        </w:rPr>
        <w:t xml:space="preserve"> </w:t>
      </w:r>
      <w:r>
        <w:rPr>
          <w:rFonts w:asciiTheme="minorHAnsi" w:hAnsiTheme="minorHAnsi"/>
          <w:b w:val="0"/>
          <w:color w:val="264F90"/>
          <w:sz w:val="24"/>
          <w:lang w:eastAsia="en-US"/>
        </w:rPr>
        <w:t xml:space="preserve">Determinations </w:t>
      </w:r>
      <w:r w:rsidR="00616154">
        <w:rPr>
          <w:rFonts w:asciiTheme="minorHAnsi" w:hAnsiTheme="minorHAnsi"/>
          <w:b w:val="0"/>
          <w:color w:val="264F90"/>
          <w:sz w:val="24"/>
          <w:lang w:eastAsia="en-US"/>
        </w:rPr>
        <w:t>background brief</w:t>
      </w:r>
    </w:p>
    <w:p w14:paraId="0483CDD0" w14:textId="4F7B4E99" w:rsidR="006F1F97" w:rsidRDefault="006F1F97" w:rsidP="006F1F97">
      <w:pPr>
        <w:rPr>
          <w:lang w:eastAsia="en-US"/>
        </w:rPr>
      </w:pPr>
    </w:p>
    <w:p w14:paraId="08765997" w14:textId="1297DADB" w:rsidR="006F1F97" w:rsidRDefault="006F1F97">
      <w:pPr>
        <w:rPr>
          <w:lang w:eastAsia="en-US"/>
        </w:rPr>
      </w:pPr>
      <w:r>
        <w:rPr>
          <w:lang w:eastAsia="en-US"/>
        </w:rPr>
        <w:br w:type="page"/>
      </w:r>
    </w:p>
    <w:p w14:paraId="0FCDDB4C" w14:textId="64752F5A" w:rsidR="006F1F97" w:rsidRDefault="006F1F97" w:rsidP="00272C66">
      <w:pPr>
        <w:rPr>
          <w:sz w:val="52"/>
          <w:szCs w:val="52"/>
        </w:rPr>
      </w:pPr>
      <w:r>
        <w:rPr>
          <w:noProof/>
          <w:lang w:eastAsia="en-AU"/>
        </w:rPr>
        <w:lastRenderedPageBreak/>
        <w:drawing>
          <wp:anchor distT="0" distB="0" distL="114300" distR="114300" simplePos="0" relativeHeight="251658243" behindDoc="1" locked="0" layoutInCell="1" allowOverlap="1" wp14:anchorId="27E86EF0" wp14:editId="56DACE74">
            <wp:simplePos x="0" y="0"/>
            <wp:positionH relativeFrom="page">
              <wp:posOffset>61072</wp:posOffset>
            </wp:positionH>
            <wp:positionV relativeFrom="paragraph">
              <wp:posOffset>-876300</wp:posOffset>
            </wp:positionV>
            <wp:extent cx="7496168" cy="1561381"/>
            <wp:effectExtent l="0" t="0" r="0" b="127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96168" cy="1561381"/>
                    </a:xfrm>
                    <a:prstGeom prst="rect">
                      <a:avLst/>
                    </a:prstGeom>
                  </pic:spPr>
                </pic:pic>
              </a:graphicData>
            </a:graphic>
            <wp14:sizeRelH relativeFrom="page">
              <wp14:pctWidth>0</wp14:pctWidth>
            </wp14:sizeRelH>
            <wp14:sizeRelV relativeFrom="page">
              <wp14:pctHeight>0</wp14:pctHeight>
            </wp14:sizeRelV>
          </wp:anchor>
        </w:drawing>
      </w:r>
    </w:p>
    <w:p w14:paraId="6762A02A" w14:textId="2931BCB2" w:rsidR="006F1F97" w:rsidRDefault="006F1F97" w:rsidP="00272C66"/>
    <w:p w14:paraId="535A5B4F" w14:textId="2418F387" w:rsidR="00851E7C" w:rsidRDefault="00851E7C" w:rsidP="006F1F97">
      <w:pPr>
        <w:pStyle w:val="Title"/>
        <w:jc w:val="center"/>
        <w:rPr>
          <w:sz w:val="52"/>
          <w:szCs w:val="52"/>
        </w:rPr>
      </w:pPr>
      <w:r>
        <w:rPr>
          <w:sz w:val="52"/>
          <w:szCs w:val="52"/>
        </w:rPr>
        <w:t xml:space="preserve">Attachment 1 </w:t>
      </w:r>
    </w:p>
    <w:p w14:paraId="279684C9" w14:textId="555EE753" w:rsidR="006F1F97" w:rsidRDefault="006F1F97" w:rsidP="006F1F97">
      <w:pPr>
        <w:pStyle w:val="Title"/>
        <w:jc w:val="center"/>
        <w:rPr>
          <w:sz w:val="52"/>
          <w:szCs w:val="52"/>
        </w:rPr>
      </w:pPr>
      <w:r w:rsidRPr="79E4B837">
        <w:rPr>
          <w:sz w:val="52"/>
          <w:szCs w:val="52"/>
        </w:rPr>
        <w:t>R&amp;D Tax Incentive</w:t>
      </w:r>
      <w:r w:rsidR="00851E7C">
        <w:rPr>
          <w:sz w:val="52"/>
          <w:szCs w:val="52"/>
        </w:rPr>
        <w:t xml:space="preserve"> </w:t>
      </w:r>
      <w:r>
        <w:rPr>
          <w:sz w:val="52"/>
          <w:szCs w:val="52"/>
        </w:rPr>
        <w:t>Program Update</w:t>
      </w:r>
    </w:p>
    <w:p w14:paraId="5470EA03" w14:textId="77777777" w:rsidR="006F1F97" w:rsidRPr="00F74D9B" w:rsidRDefault="006F1F97" w:rsidP="006F1F97">
      <w:pPr>
        <w:rPr>
          <w:color w:val="264F90" w:themeColor="accent2"/>
          <w:sz w:val="22"/>
          <w:szCs w:val="22"/>
        </w:rPr>
      </w:pPr>
      <w:r>
        <w:rPr>
          <w:noProof/>
          <w:sz w:val="22"/>
          <w:lang w:eastAsia="en-AU"/>
        </w:rPr>
        <mc:AlternateContent>
          <mc:Choice Requires="wps">
            <w:drawing>
              <wp:anchor distT="0" distB="0" distL="114300" distR="114300" simplePos="0" relativeHeight="251658241" behindDoc="1" locked="0" layoutInCell="1" allowOverlap="1" wp14:anchorId="2CCFE499" wp14:editId="35BD8AFF">
                <wp:simplePos x="0" y="0"/>
                <wp:positionH relativeFrom="margin">
                  <wp:posOffset>-150643</wp:posOffset>
                </wp:positionH>
                <wp:positionV relativeFrom="paragraph">
                  <wp:posOffset>218632</wp:posOffset>
                </wp:positionV>
                <wp:extent cx="6753225" cy="2254102"/>
                <wp:effectExtent l="0" t="0" r="28575" b="133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53225" cy="2254102"/>
                        </a:xfrm>
                        <a:prstGeom prst="rect">
                          <a:avLst/>
                        </a:prstGeom>
                        <a:solidFill>
                          <a:srgbClr val="DFE7F6"/>
                        </a:solidFill>
                        <a:ln>
                          <a:solidFill>
                            <a:srgbClr val="DFE7F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3135C" id="Rectangle 1" o:spid="_x0000_s1026" alt="&quot;&quot;" style="position:absolute;margin-left:-11.85pt;margin-top:17.2pt;width:531.75pt;height:177.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" fillcolor="#dfe7f6" strokecolor="#dfe7f6" strokeweight="1pt">
                <w10:wrap anchorx="margin"/>
              </v:rect>
            </w:pict>
          </mc:Fallback>
        </mc:AlternateContent>
      </w:r>
      <w:bookmarkStart w:id="9" w:name="_Determinations"/>
      <w:bookmarkEnd w:id="9"/>
    </w:p>
    <w:p w14:paraId="0ACE4A83" w14:textId="77777777" w:rsidR="006F1F97" w:rsidRDefault="006F1F97" w:rsidP="006F1F97">
      <w:pPr>
        <w:pStyle w:val="ListParagraph"/>
        <w:numPr>
          <w:ilvl w:val="0"/>
          <w:numId w:val="9"/>
        </w:numPr>
        <w:spacing w:before="0"/>
        <w:rPr>
          <w:color w:val="264F90" w:themeColor="accent2"/>
          <w:sz w:val="22"/>
          <w:szCs w:val="22"/>
        </w:rPr>
      </w:pPr>
      <w:r>
        <w:rPr>
          <w:color w:val="264F90" w:themeColor="accent2"/>
          <w:sz w:val="22"/>
          <w:szCs w:val="22"/>
        </w:rPr>
        <w:t>Joint review of R&amp;DTI claims</w:t>
      </w:r>
    </w:p>
    <w:p w14:paraId="270D39C4" w14:textId="77777777" w:rsidR="006F1F97" w:rsidRDefault="006F1F97" w:rsidP="006F1F97">
      <w:pPr>
        <w:pStyle w:val="ListParagraph"/>
        <w:numPr>
          <w:ilvl w:val="0"/>
          <w:numId w:val="9"/>
        </w:numPr>
        <w:spacing w:before="0"/>
        <w:rPr>
          <w:color w:val="264F90" w:themeColor="accent2"/>
          <w:sz w:val="22"/>
          <w:szCs w:val="22"/>
        </w:rPr>
      </w:pPr>
      <w:r>
        <w:rPr>
          <w:color w:val="264F90" w:themeColor="accent2"/>
          <w:sz w:val="22"/>
          <w:szCs w:val="22"/>
        </w:rPr>
        <w:t xml:space="preserve">Tax transparency measure </w:t>
      </w:r>
    </w:p>
    <w:p w14:paraId="416DD431" w14:textId="77777777" w:rsidR="006F1F97" w:rsidRDefault="006F1F97" w:rsidP="006F1F97">
      <w:pPr>
        <w:pStyle w:val="ListParagraph"/>
        <w:numPr>
          <w:ilvl w:val="0"/>
          <w:numId w:val="9"/>
        </w:numPr>
        <w:spacing w:before="0"/>
        <w:rPr>
          <w:color w:val="264F90" w:themeColor="accent2"/>
          <w:sz w:val="22"/>
          <w:szCs w:val="22"/>
        </w:rPr>
      </w:pPr>
      <w:r>
        <w:rPr>
          <w:color w:val="264F90" w:themeColor="accent2"/>
          <w:sz w:val="22"/>
          <w:szCs w:val="22"/>
        </w:rPr>
        <w:t>Tax Determination 2023/5</w:t>
      </w:r>
    </w:p>
    <w:p w14:paraId="2D723A49" w14:textId="77777777" w:rsidR="006F1F97" w:rsidRDefault="006F1F97" w:rsidP="006F1F97">
      <w:pPr>
        <w:pStyle w:val="ListParagraph"/>
        <w:numPr>
          <w:ilvl w:val="0"/>
          <w:numId w:val="9"/>
        </w:numPr>
        <w:spacing w:before="0" w:after="0"/>
        <w:rPr>
          <w:color w:val="264F90" w:themeColor="accent2"/>
          <w:sz w:val="22"/>
          <w:szCs w:val="22"/>
        </w:rPr>
      </w:pPr>
      <w:r>
        <w:rPr>
          <w:color w:val="264F90" w:themeColor="accent2"/>
          <w:sz w:val="22"/>
          <w:szCs w:val="22"/>
        </w:rPr>
        <w:t>Advance and Overseas Finding form</w:t>
      </w:r>
    </w:p>
    <w:p w14:paraId="1232DE3C" w14:textId="77777777" w:rsidR="006F1F97" w:rsidRDefault="006F1F97" w:rsidP="006F1F97">
      <w:pPr>
        <w:pStyle w:val="ListParagraph"/>
        <w:numPr>
          <w:ilvl w:val="0"/>
          <w:numId w:val="9"/>
        </w:numPr>
        <w:spacing w:before="0" w:after="0"/>
        <w:rPr>
          <w:color w:val="264F90" w:themeColor="accent2"/>
          <w:sz w:val="22"/>
          <w:szCs w:val="22"/>
        </w:rPr>
      </w:pPr>
      <w:r>
        <w:rPr>
          <w:color w:val="264F90" w:themeColor="accent2"/>
          <w:sz w:val="22"/>
          <w:szCs w:val="22"/>
        </w:rPr>
        <w:t>Joint Program Charter</w:t>
      </w:r>
    </w:p>
    <w:p w14:paraId="448463DC" w14:textId="77777777" w:rsidR="006F1F97" w:rsidRDefault="006F1F97" w:rsidP="006F1F97">
      <w:pPr>
        <w:pStyle w:val="ListParagraph"/>
        <w:numPr>
          <w:ilvl w:val="0"/>
          <w:numId w:val="9"/>
        </w:numPr>
        <w:spacing w:before="0" w:after="0"/>
        <w:rPr>
          <w:color w:val="264F90" w:themeColor="accent2"/>
          <w:sz w:val="22"/>
          <w:szCs w:val="22"/>
        </w:rPr>
      </w:pPr>
      <w:r>
        <w:rPr>
          <w:color w:val="264F90" w:themeColor="accent2"/>
          <w:sz w:val="22"/>
          <w:szCs w:val="22"/>
        </w:rPr>
        <w:t xml:space="preserve">Business expenditure on R&amp;D  </w:t>
      </w:r>
    </w:p>
    <w:p w14:paraId="25F7D460" w14:textId="77777777" w:rsidR="006F1F97" w:rsidRPr="00D8425D" w:rsidRDefault="006F1F97" w:rsidP="006F1F97">
      <w:pPr>
        <w:pStyle w:val="ListParagraph"/>
        <w:numPr>
          <w:ilvl w:val="0"/>
          <w:numId w:val="9"/>
        </w:numPr>
        <w:spacing w:before="0"/>
        <w:rPr>
          <w:color w:val="264F90" w:themeColor="accent2"/>
          <w:sz w:val="22"/>
          <w:szCs w:val="22"/>
        </w:rPr>
      </w:pPr>
      <w:r w:rsidRPr="00D8425D">
        <w:rPr>
          <w:color w:val="264F90" w:themeColor="accent2"/>
          <w:sz w:val="22"/>
          <w:szCs w:val="22"/>
        </w:rPr>
        <w:t>Service level agreements</w:t>
      </w:r>
    </w:p>
    <w:p w14:paraId="2F9B3E78" w14:textId="77777777" w:rsidR="006F1F97" w:rsidRDefault="006F1F97" w:rsidP="006F1F97">
      <w:pPr>
        <w:pStyle w:val="ListParagraph"/>
        <w:numPr>
          <w:ilvl w:val="0"/>
          <w:numId w:val="9"/>
        </w:numPr>
        <w:spacing w:before="0"/>
        <w:rPr>
          <w:color w:val="264F90" w:themeColor="accent2"/>
          <w:sz w:val="22"/>
          <w:szCs w:val="22"/>
        </w:rPr>
      </w:pPr>
      <w:r>
        <w:rPr>
          <w:color w:val="264F90" w:themeColor="accent2"/>
          <w:sz w:val="22"/>
          <w:szCs w:val="22"/>
        </w:rPr>
        <w:t>R&amp;D notional deductions updates</w:t>
      </w:r>
    </w:p>
    <w:p w14:paraId="71B84208" w14:textId="77777777" w:rsidR="006F1F97" w:rsidRDefault="006F1F97" w:rsidP="006F1F97">
      <w:pPr>
        <w:pStyle w:val="ListParagraph"/>
        <w:numPr>
          <w:ilvl w:val="0"/>
          <w:numId w:val="9"/>
        </w:numPr>
        <w:spacing w:before="0"/>
        <w:rPr>
          <w:color w:val="264F90" w:themeColor="accent2"/>
          <w:sz w:val="22"/>
          <w:szCs w:val="22"/>
        </w:rPr>
      </w:pPr>
      <w:r>
        <w:rPr>
          <w:color w:val="264F90" w:themeColor="accent2"/>
          <w:sz w:val="22"/>
          <w:szCs w:val="22"/>
        </w:rPr>
        <w:t xml:space="preserve">DISR </w:t>
      </w:r>
      <w:r w:rsidRPr="00F01EEC">
        <w:rPr>
          <w:color w:val="264F90" w:themeColor="accent2"/>
          <w:sz w:val="22"/>
          <w:szCs w:val="22"/>
        </w:rPr>
        <w:t>Registration</w:t>
      </w:r>
      <w:r>
        <w:rPr>
          <w:color w:val="264F90" w:themeColor="accent2"/>
          <w:sz w:val="22"/>
          <w:szCs w:val="22"/>
        </w:rPr>
        <w:t xml:space="preserve"> update</w:t>
      </w:r>
      <w:bookmarkStart w:id="10" w:name="_Software_Guidance"/>
      <w:bookmarkStart w:id="11" w:name="_30_April_deadline"/>
      <w:bookmarkStart w:id="12" w:name="_Registration_Data"/>
      <w:bookmarkEnd w:id="10"/>
      <w:bookmarkEnd w:id="11"/>
      <w:bookmarkEnd w:id="12"/>
    </w:p>
    <w:p w14:paraId="44CA0ED6" w14:textId="77777777" w:rsidR="006F1F97" w:rsidRDefault="006F1F97" w:rsidP="006F1F97">
      <w:pPr>
        <w:pStyle w:val="ListParagraph"/>
        <w:numPr>
          <w:ilvl w:val="1"/>
          <w:numId w:val="11"/>
        </w:numPr>
        <w:spacing w:before="0"/>
        <w:rPr>
          <w:color w:val="264F90" w:themeColor="accent2"/>
          <w:sz w:val="22"/>
          <w:szCs w:val="22"/>
        </w:rPr>
      </w:pPr>
      <w:r>
        <w:rPr>
          <w:color w:val="264F90" w:themeColor="accent2"/>
          <w:sz w:val="22"/>
          <w:szCs w:val="22"/>
        </w:rPr>
        <w:t>Application insights</w:t>
      </w:r>
    </w:p>
    <w:p w14:paraId="16A8112B" w14:textId="77777777" w:rsidR="006F1F97" w:rsidRDefault="006F1F97" w:rsidP="006F1F97">
      <w:pPr>
        <w:pStyle w:val="ListParagraph"/>
        <w:numPr>
          <w:ilvl w:val="1"/>
          <w:numId w:val="11"/>
        </w:numPr>
        <w:spacing w:before="0"/>
        <w:rPr>
          <w:color w:val="264F90" w:themeColor="accent2"/>
          <w:sz w:val="22"/>
          <w:szCs w:val="22"/>
        </w:rPr>
      </w:pPr>
      <w:r>
        <w:rPr>
          <w:color w:val="264F90" w:themeColor="accent2"/>
          <w:sz w:val="22"/>
          <w:szCs w:val="22"/>
        </w:rPr>
        <w:t>Registration trends</w:t>
      </w:r>
    </w:p>
    <w:p w14:paraId="48A767E7" w14:textId="77777777" w:rsidR="006F1F97" w:rsidRPr="00D8425D" w:rsidRDefault="006F1F97" w:rsidP="006F1F97">
      <w:pPr>
        <w:pStyle w:val="ListParagraph"/>
        <w:numPr>
          <w:ilvl w:val="1"/>
          <w:numId w:val="11"/>
        </w:numPr>
        <w:spacing w:before="0"/>
        <w:rPr>
          <w:color w:val="264F90" w:themeColor="accent2"/>
          <w:sz w:val="22"/>
          <w:szCs w:val="22"/>
        </w:rPr>
      </w:pPr>
      <w:r>
        <w:rPr>
          <w:color w:val="264F90" w:themeColor="accent2"/>
          <w:sz w:val="22"/>
          <w:szCs w:val="22"/>
        </w:rPr>
        <w:t>Registration and claims data</w:t>
      </w:r>
    </w:p>
    <w:p w14:paraId="5949D51E" w14:textId="77777777" w:rsidR="006F1F97" w:rsidRDefault="006F1F97" w:rsidP="006F1F97">
      <w:pPr>
        <w:spacing w:before="0"/>
      </w:pPr>
    </w:p>
    <w:p w14:paraId="0081D5B1" w14:textId="77777777" w:rsidR="006F1F97" w:rsidRDefault="006F1F97" w:rsidP="006F1F97">
      <w:pPr>
        <w:spacing w:before="0"/>
        <w:rPr>
          <w:color w:val="264F90" w:themeColor="accent2"/>
          <w:sz w:val="22"/>
          <w:szCs w:val="22"/>
        </w:rPr>
      </w:pPr>
      <w:r>
        <w:t>The Department of Industry, Science and Resources (DISR) and the Australian Taxation Office (ATO) wish to provide the following Research and Development Tax Incentive (R&amp;DTI) program updates:</w:t>
      </w:r>
    </w:p>
    <w:p w14:paraId="0FEF8919" w14:textId="77777777" w:rsidR="006F1F97" w:rsidRPr="009D1918" w:rsidRDefault="006F1F97" w:rsidP="006F1F97">
      <w:pPr>
        <w:pStyle w:val="Heading2"/>
        <w:numPr>
          <w:ilvl w:val="0"/>
          <w:numId w:val="12"/>
        </w:numPr>
        <w:tabs>
          <w:tab w:val="left" w:pos="2552"/>
        </w:tabs>
        <w:ind w:left="284" w:hanging="284"/>
        <w:jc w:val="both"/>
      </w:pPr>
      <w:bookmarkStart w:id="13" w:name="_Hlk146886991"/>
      <w:r>
        <w:t>Joint review of R&amp;DTI claims</w:t>
      </w:r>
    </w:p>
    <w:p w14:paraId="736B347C" w14:textId="77777777" w:rsidR="006F1F97" w:rsidRDefault="006F1F97" w:rsidP="006F1F97">
      <w:r>
        <w:t xml:space="preserve">DISR and the ATO are conducting a joint compliance review of a random selection of R&amp;DTI registrations and claims made for the 2021-2022 income year. </w:t>
      </w:r>
    </w:p>
    <w:p w14:paraId="72C96B6C" w14:textId="77777777" w:rsidR="006F1F97" w:rsidRDefault="006F1F97" w:rsidP="006F1F97">
      <w:r>
        <w:t>The purpose of this review is to assess the eligibility of registered R&amp;D activities and expenditure, to provide vital information on the integrity of the program, and inform the development of updated, contemporary risk indicators for use in future integrity assurance activities.</w:t>
      </w:r>
    </w:p>
    <w:p w14:paraId="342B05E5" w14:textId="77777777" w:rsidR="006F1F97" w:rsidRDefault="006F1F97" w:rsidP="006F1F97">
      <w:r>
        <w:t>This will allow us to better direct education and guidance activities towards companies that would benefit from greater assistance in meeting the program’s obligations.</w:t>
      </w:r>
    </w:p>
    <w:p w14:paraId="718DFF2D" w14:textId="77777777" w:rsidR="006F1F97" w:rsidRDefault="006F1F97" w:rsidP="006F1F97">
      <w:r>
        <w:t xml:space="preserve">The review commenced in October and is occurring alongside other integrity and compliance activities. It is expected to be complete by mid-2024. </w:t>
      </w:r>
    </w:p>
    <w:bookmarkEnd w:id="13"/>
    <w:p w14:paraId="6F834B25" w14:textId="77777777" w:rsidR="006F1F97" w:rsidRPr="00D8425D" w:rsidRDefault="006F1F97" w:rsidP="006F1F97">
      <w:pPr>
        <w:pStyle w:val="Heading2"/>
        <w:numPr>
          <w:ilvl w:val="0"/>
          <w:numId w:val="12"/>
        </w:numPr>
        <w:tabs>
          <w:tab w:val="left" w:pos="2552"/>
        </w:tabs>
        <w:ind w:left="284" w:hanging="284"/>
        <w:jc w:val="both"/>
      </w:pPr>
      <w:r w:rsidRPr="00D8425D">
        <w:t>Tax transparency measure</w:t>
      </w:r>
    </w:p>
    <w:p w14:paraId="39253253" w14:textId="77777777" w:rsidR="006F1F97" w:rsidRDefault="006F1F97" w:rsidP="006F1F97">
      <w:r>
        <w:t>The ATO</w:t>
      </w:r>
      <w:r w:rsidRPr="00A671BE">
        <w:t xml:space="preserve"> </w:t>
      </w:r>
      <w:r>
        <w:t>will soon be r</w:t>
      </w:r>
      <w:r w:rsidRPr="00A671BE">
        <w:t>equired to publish information about R&amp;D entities and the R&amp;D expenditure claimed by th</w:t>
      </w:r>
      <w:r>
        <w:t>os</w:t>
      </w:r>
      <w:r w:rsidRPr="00A671BE">
        <w:t>e entit</w:t>
      </w:r>
      <w:r>
        <w:t>ies</w:t>
      </w:r>
      <w:r w:rsidRPr="00A671BE">
        <w:t>, 2 years after the end of the financial year</w:t>
      </w:r>
      <w:r>
        <w:t xml:space="preserve"> of the claim</w:t>
      </w:r>
      <w:r w:rsidRPr="00A671BE">
        <w:t xml:space="preserve">. </w:t>
      </w:r>
      <w:r>
        <w:t>The first publication of this information is for R&amp;D entities that lodged a 2022 company tax return with a R&amp;D Tax Offset and their income year began on or after 1 July 2021.  The ATO expects to publish this information in September 2024 and will then be publishing this information on an annual basis.</w:t>
      </w:r>
    </w:p>
    <w:p w14:paraId="1FF6905A" w14:textId="0B939E1B" w:rsidR="006F1F97" w:rsidRPr="00A671BE" w:rsidRDefault="006F1F97" w:rsidP="006F1F97">
      <w:r>
        <w:lastRenderedPageBreak/>
        <w:t>The ATO is</w:t>
      </w:r>
      <w:r w:rsidRPr="00A671BE">
        <w:t xml:space="preserve"> publishing this information to improve public accountability for R&amp;D claimants and to encourage voluntary compliance with the R&amp;D program. More information about this new requirement is available on our website ato.gov.au by searching for ‘QC 70867’. </w:t>
      </w:r>
    </w:p>
    <w:p w14:paraId="510C7E99" w14:textId="77777777" w:rsidR="006F1F97" w:rsidRPr="00500B99" w:rsidRDefault="006F1F97" w:rsidP="006F1F97">
      <w:r w:rsidRPr="00500B99">
        <w:t>The information publish</w:t>
      </w:r>
      <w:r>
        <w:t>ed</w:t>
      </w:r>
      <w:r w:rsidRPr="00500B99">
        <w:t xml:space="preserve"> from the forms lodged will be the:</w:t>
      </w:r>
    </w:p>
    <w:p w14:paraId="67618C5F" w14:textId="77777777" w:rsidR="006F1F97" w:rsidRPr="00500B99" w:rsidRDefault="006F1F97" w:rsidP="006F1F97">
      <w:pPr>
        <w:spacing w:before="0" w:after="0"/>
      </w:pPr>
      <w:r w:rsidRPr="00500B99">
        <w:t>• name of the entity claiming the R&amp;D tax incentive</w:t>
      </w:r>
    </w:p>
    <w:p w14:paraId="2452FBB8" w14:textId="77777777" w:rsidR="006F1F97" w:rsidRPr="00500B99" w:rsidRDefault="006F1F97" w:rsidP="006F1F97">
      <w:pPr>
        <w:spacing w:before="0" w:after="0"/>
      </w:pPr>
      <w:r w:rsidRPr="00500B99">
        <w:t>• Australian business number (ABN) or Australian company number (ACN)</w:t>
      </w:r>
    </w:p>
    <w:p w14:paraId="1E8F8834" w14:textId="77777777" w:rsidR="006F1F97" w:rsidRPr="00500B99" w:rsidRDefault="006F1F97" w:rsidP="006F1F97">
      <w:pPr>
        <w:spacing w:before="0" w:after="0"/>
      </w:pPr>
      <w:r w:rsidRPr="00500B99">
        <w:t>• the entity’s total expenditure on R&amp;D (known as total notional deductions claimed – label Z in Part A of the R&amp;D tax incentive schedule) less any feedstock adjustments (label B in Part B of the R&amp;D tax incentive schedule).</w:t>
      </w:r>
    </w:p>
    <w:p w14:paraId="0368FBE0" w14:textId="77777777" w:rsidR="006F1F97" w:rsidRPr="00500B99" w:rsidRDefault="006F1F97" w:rsidP="006F1F97">
      <w:r>
        <w:t>This will be based</w:t>
      </w:r>
      <w:r w:rsidRPr="00500B99">
        <w:t xml:space="preserve"> on what you provided in </w:t>
      </w:r>
      <w:r>
        <w:t>your</w:t>
      </w:r>
      <w:r w:rsidRPr="00500B99">
        <w:t xml:space="preserve"> company tax return or, if </w:t>
      </w:r>
      <w:r>
        <w:t>you</w:t>
      </w:r>
      <w:r w:rsidRPr="00500B99">
        <w:t xml:space="preserve"> amended </w:t>
      </w:r>
      <w:r>
        <w:t>your</w:t>
      </w:r>
      <w:r w:rsidRPr="00500B99">
        <w:t xml:space="preserve"> company tax return, </w:t>
      </w:r>
      <w:r>
        <w:t>your</w:t>
      </w:r>
      <w:r w:rsidRPr="00500B99">
        <w:t xml:space="preserve"> amended return.</w:t>
      </w:r>
    </w:p>
    <w:p w14:paraId="6D9370B4" w14:textId="77777777" w:rsidR="006F1F97" w:rsidRPr="00500B99" w:rsidRDefault="006F1F97" w:rsidP="006F1F97">
      <w:r w:rsidRPr="00500B99">
        <w:t> If the Commissioner amended the labels, we’re required to publish, the total expenditure on R&amp;D based on the company return lodged prior to the Commissioner-initiated amendment</w:t>
      </w:r>
      <w:r>
        <w:t>.</w:t>
      </w:r>
    </w:p>
    <w:p w14:paraId="4C57894C" w14:textId="77777777" w:rsidR="006F1F97" w:rsidRPr="00D8425D" w:rsidRDefault="006F1F97" w:rsidP="006F1F97">
      <w:pPr>
        <w:pStyle w:val="Heading2"/>
        <w:numPr>
          <w:ilvl w:val="0"/>
          <w:numId w:val="12"/>
        </w:numPr>
        <w:tabs>
          <w:tab w:val="left" w:pos="2552"/>
        </w:tabs>
        <w:ind w:left="284" w:hanging="284"/>
        <w:jc w:val="both"/>
      </w:pPr>
      <w:r w:rsidRPr="00D8425D">
        <w:t xml:space="preserve">Tax Determination 2023/5 </w:t>
      </w:r>
    </w:p>
    <w:p w14:paraId="553B15A1" w14:textId="77777777" w:rsidR="006F1F97" w:rsidRPr="00A671BE" w:rsidRDefault="006F1F97" w:rsidP="006F1F97">
      <w:pPr>
        <w:rPr>
          <w:rFonts w:ascii="Arial" w:hAnsi="Arial" w:cs="Arial"/>
          <w:color w:val="666666"/>
          <w:sz w:val="27"/>
          <w:szCs w:val="27"/>
          <w:shd w:val="clear" w:color="auto" w:fill="FFFFFF"/>
        </w:rPr>
      </w:pPr>
      <w:r w:rsidRPr="00D8425D">
        <w:t xml:space="preserve">In September 2023, the ATO issued a public ruling Taxation Determination </w:t>
      </w:r>
      <w:r>
        <w:t xml:space="preserve">TD </w:t>
      </w:r>
      <w:r w:rsidRPr="00D8425D">
        <w:t>2023/5</w:t>
      </w:r>
      <w:r>
        <w:t xml:space="preserve"> </w:t>
      </w:r>
      <w:r w:rsidRPr="00A671BE">
        <w:rPr>
          <w:i/>
          <w:iCs/>
        </w:rPr>
        <w:t>Income tax: aggregated turnover and connected entities – Commissioner’s discretion that an entity does not ‘control’ another entity</w:t>
      </w:r>
      <w:r w:rsidRPr="00A671BE">
        <w:rPr>
          <w:rFonts w:ascii="Arial" w:hAnsi="Arial" w:cs="Arial"/>
          <w:color w:val="666666"/>
          <w:sz w:val="27"/>
          <w:szCs w:val="27"/>
          <w:shd w:val="clear" w:color="auto" w:fill="FFFFFF"/>
        </w:rPr>
        <w:t>.</w:t>
      </w:r>
    </w:p>
    <w:p w14:paraId="56B9A657" w14:textId="77777777" w:rsidR="006F1F97" w:rsidRDefault="006F1F97" w:rsidP="006F1F97">
      <w:r>
        <w:t>A</w:t>
      </w:r>
      <w:r w:rsidRPr="00D8425D">
        <w:t xml:space="preserve">ggregated turnover is </w:t>
      </w:r>
      <w:r>
        <w:t>an entity’s</w:t>
      </w:r>
      <w:r w:rsidRPr="00D8425D">
        <w:t xml:space="preserve"> turnover, plus the annual turnovers of any business entities that are</w:t>
      </w:r>
      <w:r>
        <w:t xml:space="preserve"> </w:t>
      </w:r>
      <w:r w:rsidRPr="00D8425D">
        <w:t>affiliate</w:t>
      </w:r>
      <w:r>
        <w:t>d</w:t>
      </w:r>
      <w:r w:rsidRPr="00D8425D">
        <w:t xml:space="preserve"> or connected</w:t>
      </w:r>
      <w:r>
        <w:t>.  Aggregated turnover is used to determine if an R&amp;D entity is entitled to a refundable offset (less than $20m of aggregated turnover) or non-refundable offset (in excess of $20m of aggregated turnover).</w:t>
      </w:r>
    </w:p>
    <w:p w14:paraId="2B2F442E" w14:textId="77777777" w:rsidR="006F1F97" w:rsidRPr="00D8425D" w:rsidRDefault="006F1F97" w:rsidP="006F1F97">
      <w:r w:rsidRPr="00D8425D">
        <w:t>This determination</w:t>
      </w:r>
      <w:r>
        <w:t xml:space="preserve"> addresses </w:t>
      </w:r>
      <w:r w:rsidRPr="00D8425D">
        <w:t xml:space="preserve">issues that arise when </w:t>
      </w:r>
      <w:r>
        <w:t xml:space="preserve">the ATO </w:t>
      </w:r>
      <w:r w:rsidRPr="00D8425D">
        <w:t>consider</w:t>
      </w:r>
      <w:r>
        <w:t>s</w:t>
      </w:r>
      <w:r w:rsidRPr="00D8425D">
        <w:t xml:space="preserve"> whether to exercise the Commissioner’s discretion to determine that one entity (the first entity) doesn’t ‘control’ another entity (the test entity).</w:t>
      </w:r>
    </w:p>
    <w:p w14:paraId="4F5753C1" w14:textId="77777777" w:rsidR="006F1F97" w:rsidRDefault="006F1F97" w:rsidP="006F1F97">
      <w:pPr>
        <w:rPr>
          <w:rStyle w:val="Hyperlink"/>
        </w:rPr>
      </w:pPr>
      <w:r w:rsidRPr="00D8425D">
        <w:t xml:space="preserve">The question of ‘control’ is central to determining who is connected with </w:t>
      </w:r>
      <w:r>
        <w:t>an entity</w:t>
      </w:r>
      <w:r w:rsidRPr="00D8425D">
        <w:t>. These connected or affiliated entities may be based in Australia or overseas.</w:t>
      </w:r>
      <w:r>
        <w:t xml:space="preserve"> More information on TD 2023/5 can be found at </w:t>
      </w:r>
      <w:hyperlink r:id="rId13" w:anchor="H45" w:history="1">
        <w:r w:rsidRPr="00E12B37">
          <w:rPr>
            <w:rStyle w:val="Hyperlink"/>
          </w:rPr>
          <w:t>ato.gov.au.</w:t>
        </w:r>
      </w:hyperlink>
    </w:p>
    <w:p w14:paraId="6434F20C" w14:textId="77777777" w:rsidR="006F1F97" w:rsidRPr="00CE62D0" w:rsidRDefault="006F1F97" w:rsidP="006F1F97">
      <w:pPr>
        <w:pStyle w:val="Heading2"/>
        <w:numPr>
          <w:ilvl w:val="0"/>
          <w:numId w:val="12"/>
        </w:numPr>
        <w:tabs>
          <w:tab w:val="left" w:pos="2552"/>
        </w:tabs>
        <w:ind w:left="284" w:hanging="284"/>
        <w:jc w:val="both"/>
      </w:pPr>
      <w:r w:rsidRPr="00CE62D0">
        <w:t>Advance and Overseas Finding form</w:t>
      </w:r>
    </w:p>
    <w:p w14:paraId="5E369584" w14:textId="77777777" w:rsidR="006F1F97" w:rsidRPr="00CE62D0" w:rsidRDefault="006F1F97" w:rsidP="006F1F97">
      <w:pPr>
        <w:rPr>
          <w:lang w:eastAsia="en-AU"/>
        </w:rPr>
      </w:pPr>
      <w:r>
        <w:rPr>
          <w:lang w:eastAsia="en-AU"/>
        </w:rPr>
        <w:t>DISR is currently reviewing the</w:t>
      </w:r>
      <w:r w:rsidRPr="00CE62D0">
        <w:rPr>
          <w:lang w:eastAsia="en-AU"/>
        </w:rPr>
        <w:t xml:space="preserve"> </w:t>
      </w:r>
      <w:r>
        <w:rPr>
          <w:lang w:eastAsia="en-AU"/>
        </w:rPr>
        <w:t xml:space="preserve">Advance and Overseas (AOF) application form to be more user friendly while also reducing application processing times. This review has been informed by recommendations of the 2021 </w:t>
      </w:r>
      <w:r w:rsidRPr="00CE62D0">
        <w:rPr>
          <w:lang w:eastAsia="en-AU"/>
        </w:rPr>
        <w:t xml:space="preserve">ANAO </w:t>
      </w:r>
      <w:r>
        <w:rPr>
          <w:lang w:eastAsia="en-AU"/>
        </w:rPr>
        <w:t xml:space="preserve">Administration of the R&amp;D Tax Incentive Audit, the 2022 </w:t>
      </w:r>
      <w:r w:rsidRPr="00CE62D0">
        <w:rPr>
          <w:lang w:eastAsia="en-AU"/>
        </w:rPr>
        <w:t>Board of Taxation’s Review of the R&amp;D Tax Incentive Dual Agency Administration Model Report</w:t>
      </w:r>
      <w:r>
        <w:rPr>
          <w:lang w:eastAsia="en-AU"/>
        </w:rPr>
        <w:t xml:space="preserve">, and feedback received from program users. </w:t>
      </w:r>
      <w:r w:rsidRPr="00CE62D0">
        <w:rPr>
          <w:lang w:eastAsia="en-AU"/>
        </w:rPr>
        <w:t xml:space="preserve"> </w:t>
      </w:r>
    </w:p>
    <w:p w14:paraId="6F12DD04" w14:textId="77777777" w:rsidR="006F1F97" w:rsidRDefault="006F1F97" w:rsidP="006F1F97">
      <w:pPr>
        <w:rPr>
          <w:lang w:eastAsia="en-AU"/>
        </w:rPr>
      </w:pPr>
      <w:r w:rsidRPr="00CE62D0">
        <w:rPr>
          <w:lang w:eastAsia="en-AU"/>
        </w:rPr>
        <w:t xml:space="preserve">The </w:t>
      </w:r>
      <w:r>
        <w:rPr>
          <w:lang w:eastAsia="en-AU"/>
        </w:rPr>
        <w:t>revised app</w:t>
      </w:r>
      <w:r w:rsidRPr="00CE62D0">
        <w:rPr>
          <w:lang w:eastAsia="en-AU"/>
        </w:rPr>
        <w:t>lication form will include questions from the existing R&amp;DTI Registration Application form</w:t>
      </w:r>
      <w:r>
        <w:rPr>
          <w:lang w:eastAsia="en-AU"/>
        </w:rPr>
        <w:t>, offering greater con</w:t>
      </w:r>
      <w:r w:rsidRPr="00CE62D0">
        <w:rPr>
          <w:lang w:eastAsia="en-AU"/>
        </w:rPr>
        <w:t>sistency across the program.</w:t>
      </w:r>
    </w:p>
    <w:p w14:paraId="41B5CA27" w14:textId="77777777" w:rsidR="006F1F97" w:rsidRPr="00CE62D0" w:rsidRDefault="006F1F97" w:rsidP="006F1F97">
      <w:pPr>
        <w:rPr>
          <w:lang w:eastAsia="en-AU"/>
        </w:rPr>
      </w:pPr>
      <w:r>
        <w:t>Existing questions will be updated to provide a better user experience and additional questions have been included to reduce the need to request further information from the applicant.</w:t>
      </w:r>
      <w:r w:rsidRPr="00CE62D0">
        <w:rPr>
          <w:lang w:eastAsia="en-AU"/>
        </w:rPr>
        <w:t xml:space="preserve"> </w:t>
      </w:r>
      <w:r>
        <w:rPr>
          <w:lang w:eastAsia="en-AU"/>
        </w:rPr>
        <w:t xml:space="preserve">This is anticipated to improve </w:t>
      </w:r>
      <w:r w:rsidRPr="00CE62D0">
        <w:rPr>
          <w:lang w:eastAsia="en-AU"/>
        </w:rPr>
        <w:t>assessment</w:t>
      </w:r>
      <w:r>
        <w:rPr>
          <w:lang w:eastAsia="en-AU"/>
        </w:rPr>
        <w:t xml:space="preserve"> processing</w:t>
      </w:r>
      <w:r w:rsidRPr="00CE62D0">
        <w:rPr>
          <w:lang w:eastAsia="en-AU"/>
        </w:rPr>
        <w:t xml:space="preserve"> time</w:t>
      </w:r>
      <w:r>
        <w:rPr>
          <w:lang w:eastAsia="en-AU"/>
        </w:rPr>
        <w:t>s</w:t>
      </w:r>
      <w:r w:rsidRPr="00CE62D0">
        <w:rPr>
          <w:lang w:eastAsia="en-AU"/>
        </w:rPr>
        <w:t xml:space="preserve"> for applications.</w:t>
      </w:r>
    </w:p>
    <w:p w14:paraId="761922FD" w14:textId="63085CB0" w:rsidR="006F1F97" w:rsidRDefault="006F1F97" w:rsidP="006F1F97">
      <w:pPr>
        <w:rPr>
          <w:lang w:eastAsia="en-AU"/>
        </w:rPr>
      </w:pPr>
      <w:r>
        <w:rPr>
          <w:lang w:eastAsia="en-AU"/>
        </w:rPr>
        <w:t>It’s anticipated that c</w:t>
      </w:r>
      <w:r w:rsidRPr="00CE62D0">
        <w:rPr>
          <w:lang w:eastAsia="en-AU"/>
        </w:rPr>
        <w:t xml:space="preserve">ompanies </w:t>
      </w:r>
      <w:r>
        <w:rPr>
          <w:lang w:eastAsia="en-AU"/>
        </w:rPr>
        <w:t>will be able to</w:t>
      </w:r>
      <w:r w:rsidRPr="00CE62D0">
        <w:rPr>
          <w:lang w:eastAsia="en-AU"/>
        </w:rPr>
        <w:t xml:space="preserve"> access the new </w:t>
      </w:r>
      <w:r>
        <w:rPr>
          <w:lang w:eastAsia="en-AU"/>
        </w:rPr>
        <w:t>f</w:t>
      </w:r>
      <w:r w:rsidRPr="00CE62D0">
        <w:rPr>
          <w:lang w:eastAsia="en-AU"/>
        </w:rPr>
        <w:t xml:space="preserve">orm in the R&amp;DTI Customer Portal </w:t>
      </w:r>
      <w:r>
        <w:rPr>
          <w:lang w:eastAsia="en-AU"/>
        </w:rPr>
        <w:t>from</w:t>
      </w:r>
      <w:r w:rsidRPr="00CE62D0">
        <w:rPr>
          <w:lang w:eastAsia="en-AU"/>
        </w:rPr>
        <w:t xml:space="preserve"> 1 July 2024.</w:t>
      </w:r>
    </w:p>
    <w:p w14:paraId="52D8B12A" w14:textId="77777777" w:rsidR="006F1F97" w:rsidRPr="00CE62D0" w:rsidRDefault="006F1F97" w:rsidP="006F1F97">
      <w:pPr>
        <w:rPr>
          <w:lang w:eastAsia="en-AU"/>
        </w:rPr>
      </w:pPr>
    </w:p>
    <w:p w14:paraId="3D604889" w14:textId="77777777" w:rsidR="006F1F97" w:rsidRPr="00CE62D0" w:rsidRDefault="006F1F97" w:rsidP="006F1F97">
      <w:pPr>
        <w:pStyle w:val="Heading2"/>
        <w:numPr>
          <w:ilvl w:val="0"/>
          <w:numId w:val="12"/>
        </w:numPr>
        <w:tabs>
          <w:tab w:val="left" w:pos="2552"/>
        </w:tabs>
        <w:ind w:left="284" w:hanging="284"/>
        <w:jc w:val="both"/>
      </w:pPr>
      <w:r w:rsidRPr="00CE62D0">
        <w:lastRenderedPageBreak/>
        <w:t xml:space="preserve">Joint Program Charter </w:t>
      </w:r>
    </w:p>
    <w:p w14:paraId="31CB76BA" w14:textId="77777777" w:rsidR="006F1F97" w:rsidRPr="00CE62D0" w:rsidRDefault="006F1F97" w:rsidP="006F1F97">
      <w:pPr>
        <w:rPr>
          <w:lang w:eastAsia="en-AU"/>
        </w:rPr>
      </w:pPr>
      <w:r w:rsidRPr="00CE62D0">
        <w:rPr>
          <w:lang w:eastAsia="en-AU"/>
        </w:rPr>
        <w:t xml:space="preserve">In March 2022, the Government </w:t>
      </w:r>
      <w:r>
        <w:rPr>
          <w:lang w:eastAsia="en-AU"/>
        </w:rPr>
        <w:t>published</w:t>
      </w:r>
      <w:r w:rsidRPr="00CE62D0">
        <w:rPr>
          <w:lang w:eastAsia="en-AU"/>
        </w:rPr>
        <w:t xml:space="preserve"> the Board of Taxation’s Review of the R&amp;D Tax Incentive Dual Agency Administration Model Report. The Review considered issues relating to potential improvements to the governance of the R&amp;DTI program and recommended a Joint Program Charter be developed.  </w:t>
      </w:r>
    </w:p>
    <w:p w14:paraId="659697EF" w14:textId="77777777" w:rsidR="006F1F97" w:rsidRPr="00CE62D0" w:rsidRDefault="006F1F97" w:rsidP="006F1F97">
      <w:pPr>
        <w:rPr>
          <w:lang w:eastAsia="en-AU"/>
        </w:rPr>
      </w:pPr>
      <w:r w:rsidRPr="00CE62D0">
        <w:rPr>
          <w:lang w:eastAsia="en-AU"/>
        </w:rPr>
        <w:t xml:space="preserve">The purpose of the Joint Program Charter is to provide clarity and consistency to companies participating in the R&amp;DTI program and set out expectations and roles of </w:t>
      </w:r>
      <w:r>
        <w:rPr>
          <w:lang w:eastAsia="en-AU"/>
        </w:rPr>
        <w:t>DISR</w:t>
      </w:r>
      <w:r w:rsidRPr="00CE62D0">
        <w:rPr>
          <w:lang w:eastAsia="en-AU"/>
        </w:rPr>
        <w:t xml:space="preserve"> and the </w:t>
      </w:r>
      <w:r>
        <w:rPr>
          <w:lang w:eastAsia="en-AU"/>
        </w:rPr>
        <w:t>ATO</w:t>
      </w:r>
      <w:r w:rsidRPr="00CE62D0">
        <w:rPr>
          <w:lang w:eastAsia="en-AU"/>
        </w:rPr>
        <w:t>. We are currently developing the Program Charter with a view to publication in November 2023.</w:t>
      </w:r>
    </w:p>
    <w:p w14:paraId="5D4F87E9" w14:textId="77777777" w:rsidR="006F1F97" w:rsidRPr="00CE62D0" w:rsidRDefault="006F1F97" w:rsidP="006F1F97">
      <w:pPr>
        <w:pStyle w:val="Heading2"/>
        <w:numPr>
          <w:ilvl w:val="0"/>
          <w:numId w:val="12"/>
        </w:numPr>
        <w:tabs>
          <w:tab w:val="left" w:pos="2552"/>
        </w:tabs>
        <w:ind w:left="284" w:hanging="284"/>
        <w:jc w:val="both"/>
      </w:pPr>
      <w:r w:rsidRPr="00CE62D0">
        <w:t xml:space="preserve">Business </w:t>
      </w:r>
      <w:r>
        <w:t>e</w:t>
      </w:r>
      <w:r w:rsidRPr="00CE62D0">
        <w:t>xpenditure on R&amp;D</w:t>
      </w:r>
    </w:p>
    <w:p w14:paraId="4F1DD88D" w14:textId="77777777" w:rsidR="006F1F97" w:rsidRPr="00CE62D0" w:rsidRDefault="006F1F97" w:rsidP="006F1F97">
      <w:pPr>
        <w:rPr>
          <w:lang w:eastAsia="en-AU"/>
        </w:rPr>
      </w:pPr>
      <w:r w:rsidRPr="00CE62D0">
        <w:rPr>
          <w:lang w:eastAsia="en-AU"/>
        </w:rPr>
        <w:t xml:space="preserve">On 25 August 2023, the Australian Bureau of Statistics (ABS) released data on Business Expenditure on R&amp;D (BERD) as part of its Research and Experimental Development, Businesses, Australia, 2021-22 publication. The publication draws from biennial surveys and represents the latest available expenditure data on research and experimental development. </w:t>
      </w:r>
    </w:p>
    <w:p w14:paraId="47096A12" w14:textId="77777777" w:rsidR="006F1F97" w:rsidRPr="00CE62D0" w:rsidRDefault="006F1F97" w:rsidP="006F1F97">
      <w:pPr>
        <w:rPr>
          <w:lang w:eastAsia="en-AU"/>
        </w:rPr>
      </w:pPr>
      <w:r w:rsidRPr="00CE62D0">
        <w:rPr>
          <w:lang w:eastAsia="en-AU"/>
        </w:rPr>
        <w:t>BERD grew significantly to $20.6 billion in 2021-22, up 14 per cent from 2019</w:t>
      </w:r>
      <w:r w:rsidRPr="00CE62D0">
        <w:rPr>
          <w:lang w:eastAsia="en-AU"/>
        </w:rPr>
        <w:noBreakHyphen/>
        <w:t>20</w:t>
      </w:r>
      <w:r>
        <w:rPr>
          <w:lang w:eastAsia="en-AU"/>
        </w:rPr>
        <w:t xml:space="preserve"> in</w:t>
      </w:r>
      <w:r w:rsidRPr="00CE62D0">
        <w:rPr>
          <w:lang w:eastAsia="en-AU"/>
        </w:rPr>
        <w:t xml:space="preserve"> the previous publication reference period. In chain volume terms, a measure that better accounts for changes to price relativities from one year to the next, BERD grew by 8 per cent.</w:t>
      </w:r>
      <w:r>
        <w:rPr>
          <w:lang w:eastAsia="en-AU"/>
        </w:rPr>
        <w:t xml:space="preserve"> </w:t>
      </w:r>
      <w:r w:rsidRPr="00CE62D0">
        <w:rPr>
          <w:lang w:eastAsia="en-AU"/>
        </w:rPr>
        <w:t>This increase is supported by an increase in human resources devoted to R&amp;D in the business sector to 91,414 in 2021 (measured in person years of effort), up 18 per cent from 2019-20.</w:t>
      </w:r>
    </w:p>
    <w:p w14:paraId="4F370E01" w14:textId="77777777" w:rsidR="006F1F97" w:rsidRPr="00CE62D0" w:rsidRDefault="006F1F97" w:rsidP="006F1F97">
      <w:pPr>
        <w:rPr>
          <w:lang w:eastAsia="en-AU"/>
        </w:rPr>
      </w:pPr>
      <w:r w:rsidRPr="00CE62D0">
        <w:rPr>
          <w:lang w:eastAsia="en-AU"/>
        </w:rPr>
        <w:t>In terms of R&amp;D expenditure as a share of GDP, BERD has broadly kept pace with overall economic growth, maintaining its share of GDP at 0.9 per cent (since 2017</w:t>
      </w:r>
      <w:r w:rsidRPr="00CE62D0">
        <w:rPr>
          <w:lang w:eastAsia="en-AU"/>
        </w:rPr>
        <w:noBreakHyphen/>
        <w:t>18). This result indicates BERD is now stabilising following a trend of decline since 2008</w:t>
      </w:r>
      <w:r w:rsidRPr="00CE62D0">
        <w:rPr>
          <w:lang w:eastAsia="en-AU"/>
        </w:rPr>
        <w:noBreakHyphen/>
        <w:t xml:space="preserve">09, when BERD as a share of GDP peaked at 1.37 per cent. </w:t>
      </w:r>
    </w:p>
    <w:p w14:paraId="0E21118F" w14:textId="77777777" w:rsidR="006F1F97" w:rsidRPr="00CE62D0" w:rsidRDefault="006F1F97" w:rsidP="006F1F97">
      <w:pPr>
        <w:rPr>
          <w:lang w:eastAsia="en-AU"/>
        </w:rPr>
      </w:pPr>
      <w:r w:rsidRPr="00CE62D0">
        <w:rPr>
          <w:lang w:eastAsia="en-AU"/>
        </w:rPr>
        <w:t xml:space="preserve">The positive signs of growth in business R&amp;D </w:t>
      </w:r>
      <w:r>
        <w:rPr>
          <w:lang w:eastAsia="en-AU"/>
        </w:rPr>
        <w:t>are</w:t>
      </w:r>
      <w:r w:rsidRPr="00CE62D0">
        <w:rPr>
          <w:lang w:eastAsia="en-AU"/>
        </w:rPr>
        <w:t xml:space="preserve"> also reflected though the R&amp;DTI</w:t>
      </w:r>
      <w:r>
        <w:rPr>
          <w:lang w:eastAsia="en-AU"/>
        </w:rPr>
        <w:t>. It is</w:t>
      </w:r>
      <w:r w:rsidRPr="00CE62D0">
        <w:rPr>
          <w:lang w:eastAsia="en-AU"/>
        </w:rPr>
        <w:t xml:space="preserve"> forecast to grow by 6.1 per cent to $3.2 billion in 2022-23, as described in </w:t>
      </w:r>
      <w:r>
        <w:rPr>
          <w:lang w:eastAsia="en-AU"/>
        </w:rPr>
        <w:t>DISR’s</w:t>
      </w:r>
      <w:r w:rsidRPr="00CE62D0">
        <w:rPr>
          <w:lang w:eastAsia="en-AU"/>
        </w:rPr>
        <w:t xml:space="preserve"> Science Research and Innovation Budget Tables published 28 April 2023.</w:t>
      </w:r>
    </w:p>
    <w:p w14:paraId="25AB6295" w14:textId="77777777" w:rsidR="006F1F97" w:rsidRPr="00535CE8" w:rsidRDefault="006F1F97" w:rsidP="006F1F97">
      <w:pPr>
        <w:pStyle w:val="Heading2"/>
        <w:numPr>
          <w:ilvl w:val="0"/>
          <w:numId w:val="12"/>
        </w:numPr>
        <w:tabs>
          <w:tab w:val="left" w:pos="2552"/>
        </w:tabs>
        <w:ind w:left="284" w:hanging="284"/>
        <w:jc w:val="both"/>
      </w:pPr>
      <w:r w:rsidRPr="00535CE8">
        <w:t>Service level agreements</w:t>
      </w:r>
    </w:p>
    <w:p w14:paraId="3AF1BA7B" w14:textId="77777777" w:rsidR="006F1F97" w:rsidRPr="00535CE8" w:rsidRDefault="006F1F97" w:rsidP="006F1F97">
      <w:pPr>
        <w:rPr>
          <w:lang w:eastAsia="en-AU"/>
        </w:rPr>
      </w:pPr>
      <w:r>
        <w:rPr>
          <w:lang w:eastAsia="en-AU"/>
        </w:rPr>
        <w:t>DISR’s</w:t>
      </w:r>
      <w:r w:rsidRPr="00535CE8">
        <w:rPr>
          <w:lang w:eastAsia="en-AU"/>
        </w:rPr>
        <w:t xml:space="preserve"> Corporate Plan </w:t>
      </w:r>
      <w:r>
        <w:rPr>
          <w:lang w:eastAsia="en-AU"/>
        </w:rPr>
        <w:t xml:space="preserve">2022-23 outlines a performance measure for the delivery of the R&amp;DTI program. It outlines </w:t>
      </w:r>
      <w:r w:rsidRPr="00535CE8">
        <w:rPr>
          <w:lang w:eastAsia="en-AU"/>
        </w:rPr>
        <w:t>that 95% of applications for registration of R&amp;D activities are processed within: 40 days for first-time registrants, 20 business days for registrants that have applied within 6 months after the end of the income period</w:t>
      </w:r>
      <w:r>
        <w:rPr>
          <w:lang w:eastAsia="en-AU"/>
        </w:rPr>
        <w:t>,</w:t>
      </w:r>
      <w:r w:rsidRPr="00535CE8">
        <w:rPr>
          <w:lang w:eastAsia="en-AU"/>
        </w:rPr>
        <w:t xml:space="preserve"> and 80 business days for registrations submitted from 6 to 10 months after the end of the income period.</w:t>
      </w:r>
    </w:p>
    <w:p w14:paraId="668BDE0B" w14:textId="77777777" w:rsidR="006F1F97" w:rsidRPr="00CE62D0" w:rsidRDefault="006F1F97" w:rsidP="006F1F97">
      <w:pPr>
        <w:rPr>
          <w:lang w:eastAsia="en-AU"/>
        </w:rPr>
      </w:pPr>
      <w:r>
        <w:rPr>
          <w:lang w:eastAsia="en-AU"/>
        </w:rPr>
        <w:t>T</w:t>
      </w:r>
      <w:r w:rsidRPr="00CE62D0">
        <w:rPr>
          <w:lang w:eastAsia="en-AU"/>
        </w:rPr>
        <w:t>hese target performance standards were met for 2021-22 financial year</w:t>
      </w:r>
      <w:r>
        <w:rPr>
          <w:lang w:eastAsia="en-AU"/>
        </w:rPr>
        <w:t xml:space="preserve"> applications</w:t>
      </w:r>
      <w:r w:rsidRPr="00CE62D0">
        <w:rPr>
          <w:lang w:eastAsia="en-AU"/>
        </w:rPr>
        <w:t xml:space="preserve">, with more than 95% of applications being processed within the target timeframes. By processing registrations within these timeframes, the flow-on effects for companies from </w:t>
      </w:r>
      <w:r>
        <w:rPr>
          <w:lang w:eastAsia="en-AU"/>
        </w:rPr>
        <w:t>the R&amp;DTI</w:t>
      </w:r>
      <w:r w:rsidRPr="00CE62D0">
        <w:rPr>
          <w:lang w:eastAsia="en-AU"/>
        </w:rPr>
        <w:t xml:space="preserve"> can flow quicker into the economy.</w:t>
      </w:r>
    </w:p>
    <w:p w14:paraId="1ED23247" w14:textId="77777777" w:rsidR="006F1F97" w:rsidRDefault="006F1F97" w:rsidP="006F1F97">
      <w:pPr>
        <w:pStyle w:val="Heading2"/>
        <w:numPr>
          <w:ilvl w:val="0"/>
          <w:numId w:val="12"/>
        </w:numPr>
        <w:tabs>
          <w:tab w:val="left" w:pos="2552"/>
        </w:tabs>
        <w:ind w:left="284" w:hanging="284"/>
        <w:jc w:val="both"/>
      </w:pPr>
      <w:r>
        <w:t>R&amp;D notional deductions updates</w:t>
      </w:r>
    </w:p>
    <w:p w14:paraId="00DF7EF3" w14:textId="77777777" w:rsidR="006F1F97" w:rsidRDefault="006F1F97" w:rsidP="006F1F97">
      <w:r>
        <w:t>The ATO has identified a number of ongoing issues with a number of the integrity rules of the R&amp;D program.  The ATO is seeking voluntary compliance with these and other integrity rules of the program.  Where there is doubt, please contact the ATO for certainty.</w:t>
      </w:r>
    </w:p>
    <w:p w14:paraId="1915E9C0" w14:textId="77777777" w:rsidR="006F1F97" w:rsidRDefault="006F1F97" w:rsidP="006F1F97">
      <w:pPr>
        <w:pStyle w:val="Heading3"/>
      </w:pPr>
      <w:r>
        <w:t>Payments to Associates</w:t>
      </w:r>
    </w:p>
    <w:p w14:paraId="78B52A70" w14:textId="77777777" w:rsidR="006F1F97" w:rsidRDefault="006F1F97" w:rsidP="006F1F97">
      <w:r>
        <w:t xml:space="preserve">For Payments to Associates to be claimed in the year it is incurred it must also be paid in the current year (paragraph 355-205(1)(b) of the </w:t>
      </w:r>
      <w:r>
        <w:rPr>
          <w:i/>
          <w:iCs/>
        </w:rPr>
        <w:t>Income Tax Assessment Act 1997</w:t>
      </w:r>
      <w:r>
        <w:t xml:space="preserve"> (ITAA 1997).  Section 355-480 of the ITAA 1997 provides for the company being able to claim the amount paid to associates in later years when payment occurs, unless the company </w:t>
      </w:r>
      <w:r>
        <w:lastRenderedPageBreak/>
        <w:t xml:space="preserve">has made an irrevocable election to claim a general or other specific provision deduction in the year of the expenditure, which </w:t>
      </w:r>
      <w:r>
        <w:rPr>
          <w:b/>
          <w:bCs/>
        </w:rPr>
        <w:t>precludes</w:t>
      </w:r>
      <w:r>
        <w:t xml:space="preserve"> a future R&amp;D notional deduction.</w:t>
      </w:r>
    </w:p>
    <w:p w14:paraId="5929FF2A" w14:textId="77777777" w:rsidR="006F1F97" w:rsidRDefault="006F1F97" w:rsidP="006F1F97">
      <w:r>
        <w:t>The ATO has identified arrangements where it has been argued that payment has been made.  The ATO has reviewed these arrangements and regard the arrangements as not resulting in payments made to the associate.</w:t>
      </w:r>
    </w:p>
    <w:p w14:paraId="3B2EC2DA" w14:textId="77777777" w:rsidR="006F1F97" w:rsidRDefault="006F1F97" w:rsidP="006F1F97">
      <w:pPr>
        <w:pStyle w:val="ListParagraph"/>
        <w:numPr>
          <w:ilvl w:val="0"/>
          <w:numId w:val="15"/>
        </w:numPr>
      </w:pPr>
      <w:r w:rsidRPr="00152C85">
        <w:rPr>
          <w:b/>
          <w:bCs/>
        </w:rPr>
        <w:t>Arrangement 1 – Converting the amount owing to an associate as a loan:</w:t>
      </w:r>
      <w:r>
        <w:rPr>
          <w:b/>
          <w:bCs/>
        </w:rPr>
        <w:br/>
      </w:r>
      <w:r>
        <w:t>Converting an amount owed to associate to a loan, usually for a term of a number of years, is not payment to the associate.  All that is occurring is converting a current liability to a deferred liability.  The amount remains unpaid, and therefore a liability, but with a longer period to repay.</w:t>
      </w:r>
    </w:p>
    <w:p w14:paraId="0BF601CF" w14:textId="77777777" w:rsidR="006F1F97" w:rsidRPr="00152C85" w:rsidRDefault="006F1F97" w:rsidP="006F1F97">
      <w:pPr>
        <w:pStyle w:val="ListParagraph"/>
        <w:numPr>
          <w:ilvl w:val="0"/>
          <w:numId w:val="15"/>
        </w:numPr>
        <w:rPr>
          <w:b/>
          <w:bCs/>
        </w:rPr>
      </w:pPr>
      <w:r w:rsidRPr="00152C85">
        <w:rPr>
          <w:b/>
          <w:bCs/>
        </w:rPr>
        <w:t>Arrangement 2 – Offsetting the amount owed to an associate for a fee that the associate owes for the use of the intellectual property being developed that is the R&amp;D project:</w:t>
      </w:r>
      <w:r w:rsidRPr="00152C85">
        <w:rPr>
          <w:b/>
          <w:bCs/>
        </w:rPr>
        <w:br/>
      </w:r>
      <w:r>
        <w:t>The R&amp;D entity and the associate have entered into a licencing agreement so the associate can exploit the R&amp;D being developed.  The licence fee payable by the associate is offset against the amount that the R&amp;D entity owes the associate for R&amp;D services.  The concern we have with these arrangements is that the R&amp;D is still under development, resulting in the question of what is being exploited commercially.  In other non-arm’s length arrangements, the amount being transacted is often more than market value.</w:t>
      </w:r>
    </w:p>
    <w:p w14:paraId="77B02927" w14:textId="77777777" w:rsidR="006F1F97" w:rsidRDefault="006F1F97" w:rsidP="006F1F97">
      <w:pPr>
        <w:pStyle w:val="ListParagraph"/>
        <w:numPr>
          <w:ilvl w:val="0"/>
          <w:numId w:val="15"/>
        </w:numPr>
      </w:pPr>
      <w:r w:rsidRPr="00152C85">
        <w:rPr>
          <w:b/>
          <w:bCs/>
        </w:rPr>
        <w:t>Arrangement 3 – Round robin transactions:</w:t>
      </w:r>
      <w:r>
        <w:rPr>
          <w:b/>
          <w:bCs/>
        </w:rPr>
        <w:br/>
      </w:r>
      <w:r>
        <w:t>The associate lends money at the end of the financial year to the R&amp;D entity to pay the amounts owed to the associate.  Usually, the amounts lent are small amounts and occur over several repeated transactions. These transactions are repeated until the whole amount to the associate has been ‘paid’.  The circular transactions are considered artificial in nature and contrived to receive a taxation benefit. These arrangements are being closely scrutinised and may attract a greater penalty by the ATO.</w:t>
      </w:r>
    </w:p>
    <w:p w14:paraId="3C27BDE5" w14:textId="77777777" w:rsidR="006F1F97" w:rsidRDefault="006F1F97" w:rsidP="006F1F97">
      <w:pPr>
        <w:pStyle w:val="Heading3"/>
      </w:pPr>
      <w:r>
        <w:t>“Conducted For”</w:t>
      </w:r>
    </w:p>
    <w:p w14:paraId="5BACD66D" w14:textId="77777777" w:rsidR="006F1F97" w:rsidRDefault="006F1F97" w:rsidP="006F1F97">
      <w:r>
        <w:t>An R&amp;D entity is only entitled to the R&amp;D tax offset if the R&amp;D activities are conducted for their benefit under s 355-210 of ITAA 1997, otherwise known as the ‘on own behalf’ rule. Expenditure on R&amp;D activities cannot be notionally deducted if they are not conducted for the R&amp;D entity or are conducted ‘to a significant extent’ for another entity.</w:t>
      </w:r>
    </w:p>
    <w:p w14:paraId="10AB0471" w14:textId="77777777" w:rsidR="006F1F97" w:rsidRDefault="006F1F97" w:rsidP="006F1F97">
      <w:pPr>
        <w:rPr>
          <w:b/>
        </w:rPr>
      </w:pPr>
      <w:r>
        <w:t>To determine if the ‘conducted for’ rule is satisfied, an ’on balance’ assessment is made of which entity benefits from the R&amp;D activities and requires consideration of who bears the financial risk, has effective ownership of the results of the R&amp;D activities and has control over the conduct of the R&amp;D activities.</w:t>
      </w:r>
    </w:p>
    <w:p w14:paraId="0BD62BA9" w14:textId="77777777" w:rsidR="006F1F97" w:rsidRDefault="006F1F97" w:rsidP="006F1F97">
      <w:pPr>
        <w:pStyle w:val="Heading3"/>
      </w:pPr>
      <w:r>
        <w:t>Aggregated Turnover</w:t>
      </w:r>
    </w:p>
    <w:p w14:paraId="3255A63F" w14:textId="77777777" w:rsidR="006F1F97" w:rsidRDefault="006F1F97" w:rsidP="006F1F97">
      <w:r>
        <w:t>An R&amp;D entity’s entitlement to the refundable R&amp;D tax offset is dependent on their ‘aggregated turnover’ being less than AUD$20 million. Section 355-100 of the ITAA 1997 deals with the entitlement to the refundable or non-refundable R&amp;D tax offset for a particular income year. Aggregated turnovers of $20 million or more are not entitled to a refundable tax offset and will be entitled to the non-refundable R&amp;D tax offset. Entities that are 50% controlled by exempt entities, regardless of their aggregated turnover are entitled to the non-refundable R&amp;D tax offset.</w:t>
      </w:r>
    </w:p>
    <w:p w14:paraId="1AD78D0A" w14:textId="77777777" w:rsidR="006F1F97" w:rsidRDefault="006F1F97" w:rsidP="006F1F97">
      <w:r>
        <w:t xml:space="preserve">Turnover is defined in ss 328-120 (1) as “ordinary income derived in the course of ordinary course of carrying on a business”. </w:t>
      </w:r>
    </w:p>
    <w:p w14:paraId="5A4A7D6A" w14:textId="77777777" w:rsidR="006F1F97" w:rsidRDefault="006F1F97" w:rsidP="006F1F97">
      <w:r>
        <w:t>The aggregated turnover is calculated from the perspective of the R&amp;D entity and includes its turnover and the turnover of any entities that are ‘connected’ and/or ‘affiliated’ with it, on a worldwide group basis, at any time during the income year. It is based on ordinary income and not assessable income so it does not matter if the turnover of connected or affiliated entities would be subject to taxation in Australia.</w:t>
      </w:r>
    </w:p>
    <w:p w14:paraId="76BA41F7" w14:textId="77777777" w:rsidR="006F1F97" w:rsidRDefault="006F1F97" w:rsidP="006F1F97">
      <w:pPr>
        <w:pStyle w:val="Heading3"/>
      </w:pPr>
      <w:r>
        <w:lastRenderedPageBreak/>
        <w:t>Overseas Expenditure</w:t>
      </w:r>
    </w:p>
    <w:p w14:paraId="6281A799" w14:textId="77777777" w:rsidR="006F1F97" w:rsidRPr="005C7056" w:rsidRDefault="006F1F97" w:rsidP="006F1F97">
      <w:r>
        <w:t>An R&amp;D entity can only claim expenditure for activities conducted overseas where the entity has obtained an overseas finding from the Department Industry, Science and Resources and meet the following conditions:</w:t>
      </w:r>
    </w:p>
    <w:p w14:paraId="230796FD" w14:textId="77777777" w:rsidR="006F1F97" w:rsidRPr="00762FCA" w:rsidRDefault="006F1F97" w:rsidP="006F1F97">
      <w:pPr>
        <w:pStyle w:val="ListParagraph"/>
        <w:numPr>
          <w:ilvl w:val="0"/>
          <w:numId w:val="13"/>
        </w:numPr>
        <w:spacing w:before="60" w:after="0" w:line="240" w:lineRule="auto"/>
        <w:contextualSpacing w:val="0"/>
        <w:rPr>
          <w:rFonts w:eastAsia="Times New Roman"/>
        </w:rPr>
      </w:pPr>
      <w:r w:rsidRPr="00762FCA">
        <w:rPr>
          <w:rFonts w:eastAsia="Times New Roman"/>
        </w:rPr>
        <w:t>the overseas activity must be an eligible R&amp;D activity</w:t>
      </w:r>
    </w:p>
    <w:p w14:paraId="75382BCB" w14:textId="77777777" w:rsidR="006F1F97" w:rsidRPr="00762FCA" w:rsidRDefault="006F1F97" w:rsidP="006F1F97">
      <w:pPr>
        <w:pStyle w:val="ListParagraph"/>
        <w:numPr>
          <w:ilvl w:val="0"/>
          <w:numId w:val="13"/>
        </w:numPr>
        <w:spacing w:before="60" w:after="0" w:line="240" w:lineRule="auto"/>
        <w:contextualSpacing w:val="0"/>
        <w:rPr>
          <w:rFonts w:eastAsia="Times New Roman"/>
        </w:rPr>
      </w:pPr>
      <w:r w:rsidRPr="00762FCA">
        <w:rPr>
          <w:rFonts w:eastAsia="Times New Roman"/>
        </w:rPr>
        <w:t>there must be a significant scientific link to an Australian core R&amp;D activity</w:t>
      </w:r>
    </w:p>
    <w:p w14:paraId="06F4FA51" w14:textId="77777777" w:rsidR="006F1F97" w:rsidRPr="00762FCA" w:rsidRDefault="006F1F97" w:rsidP="006F1F97">
      <w:pPr>
        <w:pStyle w:val="ListParagraph"/>
        <w:numPr>
          <w:ilvl w:val="0"/>
          <w:numId w:val="13"/>
        </w:numPr>
        <w:spacing w:before="60" w:after="0" w:line="240" w:lineRule="auto"/>
        <w:contextualSpacing w:val="0"/>
        <w:rPr>
          <w:rFonts w:eastAsia="Times New Roman"/>
        </w:rPr>
      </w:pPr>
      <w:r w:rsidRPr="00762FCA">
        <w:rPr>
          <w:rFonts w:eastAsia="Times New Roman"/>
        </w:rPr>
        <w:t xml:space="preserve">the overseas activity must not be able to be conducted in Australia </w:t>
      </w:r>
    </w:p>
    <w:p w14:paraId="7F33BABB" w14:textId="77777777" w:rsidR="006F1F97" w:rsidRPr="00762FCA" w:rsidRDefault="006F1F97" w:rsidP="006F1F97">
      <w:pPr>
        <w:pStyle w:val="ListParagraph"/>
        <w:numPr>
          <w:ilvl w:val="0"/>
          <w:numId w:val="13"/>
        </w:numPr>
        <w:spacing w:before="60" w:after="0" w:line="240" w:lineRule="auto"/>
        <w:contextualSpacing w:val="0"/>
        <w:rPr>
          <w:rFonts w:eastAsia="Times New Roman"/>
        </w:rPr>
      </w:pPr>
      <w:r w:rsidRPr="00762FCA">
        <w:rPr>
          <w:rFonts w:eastAsia="Times New Roman"/>
        </w:rPr>
        <w:t>the costs for overseas R&amp;D activities must be less than the costs of related R&amp;D activities undertaken solely in Australia.</w:t>
      </w:r>
    </w:p>
    <w:p w14:paraId="7E8F98CF" w14:textId="77777777" w:rsidR="006F1F97" w:rsidRDefault="006F1F97" w:rsidP="006F1F97">
      <w:r w:rsidRPr="00FE3043">
        <w:t>In the absence of an Overseas Finding, claimants must be able to demonstrate the work was carried out in Australia and not subcontracted out or otherwise performed overseas.</w:t>
      </w:r>
      <w:r>
        <w:t xml:space="preserve"> The physical location of where the work is being conducted is relevant and needs to be considered. </w:t>
      </w:r>
    </w:p>
    <w:p w14:paraId="65E62739" w14:textId="77777777" w:rsidR="006F1F97" w:rsidRDefault="006F1F97" w:rsidP="006F1F97">
      <w:r w:rsidRPr="00FE3043">
        <w:t>If R&amp;D activities are conducted for a related foreign entity, expenses incurred on overseas R&amp;D activities cannot be claimed irrespective of whether a positive overseas finding is obtained. Australian supporting R&amp;D activities also cannot be claimed if the corresponding core R&amp;D activity was conducted overseas.</w:t>
      </w:r>
    </w:p>
    <w:p w14:paraId="497B9072" w14:textId="77777777" w:rsidR="006F1F97" w:rsidRDefault="006F1F97" w:rsidP="006F1F97">
      <w:pPr>
        <w:pStyle w:val="Heading3"/>
      </w:pPr>
      <w:r>
        <w:t>Expenditure Not At Risk</w:t>
      </w:r>
    </w:p>
    <w:p w14:paraId="24613DFB" w14:textId="77777777" w:rsidR="006F1F97" w:rsidRPr="007A628C" w:rsidRDefault="006F1F97" w:rsidP="006F1F97">
      <w:r>
        <w:t xml:space="preserve">An R&amp;D entity </w:t>
      </w:r>
      <w:r w:rsidRPr="007A628C">
        <w:t>cannot notionally deduct expenditure under the R&amp;D tax incentive if the expenditure is not at risk pursuant to section 355-405 of the ITAA 1997.</w:t>
      </w:r>
      <w:r>
        <w:t xml:space="preserve"> </w:t>
      </w:r>
      <w:r w:rsidRPr="007A628C">
        <w:t xml:space="preserve">Expenditure is not at risk to the extent that when it is incurred the R&amp;D entity could reasonably be expected to receive an amount of consideration: </w:t>
      </w:r>
    </w:p>
    <w:p w14:paraId="4193947C" w14:textId="77777777" w:rsidR="006F1F97" w:rsidRPr="007A628C" w:rsidRDefault="006F1F97" w:rsidP="006F1F97">
      <w:pPr>
        <w:pStyle w:val="ListParagraph"/>
        <w:numPr>
          <w:ilvl w:val="0"/>
          <w:numId w:val="14"/>
        </w:numPr>
        <w:spacing w:before="0" w:after="200" w:line="276" w:lineRule="auto"/>
        <w:contextualSpacing w:val="0"/>
        <w:rPr>
          <w:rFonts w:eastAsia="Times New Roman"/>
        </w:rPr>
      </w:pPr>
      <w:r w:rsidRPr="007A628C">
        <w:rPr>
          <w:rFonts w:eastAsia="Times New Roman"/>
        </w:rPr>
        <w:t xml:space="preserve">As a direct or indirect result of the expenditure being incurred (the nexus to expenditure test), and </w:t>
      </w:r>
    </w:p>
    <w:p w14:paraId="55B42BC4" w14:textId="77777777" w:rsidR="006F1F97" w:rsidRPr="007A628C" w:rsidRDefault="006F1F97" w:rsidP="006F1F97">
      <w:pPr>
        <w:pStyle w:val="ListParagraph"/>
        <w:numPr>
          <w:ilvl w:val="0"/>
          <w:numId w:val="14"/>
        </w:numPr>
        <w:spacing w:before="0" w:after="200" w:line="276" w:lineRule="auto"/>
        <w:contextualSpacing w:val="0"/>
        <w:rPr>
          <w:rFonts w:eastAsia="Times New Roman"/>
        </w:rPr>
      </w:pPr>
      <w:r w:rsidRPr="007A628C">
        <w:rPr>
          <w:rFonts w:eastAsia="Times New Roman"/>
        </w:rPr>
        <w:t>Regardless of the results of the activities on which you incur the expenditure (regardless of the results test).</w:t>
      </w:r>
    </w:p>
    <w:p w14:paraId="7BFFEC6B" w14:textId="77777777" w:rsidR="006F1F97" w:rsidRDefault="006F1F97" w:rsidP="006F1F97">
      <w:r w:rsidRPr="007A628C">
        <w:t xml:space="preserve">TR 2021/5: </w:t>
      </w:r>
      <w:r w:rsidRPr="00F15723">
        <w:rPr>
          <w:i/>
          <w:iCs/>
        </w:rPr>
        <w:t>Income tax: Research and development tax offsets – the ‘at risk’ rule</w:t>
      </w:r>
      <w:r w:rsidRPr="007A628C">
        <w:t>, provides guidance on the tests in determining whether your expenditure is at risk under section 355-405 of the ITAA 1997.</w:t>
      </w:r>
      <w:r>
        <w:t xml:space="preserve"> If the R&amp;D entity has received a grant to undertake the activities, the expenditure is not at risk.  Similarly, if the R&amp;D entity has a contract to undertake the activities, the expenditure is not at risk. </w:t>
      </w:r>
      <w:r>
        <w:br/>
      </w:r>
    </w:p>
    <w:p w14:paraId="241DCC7E" w14:textId="77777777" w:rsidR="006F1F97" w:rsidRDefault="006F1F97" w:rsidP="006F1F97">
      <w:pPr>
        <w:pStyle w:val="Heading2"/>
        <w:numPr>
          <w:ilvl w:val="0"/>
          <w:numId w:val="12"/>
        </w:numPr>
        <w:tabs>
          <w:tab w:val="left" w:pos="2552"/>
        </w:tabs>
        <w:ind w:left="284" w:hanging="284"/>
        <w:jc w:val="both"/>
      </w:pPr>
      <w:r w:rsidRPr="0021759B">
        <w:t xml:space="preserve">Registration </w:t>
      </w:r>
      <w:r>
        <w:t>updates</w:t>
      </w:r>
    </w:p>
    <w:p w14:paraId="263ACEEC" w14:textId="77777777" w:rsidR="006F1F97" w:rsidRDefault="006F1F97" w:rsidP="006F1F97">
      <w:pPr>
        <w:pStyle w:val="Heading3"/>
      </w:pPr>
      <w:r>
        <w:t>Application insights</w:t>
      </w:r>
    </w:p>
    <w:p w14:paraId="392102B6" w14:textId="77777777" w:rsidR="006F1F97" w:rsidRDefault="006F1F97" w:rsidP="006F1F97">
      <w:r>
        <w:t xml:space="preserve">The following insights are based on DISR observations of recent applicant experience, including over the 2023 peak registrations period. </w:t>
      </w:r>
    </w:p>
    <w:p w14:paraId="4271C4D4" w14:textId="77777777" w:rsidR="006F1F97" w:rsidRDefault="006F1F97" w:rsidP="006F1F97">
      <w:pPr>
        <w:pStyle w:val="Heading4"/>
      </w:pPr>
      <w:r>
        <w:t>Time extension requests</w:t>
      </w:r>
    </w:p>
    <w:p w14:paraId="2198C226" w14:textId="77777777" w:rsidR="006F1F97" w:rsidRDefault="006F1F97" w:rsidP="006F1F97">
      <w:pPr>
        <w:rPr>
          <w:lang w:eastAsia="en-AU"/>
        </w:rPr>
      </w:pPr>
      <w:r>
        <w:rPr>
          <w:lang w:eastAsia="en-AU"/>
        </w:rPr>
        <w:t xml:space="preserve">Time extension requests can be approved for up to 92 days after the statutory deadline. Requests can only be submitted and processed through the R&amp;DTI customer portal; any requests submitted via email cannot be approved. </w:t>
      </w:r>
    </w:p>
    <w:p w14:paraId="7C5CEA11" w14:textId="77777777" w:rsidR="006F1F97" w:rsidRPr="007C17FE" w:rsidRDefault="006F1F97" w:rsidP="006F1F97">
      <w:pPr>
        <w:rPr>
          <w:lang w:eastAsia="en-AU"/>
        </w:rPr>
      </w:pPr>
      <w:r w:rsidRPr="007C17FE">
        <w:rPr>
          <w:lang w:eastAsia="en-AU"/>
        </w:rPr>
        <w:t xml:space="preserve">Many companies submitted time extension requests because insufficient time was </w:t>
      </w:r>
      <w:r>
        <w:rPr>
          <w:lang w:eastAsia="en-AU"/>
        </w:rPr>
        <w:t>assigned</w:t>
      </w:r>
      <w:r w:rsidRPr="007C17FE">
        <w:rPr>
          <w:lang w:eastAsia="en-AU"/>
        </w:rPr>
        <w:t xml:space="preserve"> to establish access to the R&amp;DTI customer portal. It is important that companies are aware</w:t>
      </w:r>
      <w:r>
        <w:rPr>
          <w:lang w:eastAsia="en-AU"/>
        </w:rPr>
        <w:t xml:space="preserve"> that</w:t>
      </w:r>
      <w:r w:rsidRPr="007C17FE">
        <w:rPr>
          <w:lang w:eastAsia="en-AU"/>
        </w:rPr>
        <w:t xml:space="preserve"> setting up a portal account for the first time can take longer than expected. This process should commence well ahead of the deadline to avoid any issues with lodgement. </w:t>
      </w:r>
    </w:p>
    <w:p w14:paraId="138C8C35" w14:textId="77777777" w:rsidR="006F1F97" w:rsidRPr="00F64DA7" w:rsidRDefault="006F1F97" w:rsidP="006F1F97">
      <w:pPr>
        <w:rPr>
          <w:lang w:eastAsia="en-AU"/>
        </w:rPr>
      </w:pPr>
      <w:r w:rsidRPr="00F64DA7">
        <w:rPr>
          <w:lang w:eastAsia="en-AU"/>
        </w:rPr>
        <w:lastRenderedPageBreak/>
        <w:t xml:space="preserve">Unless otherwise requested, a </w:t>
      </w:r>
      <w:r w:rsidRPr="00C025A6">
        <w:rPr>
          <w:lang w:eastAsia="en-AU"/>
        </w:rPr>
        <w:t>14-day</w:t>
      </w:r>
      <w:r w:rsidRPr="00F64DA7">
        <w:rPr>
          <w:lang w:eastAsia="en-AU"/>
        </w:rPr>
        <w:t xml:space="preserve"> extension is </w:t>
      </w:r>
      <w:r>
        <w:rPr>
          <w:lang w:eastAsia="en-AU"/>
        </w:rPr>
        <w:t>granted</w:t>
      </w:r>
      <w:r w:rsidRPr="00F64DA7">
        <w:rPr>
          <w:lang w:eastAsia="en-AU"/>
        </w:rPr>
        <w:t xml:space="preserve"> to all applicants</w:t>
      </w:r>
      <w:r>
        <w:rPr>
          <w:lang w:eastAsia="en-AU"/>
        </w:rPr>
        <w:t xml:space="preserve"> who submit an extension of time request</w:t>
      </w:r>
      <w:r w:rsidRPr="00F64DA7">
        <w:rPr>
          <w:lang w:eastAsia="en-AU"/>
        </w:rPr>
        <w:t xml:space="preserve">. If companies require a longer extension this information should be included </w:t>
      </w:r>
      <w:r>
        <w:rPr>
          <w:lang w:eastAsia="en-AU"/>
        </w:rPr>
        <w:t xml:space="preserve">within the request </w:t>
      </w:r>
      <w:r w:rsidRPr="00F64DA7">
        <w:rPr>
          <w:lang w:eastAsia="en-AU"/>
        </w:rPr>
        <w:t xml:space="preserve">to prevent </w:t>
      </w:r>
      <w:r>
        <w:rPr>
          <w:lang w:eastAsia="en-AU"/>
        </w:rPr>
        <w:t xml:space="preserve">the need for multiple time extension requests. </w:t>
      </w:r>
    </w:p>
    <w:p w14:paraId="11EB94D0" w14:textId="77777777" w:rsidR="006F1F97" w:rsidRPr="00D8425D" w:rsidRDefault="006F1F97" w:rsidP="006F1F97">
      <w:pPr>
        <w:pStyle w:val="Heading4"/>
        <w:rPr>
          <w:iCs w:val="0"/>
        </w:rPr>
      </w:pPr>
      <w:r>
        <w:t xml:space="preserve">Completing the </w:t>
      </w:r>
      <w:r w:rsidRPr="00D8425D">
        <w:t>application form</w:t>
      </w:r>
    </w:p>
    <w:p w14:paraId="15B8B4F3" w14:textId="77777777" w:rsidR="006F1F97" w:rsidRPr="007C17FE" w:rsidRDefault="006F1F97" w:rsidP="006F1F97">
      <w:pPr>
        <w:rPr>
          <w:lang w:eastAsia="en-AU"/>
        </w:rPr>
      </w:pPr>
      <w:r w:rsidRPr="007C17FE">
        <w:rPr>
          <w:lang w:eastAsia="en-AU"/>
        </w:rPr>
        <w:t xml:space="preserve">Pre-filled registration application forms in the R&amp;DTI customer portal do not pre-fill all the fields for </w:t>
      </w:r>
      <w:r>
        <w:rPr>
          <w:lang w:eastAsia="en-AU"/>
        </w:rPr>
        <w:t>multi-year</w:t>
      </w:r>
      <w:r w:rsidRPr="007C17FE">
        <w:rPr>
          <w:lang w:eastAsia="en-AU"/>
        </w:rPr>
        <w:t xml:space="preserve"> activit</w:t>
      </w:r>
      <w:r>
        <w:rPr>
          <w:lang w:eastAsia="en-AU"/>
        </w:rPr>
        <w:t>ies</w:t>
      </w:r>
      <w:r w:rsidRPr="007C17FE">
        <w:rPr>
          <w:lang w:eastAsia="en-AU"/>
        </w:rPr>
        <w:t xml:space="preserve">. The tasks performed and outcomes achieved in each activity need </w:t>
      </w:r>
      <w:r>
        <w:rPr>
          <w:lang w:eastAsia="en-AU"/>
        </w:rPr>
        <w:t xml:space="preserve">to </w:t>
      </w:r>
      <w:r w:rsidRPr="007C17FE">
        <w:rPr>
          <w:lang w:eastAsia="en-AU"/>
        </w:rPr>
        <w:t xml:space="preserve">be updated each year. </w:t>
      </w:r>
    </w:p>
    <w:p w14:paraId="6A028965" w14:textId="77777777" w:rsidR="006F1F97" w:rsidRPr="007C17FE" w:rsidRDefault="006F1F97" w:rsidP="006F1F97">
      <w:pPr>
        <w:rPr>
          <w:lang w:eastAsia="en-AU"/>
        </w:rPr>
      </w:pPr>
      <w:r w:rsidRPr="007C17FE">
        <w:rPr>
          <w:lang w:eastAsia="en-AU"/>
        </w:rPr>
        <w:t xml:space="preserve">All details in the application form should be checked to ensure they are correct before submission. Contact details and estimated R&amp;D expenditure amounts are fields that are often incorrectly entered. Any amendments made after submission will require a variation to be completed before the application can be registered. </w:t>
      </w:r>
    </w:p>
    <w:p w14:paraId="7E5DCD97" w14:textId="77777777" w:rsidR="006F1F97" w:rsidRPr="007C17FE" w:rsidRDefault="006F1F97" w:rsidP="006F1F97">
      <w:pPr>
        <w:rPr>
          <w:lang w:eastAsia="en-AU"/>
        </w:rPr>
      </w:pPr>
      <w:r w:rsidRPr="007C17FE">
        <w:rPr>
          <w:lang w:eastAsia="en-AU"/>
        </w:rPr>
        <w:t xml:space="preserve">The primary contact must be a company representative with their correct email address and not the email for a tax agent or R&amp;D consultant. Contact details for advisors are accommodated elsewhere in the </w:t>
      </w:r>
      <w:r>
        <w:rPr>
          <w:lang w:eastAsia="en-AU"/>
        </w:rPr>
        <w:t>application</w:t>
      </w:r>
      <w:r w:rsidRPr="007C17FE">
        <w:rPr>
          <w:lang w:eastAsia="en-AU"/>
        </w:rPr>
        <w:t xml:space="preserve"> form. Correct entry of the primary R&amp;D contact field is important for our registration workflows.</w:t>
      </w:r>
    </w:p>
    <w:p w14:paraId="6FA51B41" w14:textId="77777777" w:rsidR="006F1F97" w:rsidRPr="007C17FE" w:rsidRDefault="006F1F97" w:rsidP="006F1F97">
      <w:pPr>
        <w:rPr>
          <w:lang w:eastAsia="en-AU"/>
        </w:rPr>
      </w:pPr>
      <w:r w:rsidRPr="007C17FE">
        <w:rPr>
          <w:lang w:eastAsia="en-AU"/>
        </w:rPr>
        <w:t xml:space="preserve">As outlined in DISR’s service level standards, application processing times increase during peak period (April-June). Companies should be aware of these processing times and consider the due date of their tax return when submitting their application </w:t>
      </w:r>
      <w:r>
        <w:rPr>
          <w:lang w:eastAsia="en-AU"/>
        </w:rPr>
        <w:t>form</w:t>
      </w:r>
      <w:r w:rsidRPr="007C17FE">
        <w:rPr>
          <w:lang w:eastAsia="en-AU"/>
        </w:rPr>
        <w:t xml:space="preserve">.  </w:t>
      </w:r>
    </w:p>
    <w:p w14:paraId="2C138121" w14:textId="77777777" w:rsidR="006F1F97" w:rsidRDefault="006F1F97" w:rsidP="006F1F97">
      <w:pPr>
        <w:rPr>
          <w:color w:val="000000"/>
        </w:rPr>
      </w:pPr>
      <w:r w:rsidRPr="00781261">
        <w:rPr>
          <w:color w:val="000000"/>
        </w:rPr>
        <w:t xml:space="preserve">Application support is available by contacting </w:t>
      </w:r>
      <w:hyperlink r:id="rId14" w:history="1">
        <w:r w:rsidRPr="00F64DA7">
          <w:rPr>
            <w:rStyle w:val="Hyperlink"/>
          </w:rPr>
          <w:t>rdtaxincentive@industry.gov.au</w:t>
        </w:r>
      </w:hyperlink>
      <w:r w:rsidRPr="00781261">
        <w:rPr>
          <w:color w:val="000000"/>
        </w:rPr>
        <w:t xml:space="preserve"> or calling 13 28 46</w:t>
      </w:r>
    </w:p>
    <w:p w14:paraId="034D93DA" w14:textId="77777777" w:rsidR="006F1F97" w:rsidRPr="005E276E" w:rsidRDefault="006F1F97" w:rsidP="006F1F97">
      <w:pPr>
        <w:rPr>
          <w:rFonts w:asciiTheme="majorHAnsi" w:eastAsiaTheme="majorEastAsia" w:hAnsiTheme="majorHAnsi" w:cstheme="majorBidi"/>
          <w:color w:val="264F90" w:themeColor="accent2"/>
          <w:sz w:val="24"/>
          <w:szCs w:val="24"/>
        </w:rPr>
      </w:pPr>
      <w:r w:rsidRPr="005E276E">
        <w:rPr>
          <w:rFonts w:asciiTheme="majorHAnsi" w:eastAsiaTheme="majorEastAsia" w:hAnsiTheme="majorHAnsi" w:cstheme="majorBidi"/>
          <w:color w:val="264F90" w:themeColor="accent2"/>
          <w:sz w:val="24"/>
          <w:szCs w:val="24"/>
        </w:rPr>
        <w:t>Registration trends</w:t>
      </w:r>
    </w:p>
    <w:p w14:paraId="522DC2E6" w14:textId="77777777" w:rsidR="006F1F97" w:rsidRPr="0021759B" w:rsidRDefault="006F1F97" w:rsidP="006F1F97">
      <w:pPr>
        <w:rPr>
          <w:lang w:eastAsia="en-AU"/>
        </w:rPr>
      </w:pPr>
      <w:r w:rsidRPr="0021759B">
        <w:rPr>
          <w:lang w:eastAsia="en-AU"/>
        </w:rPr>
        <w:t>Although the number of registrations ha</w:t>
      </w:r>
      <w:r>
        <w:rPr>
          <w:lang w:eastAsia="en-AU"/>
        </w:rPr>
        <w:t>s</w:t>
      </w:r>
      <w:r w:rsidRPr="0021759B">
        <w:rPr>
          <w:lang w:eastAsia="en-AU"/>
        </w:rPr>
        <w:t xml:space="preserve"> remained broadly comparable in recent years, there has been a gradual change in industry sector participation: </w:t>
      </w:r>
    </w:p>
    <w:p w14:paraId="409ACDF2" w14:textId="77777777" w:rsidR="006F1F97" w:rsidRPr="0021759B" w:rsidRDefault="006F1F97" w:rsidP="006F1F97">
      <w:pPr>
        <w:pStyle w:val="ListParagraph"/>
        <w:numPr>
          <w:ilvl w:val="0"/>
          <w:numId w:val="10"/>
        </w:numPr>
        <w:rPr>
          <w:lang w:eastAsia="en-AU"/>
        </w:rPr>
      </w:pPr>
      <w:r w:rsidRPr="0021759B">
        <w:rPr>
          <w:lang w:eastAsia="en-AU"/>
        </w:rPr>
        <w:t xml:space="preserve">The Professional, Scientific and Technical Services industry has now topped R&amp;DTI registrations for the second year running. </w:t>
      </w:r>
      <w:r>
        <w:rPr>
          <w:lang w:eastAsia="en-AU"/>
        </w:rPr>
        <w:t>R</w:t>
      </w:r>
      <w:r w:rsidRPr="0021759B">
        <w:rPr>
          <w:lang w:eastAsia="en-AU"/>
        </w:rPr>
        <w:t xml:space="preserve">egistrations in this sector for the 2021-22 period were </w:t>
      </w:r>
      <w:r>
        <w:rPr>
          <w:lang w:eastAsia="en-AU"/>
        </w:rPr>
        <w:t>12%</w:t>
      </w:r>
      <w:r w:rsidRPr="0021759B">
        <w:rPr>
          <w:lang w:eastAsia="en-AU"/>
        </w:rPr>
        <w:t xml:space="preserve"> higher than the last, accounting for around one</w:t>
      </w:r>
      <w:r>
        <w:rPr>
          <w:lang w:eastAsia="en-AU"/>
        </w:rPr>
        <w:t>-</w:t>
      </w:r>
      <w:r w:rsidRPr="0021759B">
        <w:rPr>
          <w:lang w:eastAsia="en-AU"/>
        </w:rPr>
        <w:t>third of all registrations in the program.</w:t>
      </w:r>
    </w:p>
    <w:p w14:paraId="0DDB85F9" w14:textId="77777777" w:rsidR="006F1F97" w:rsidRPr="0021759B" w:rsidRDefault="006F1F97" w:rsidP="006F1F97">
      <w:pPr>
        <w:pStyle w:val="ListParagraph"/>
        <w:numPr>
          <w:ilvl w:val="0"/>
          <w:numId w:val="10"/>
        </w:numPr>
        <w:rPr>
          <w:lang w:eastAsia="en-AU"/>
        </w:rPr>
      </w:pPr>
      <w:r w:rsidRPr="0021759B">
        <w:rPr>
          <w:lang w:eastAsia="en-AU"/>
        </w:rPr>
        <w:t>Closely behind was the Manufacturing industry with the second highest number of registrations in the most recent period, followed by the Information, Media and Telecommunications industry.</w:t>
      </w:r>
    </w:p>
    <w:p w14:paraId="39AF58C1" w14:textId="77777777" w:rsidR="006F1F97" w:rsidRPr="0021759B" w:rsidRDefault="006F1F97" w:rsidP="006F1F97">
      <w:pPr>
        <w:pStyle w:val="ListParagraph"/>
        <w:numPr>
          <w:ilvl w:val="0"/>
          <w:numId w:val="10"/>
        </w:numPr>
        <w:rPr>
          <w:lang w:eastAsia="en-AU"/>
        </w:rPr>
      </w:pPr>
      <w:r w:rsidRPr="0021759B">
        <w:rPr>
          <w:lang w:eastAsia="en-AU"/>
        </w:rPr>
        <w:t xml:space="preserve">Manufacturing, Mining, and </w:t>
      </w:r>
      <w:r>
        <w:rPr>
          <w:lang w:eastAsia="en-AU"/>
        </w:rPr>
        <w:t>Finance</w:t>
      </w:r>
      <w:r w:rsidRPr="0021759B">
        <w:rPr>
          <w:lang w:eastAsia="en-AU"/>
        </w:rPr>
        <w:t xml:space="preserve"> have continued to decline as a share of the program. Expenditure has declined dramatically for these three sectors since 2012-13 – Manufacturing (-35%), Mining (-71%) and Finance (-70%)</w:t>
      </w:r>
    </w:p>
    <w:p w14:paraId="16ECBFE7" w14:textId="77777777" w:rsidR="006F1F97" w:rsidRDefault="006F1F97" w:rsidP="006F1F97">
      <w:pPr>
        <w:pStyle w:val="Heading3"/>
      </w:pPr>
      <w:r>
        <w:t>Registration and claims data</w:t>
      </w:r>
    </w:p>
    <w:p w14:paraId="138AC7F4" w14:textId="77777777" w:rsidR="006F1F97" w:rsidRPr="0021759B" w:rsidRDefault="006F1F97" w:rsidP="006F1F97">
      <w:r w:rsidRPr="0021759B">
        <w:t>The below figures demonstrate R&amp;D Tax Incentive registrations for the 202</w:t>
      </w:r>
      <w:r>
        <w:t>1-</w:t>
      </w:r>
      <w:r w:rsidRPr="0021759B">
        <w:t>202</w:t>
      </w:r>
      <w:r>
        <w:t>2</w:t>
      </w:r>
      <w:r w:rsidRPr="0021759B">
        <w:t xml:space="preserve"> income period. This dataset </w:t>
      </w:r>
      <w:r>
        <w:t xml:space="preserve">is almost complete as at 31 August 2023 (with late balancing applications closing 31 October), </w:t>
      </w:r>
      <w:r w:rsidRPr="0021759B">
        <w:t xml:space="preserve">due to the application period closing 10 months after the end of the financial year. </w:t>
      </w:r>
    </w:p>
    <w:p w14:paraId="4E25969C" w14:textId="5E11814E" w:rsidR="006F1F97" w:rsidRDefault="006F1F97" w:rsidP="006F1F97">
      <w:r w:rsidRPr="0021759B">
        <w:t xml:space="preserve">Please note that where the count of registrations for a metric is less than 5, or expenditure is below 1 million dollars, the information is not presented. </w:t>
      </w:r>
    </w:p>
    <w:p w14:paraId="609A8080" w14:textId="22408F4F" w:rsidR="006F1F97" w:rsidRDefault="006F1F97" w:rsidP="006F1F97"/>
    <w:p w14:paraId="21C69741" w14:textId="5AA54C03" w:rsidR="006F1F97" w:rsidRDefault="006F1F97" w:rsidP="006F1F97"/>
    <w:p w14:paraId="12620029" w14:textId="77777777" w:rsidR="006F1F97" w:rsidRPr="0021759B" w:rsidRDefault="006F1F97" w:rsidP="006F1F97"/>
    <w:p w14:paraId="130FB6A4" w14:textId="77777777" w:rsidR="006F1F97" w:rsidRPr="0021759B" w:rsidRDefault="006F1F97" w:rsidP="006F1F97">
      <w:pPr>
        <w:pStyle w:val="Heading5"/>
        <w:rPr>
          <w:b/>
        </w:rPr>
      </w:pPr>
      <w:r w:rsidRPr="0021759B">
        <w:rPr>
          <w:i w:val="0"/>
          <w:lang w:eastAsia="en-AU"/>
        </w:rPr>
        <w:lastRenderedPageBreak/>
        <w:t>Table 1:  Overall registrations</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44"/>
        <w:gridCol w:w="3686"/>
      </w:tblGrid>
      <w:tr w:rsidR="006F1F97" w:rsidRPr="00867C72" w14:paraId="5C41CB76" w14:textId="77777777" w:rsidTr="004E092E">
        <w:trPr>
          <w:trHeight w:val="300"/>
        </w:trPr>
        <w:tc>
          <w:tcPr>
            <w:tcW w:w="7230" w:type="dxa"/>
            <w:gridSpan w:val="2"/>
            <w:tcBorders>
              <w:top w:val="nil"/>
              <w:left w:val="nil"/>
              <w:bottom w:val="nil"/>
              <w:right w:val="nil"/>
            </w:tcBorders>
            <w:shd w:val="clear" w:color="auto" w:fill="auto"/>
            <w:vAlign w:val="bottom"/>
            <w:hideMark/>
          </w:tcPr>
          <w:p w14:paraId="5CDE6E7E" w14:textId="77777777" w:rsidR="006F1F97" w:rsidRPr="0021759B" w:rsidRDefault="006F1F97" w:rsidP="004E092E">
            <w:pPr>
              <w:pStyle w:val="TableHeading"/>
              <w:rPr>
                <w:rFonts w:ascii="Times New Roman" w:hAnsi="Times New Roman" w:cs="Times New Roman"/>
                <w:color w:val="auto"/>
                <w:sz w:val="24"/>
                <w:szCs w:val="24"/>
                <w:lang w:eastAsia="en-AU"/>
              </w:rPr>
            </w:pPr>
            <w:r w:rsidRPr="0021759B">
              <w:rPr>
                <w:lang w:eastAsia="en-AU"/>
              </w:rPr>
              <w:t>R&amp;D Tax Incentive Program REGISTRATIONS</w:t>
            </w:r>
            <w:r w:rsidRPr="0021759B">
              <w:rPr>
                <w:color w:val="auto"/>
                <w:lang w:eastAsia="en-AU"/>
              </w:rPr>
              <w:t> </w:t>
            </w:r>
          </w:p>
        </w:tc>
      </w:tr>
      <w:tr w:rsidR="006F1F97" w:rsidRPr="008D5B78" w14:paraId="2877719F" w14:textId="77777777" w:rsidTr="004E092E">
        <w:trPr>
          <w:trHeight w:val="300"/>
        </w:trPr>
        <w:tc>
          <w:tcPr>
            <w:tcW w:w="3544" w:type="dxa"/>
            <w:tcBorders>
              <w:top w:val="nil"/>
              <w:left w:val="nil"/>
              <w:bottom w:val="nil"/>
              <w:right w:val="nil"/>
            </w:tcBorders>
            <w:shd w:val="clear" w:color="auto" w:fill="FFFFFF" w:themeFill="background1"/>
            <w:vAlign w:val="bottom"/>
            <w:hideMark/>
          </w:tcPr>
          <w:p w14:paraId="63275916" w14:textId="77777777" w:rsidR="006F1F97" w:rsidRPr="0021759B" w:rsidRDefault="006F1F97" w:rsidP="004E092E">
            <w:pPr>
              <w:rPr>
                <w:rFonts w:ascii="Times New Roman" w:hAnsi="Times New Roman" w:cs="Times New Roman"/>
                <w:color w:val="auto"/>
                <w:sz w:val="24"/>
                <w:szCs w:val="24"/>
                <w:lang w:eastAsia="en-AU"/>
              </w:rPr>
            </w:pPr>
            <w:r w:rsidRPr="0021759B">
              <w:rPr>
                <w:lang w:eastAsia="en-AU"/>
              </w:rPr>
              <w:t>Number of Registrations</w:t>
            </w:r>
            <w:r w:rsidRPr="0021759B">
              <w:rPr>
                <w:color w:val="auto"/>
                <w:lang w:eastAsia="en-AU"/>
              </w:rPr>
              <w:t> </w:t>
            </w:r>
          </w:p>
        </w:tc>
        <w:tc>
          <w:tcPr>
            <w:tcW w:w="3686" w:type="dxa"/>
            <w:tcBorders>
              <w:top w:val="nil"/>
              <w:left w:val="nil"/>
              <w:bottom w:val="nil"/>
              <w:right w:val="nil"/>
            </w:tcBorders>
            <w:shd w:val="clear" w:color="auto" w:fill="FFFFFF" w:themeFill="background1"/>
            <w:vAlign w:val="bottom"/>
            <w:hideMark/>
          </w:tcPr>
          <w:p w14:paraId="77919E6B" w14:textId="77777777" w:rsidR="006F1F97" w:rsidRPr="0021759B" w:rsidRDefault="006F1F97" w:rsidP="004E092E">
            <w:pPr>
              <w:rPr>
                <w:rFonts w:ascii="Times New Roman" w:hAnsi="Times New Roman" w:cs="Times New Roman"/>
                <w:color w:val="auto"/>
                <w:sz w:val="24"/>
                <w:szCs w:val="24"/>
                <w:lang w:eastAsia="en-AU"/>
              </w:rPr>
            </w:pPr>
            <w:r w:rsidRPr="0021759B">
              <w:rPr>
                <w:lang w:eastAsia="en-AU"/>
              </w:rPr>
              <w:t>12,943</w:t>
            </w:r>
            <w:r w:rsidRPr="0021759B">
              <w:rPr>
                <w:color w:val="auto"/>
                <w:lang w:eastAsia="en-AU"/>
              </w:rPr>
              <w:t> </w:t>
            </w:r>
          </w:p>
        </w:tc>
      </w:tr>
      <w:tr w:rsidR="006F1F97" w:rsidRPr="008D5B78" w14:paraId="3E5B4FC2" w14:textId="77777777" w:rsidTr="004E092E">
        <w:trPr>
          <w:trHeight w:val="300"/>
        </w:trPr>
        <w:tc>
          <w:tcPr>
            <w:tcW w:w="3544" w:type="dxa"/>
            <w:tcBorders>
              <w:top w:val="nil"/>
              <w:left w:val="nil"/>
              <w:bottom w:val="single" w:sz="4" w:space="0" w:color="auto"/>
              <w:right w:val="nil"/>
            </w:tcBorders>
            <w:shd w:val="clear" w:color="auto" w:fill="auto"/>
            <w:vAlign w:val="bottom"/>
            <w:hideMark/>
          </w:tcPr>
          <w:p w14:paraId="094EB941" w14:textId="77777777" w:rsidR="006F1F97" w:rsidRPr="0021759B" w:rsidRDefault="006F1F97" w:rsidP="004E092E">
            <w:pPr>
              <w:rPr>
                <w:rFonts w:ascii="Times New Roman" w:hAnsi="Times New Roman" w:cs="Times New Roman"/>
                <w:color w:val="auto"/>
                <w:sz w:val="24"/>
                <w:szCs w:val="24"/>
                <w:lang w:eastAsia="en-AU"/>
              </w:rPr>
            </w:pPr>
            <w:r w:rsidRPr="0021759B">
              <w:rPr>
                <w:lang w:eastAsia="en-AU"/>
              </w:rPr>
              <w:t>R&amp;D Expenditure (</w:t>
            </w:r>
            <w:r w:rsidRPr="0021759B">
              <w:rPr>
                <w:b/>
                <w:bCs/>
                <w:lang w:eastAsia="en-AU"/>
              </w:rPr>
              <w:t>billion</w:t>
            </w:r>
            <w:r w:rsidRPr="0021759B">
              <w:rPr>
                <w:lang w:eastAsia="en-AU"/>
              </w:rPr>
              <w:t>)</w:t>
            </w:r>
            <w:r w:rsidRPr="0021759B">
              <w:rPr>
                <w:color w:val="auto"/>
                <w:lang w:eastAsia="en-AU"/>
              </w:rPr>
              <w:t> </w:t>
            </w:r>
          </w:p>
        </w:tc>
        <w:tc>
          <w:tcPr>
            <w:tcW w:w="3686" w:type="dxa"/>
            <w:tcBorders>
              <w:top w:val="nil"/>
              <w:left w:val="nil"/>
              <w:bottom w:val="single" w:sz="4" w:space="0" w:color="auto"/>
              <w:right w:val="nil"/>
            </w:tcBorders>
            <w:shd w:val="clear" w:color="auto" w:fill="auto"/>
            <w:vAlign w:val="bottom"/>
            <w:hideMark/>
          </w:tcPr>
          <w:p w14:paraId="2C25B9F2" w14:textId="77777777" w:rsidR="006F1F97" w:rsidRPr="0021759B" w:rsidRDefault="006F1F97" w:rsidP="004E092E">
            <w:pPr>
              <w:rPr>
                <w:rFonts w:ascii="Times New Roman" w:hAnsi="Times New Roman" w:cs="Times New Roman"/>
                <w:color w:val="auto"/>
                <w:sz w:val="24"/>
                <w:szCs w:val="24"/>
                <w:lang w:eastAsia="en-AU"/>
              </w:rPr>
            </w:pPr>
            <w:r w:rsidRPr="0021759B">
              <w:rPr>
                <w:lang w:eastAsia="en-AU"/>
              </w:rPr>
              <w:t>$15.47</w:t>
            </w:r>
            <w:r w:rsidRPr="0021759B">
              <w:rPr>
                <w:color w:val="auto"/>
                <w:lang w:eastAsia="en-AU"/>
              </w:rPr>
              <w:t> </w:t>
            </w:r>
          </w:p>
        </w:tc>
      </w:tr>
    </w:tbl>
    <w:p w14:paraId="500F8CF5" w14:textId="77777777" w:rsidR="006F1F97" w:rsidRPr="0021759B" w:rsidRDefault="006F1F97" w:rsidP="006F1F97">
      <w:pPr>
        <w:pStyle w:val="Heading5"/>
        <w:rPr>
          <w:b/>
          <w:lang w:val="en-US" w:eastAsia="en-AU"/>
        </w:rPr>
      </w:pPr>
      <w:r w:rsidRPr="0021759B">
        <w:rPr>
          <w:i w:val="0"/>
          <w:lang w:eastAsia="en-AU"/>
        </w:rPr>
        <w:t>Table 2: Comparison of registrations and expenditure by organisation size</w:t>
      </w:r>
    </w:p>
    <w:tbl>
      <w:tblPr>
        <w:tblW w:w="0" w:type="auto"/>
        <w:tblCellMar>
          <w:top w:w="15" w:type="dxa"/>
          <w:left w:w="15" w:type="dxa"/>
          <w:bottom w:w="15" w:type="dxa"/>
          <w:right w:w="15" w:type="dxa"/>
        </w:tblCellMar>
        <w:tblLook w:val="04A0" w:firstRow="1" w:lastRow="0" w:firstColumn="1" w:lastColumn="0" w:noHBand="0" w:noVBand="1"/>
      </w:tblPr>
      <w:tblGrid>
        <w:gridCol w:w="3119"/>
        <w:gridCol w:w="2055"/>
        <w:gridCol w:w="2056"/>
      </w:tblGrid>
      <w:tr w:rsidR="006F1F97" w:rsidRPr="008D5B78" w14:paraId="18E0D96D" w14:textId="77777777" w:rsidTr="004E092E">
        <w:trPr>
          <w:trHeight w:val="300"/>
        </w:trPr>
        <w:tc>
          <w:tcPr>
            <w:tcW w:w="3119" w:type="dxa"/>
            <w:shd w:val="clear" w:color="auto" w:fill="auto"/>
            <w:vAlign w:val="bottom"/>
            <w:hideMark/>
          </w:tcPr>
          <w:p w14:paraId="7F9F77C7" w14:textId="77777777" w:rsidR="006F1F97" w:rsidRPr="0021759B" w:rsidRDefault="006F1F97" w:rsidP="004E092E">
            <w:pPr>
              <w:pStyle w:val="FigureHeading"/>
              <w:rPr>
                <w:rFonts w:ascii="Times New Roman" w:hAnsi="Times New Roman" w:cs="Times New Roman"/>
                <w:sz w:val="24"/>
                <w:szCs w:val="24"/>
                <w:lang w:eastAsia="en-AU"/>
              </w:rPr>
            </w:pPr>
            <w:r w:rsidRPr="0021759B">
              <w:rPr>
                <w:lang w:eastAsia="en-AU"/>
              </w:rPr>
              <w:t>registrations/expenditure</w:t>
            </w:r>
          </w:p>
        </w:tc>
        <w:tc>
          <w:tcPr>
            <w:tcW w:w="2055" w:type="dxa"/>
            <w:shd w:val="clear" w:color="auto" w:fill="auto"/>
            <w:vAlign w:val="center"/>
            <w:hideMark/>
          </w:tcPr>
          <w:p w14:paraId="23C31943" w14:textId="77777777" w:rsidR="006F1F97" w:rsidRPr="0021759B" w:rsidRDefault="006F1F97" w:rsidP="004E092E">
            <w:pPr>
              <w:pStyle w:val="FigureHeading"/>
              <w:jc w:val="center"/>
              <w:rPr>
                <w:rFonts w:ascii="Times New Roman" w:hAnsi="Times New Roman" w:cs="Times New Roman"/>
                <w:sz w:val="24"/>
                <w:szCs w:val="24"/>
                <w:lang w:eastAsia="en-AU"/>
              </w:rPr>
            </w:pPr>
            <w:r w:rsidRPr="0021759B">
              <w:rPr>
                <w:lang w:eastAsia="en-AU"/>
              </w:rPr>
              <w:t>SMEs</w:t>
            </w:r>
          </w:p>
        </w:tc>
        <w:tc>
          <w:tcPr>
            <w:tcW w:w="2056" w:type="dxa"/>
            <w:shd w:val="clear" w:color="auto" w:fill="auto"/>
            <w:vAlign w:val="center"/>
            <w:hideMark/>
          </w:tcPr>
          <w:p w14:paraId="0EACDE82" w14:textId="77777777" w:rsidR="006F1F97" w:rsidRPr="0021759B" w:rsidRDefault="006F1F97" w:rsidP="004E092E">
            <w:pPr>
              <w:pStyle w:val="FigureHeading"/>
              <w:jc w:val="center"/>
              <w:rPr>
                <w:rFonts w:ascii="Times New Roman" w:hAnsi="Times New Roman" w:cs="Times New Roman"/>
                <w:sz w:val="24"/>
                <w:szCs w:val="24"/>
                <w:lang w:eastAsia="en-AU"/>
              </w:rPr>
            </w:pPr>
            <w:r w:rsidRPr="0021759B">
              <w:rPr>
                <w:lang w:eastAsia="en-AU"/>
              </w:rPr>
              <w:t>Large Companies</w:t>
            </w:r>
          </w:p>
        </w:tc>
      </w:tr>
      <w:tr w:rsidR="006F1F97" w:rsidRPr="008D5B78" w14:paraId="578B61E6" w14:textId="77777777" w:rsidTr="004E092E">
        <w:trPr>
          <w:trHeight w:val="300"/>
        </w:trPr>
        <w:tc>
          <w:tcPr>
            <w:tcW w:w="3119" w:type="dxa"/>
            <w:shd w:val="clear" w:color="auto" w:fill="auto"/>
            <w:vAlign w:val="bottom"/>
            <w:hideMark/>
          </w:tcPr>
          <w:p w14:paraId="0501E6EB" w14:textId="77777777" w:rsidR="006F1F97" w:rsidRPr="00883B04" w:rsidRDefault="006F1F97" w:rsidP="004E092E">
            <w:pPr>
              <w:rPr>
                <w:rFonts w:ascii="Times New Roman" w:hAnsi="Times New Roman" w:cs="Times New Roman"/>
                <w:color w:val="auto"/>
                <w:sz w:val="24"/>
                <w:szCs w:val="24"/>
                <w:lang w:eastAsia="en-AU"/>
              </w:rPr>
            </w:pPr>
            <w:r w:rsidRPr="00883B04">
              <w:rPr>
                <w:lang w:eastAsia="en-AU"/>
              </w:rPr>
              <w:t>Number of Registrations</w:t>
            </w:r>
            <w:r w:rsidRPr="00883B04">
              <w:rPr>
                <w:color w:val="auto"/>
                <w:lang w:eastAsia="en-AU"/>
              </w:rPr>
              <w:t> </w:t>
            </w:r>
          </w:p>
        </w:tc>
        <w:tc>
          <w:tcPr>
            <w:tcW w:w="2055" w:type="dxa"/>
            <w:shd w:val="clear" w:color="auto" w:fill="auto"/>
            <w:vAlign w:val="bottom"/>
            <w:hideMark/>
          </w:tcPr>
          <w:p w14:paraId="35048151" w14:textId="77777777" w:rsidR="006F1F97" w:rsidRPr="00883B04" w:rsidRDefault="006F1F97" w:rsidP="004E092E">
            <w:pPr>
              <w:jc w:val="center"/>
              <w:rPr>
                <w:rFonts w:ascii="Times New Roman" w:hAnsi="Times New Roman" w:cs="Times New Roman"/>
                <w:color w:val="auto"/>
                <w:sz w:val="24"/>
                <w:szCs w:val="24"/>
                <w:lang w:eastAsia="en-AU"/>
              </w:rPr>
            </w:pPr>
            <w:r w:rsidRPr="00883B04">
              <w:rPr>
                <w:rFonts w:eastAsia="Times New Roman"/>
                <w:color w:val="000000"/>
                <w:lang w:eastAsia="en-AU"/>
              </w:rPr>
              <w:t xml:space="preserve">11,340 </w:t>
            </w:r>
          </w:p>
        </w:tc>
        <w:tc>
          <w:tcPr>
            <w:tcW w:w="2056" w:type="dxa"/>
            <w:shd w:val="clear" w:color="auto" w:fill="auto"/>
            <w:vAlign w:val="bottom"/>
            <w:hideMark/>
          </w:tcPr>
          <w:p w14:paraId="08E1BFE5" w14:textId="77777777" w:rsidR="006F1F97" w:rsidRPr="00883B04" w:rsidRDefault="006F1F97" w:rsidP="004E092E">
            <w:pPr>
              <w:jc w:val="center"/>
              <w:rPr>
                <w:rFonts w:ascii="Times New Roman" w:hAnsi="Times New Roman" w:cs="Times New Roman"/>
                <w:color w:val="auto"/>
                <w:sz w:val="24"/>
                <w:szCs w:val="24"/>
                <w:lang w:eastAsia="en-AU"/>
              </w:rPr>
            </w:pPr>
            <w:r w:rsidRPr="00883B04">
              <w:rPr>
                <w:rFonts w:eastAsia="Times New Roman"/>
                <w:color w:val="000000"/>
                <w:lang w:eastAsia="en-AU"/>
              </w:rPr>
              <w:t xml:space="preserve">1,603 </w:t>
            </w:r>
          </w:p>
        </w:tc>
      </w:tr>
      <w:tr w:rsidR="006F1F97" w:rsidRPr="008D5B78" w14:paraId="0458F6E6" w14:textId="77777777" w:rsidTr="004E092E">
        <w:trPr>
          <w:trHeight w:val="300"/>
        </w:trPr>
        <w:tc>
          <w:tcPr>
            <w:tcW w:w="3119" w:type="dxa"/>
            <w:tcBorders>
              <w:bottom w:val="single" w:sz="4" w:space="0" w:color="auto"/>
            </w:tcBorders>
            <w:shd w:val="clear" w:color="auto" w:fill="auto"/>
            <w:vAlign w:val="bottom"/>
            <w:hideMark/>
          </w:tcPr>
          <w:p w14:paraId="193786C1" w14:textId="77777777" w:rsidR="006F1F97" w:rsidRPr="00883B04" w:rsidRDefault="006F1F97" w:rsidP="004E092E">
            <w:pPr>
              <w:rPr>
                <w:rFonts w:ascii="Times New Roman" w:hAnsi="Times New Roman" w:cs="Times New Roman"/>
                <w:color w:val="auto"/>
                <w:sz w:val="24"/>
                <w:szCs w:val="24"/>
                <w:lang w:eastAsia="en-AU"/>
              </w:rPr>
            </w:pPr>
            <w:r w:rsidRPr="00883B04">
              <w:rPr>
                <w:lang w:eastAsia="en-AU"/>
              </w:rPr>
              <w:t>R&amp;D Expenditure (</w:t>
            </w:r>
            <w:r w:rsidRPr="00883B04">
              <w:rPr>
                <w:b/>
                <w:bCs/>
                <w:lang w:eastAsia="en-AU"/>
              </w:rPr>
              <w:t>billion</w:t>
            </w:r>
            <w:r w:rsidRPr="00883B04">
              <w:rPr>
                <w:lang w:eastAsia="en-AU"/>
              </w:rPr>
              <w:t>)</w:t>
            </w:r>
            <w:r w:rsidRPr="00883B04">
              <w:rPr>
                <w:color w:val="auto"/>
                <w:lang w:eastAsia="en-AU"/>
              </w:rPr>
              <w:t> </w:t>
            </w:r>
          </w:p>
        </w:tc>
        <w:tc>
          <w:tcPr>
            <w:tcW w:w="2055" w:type="dxa"/>
            <w:tcBorders>
              <w:bottom w:val="single" w:sz="4" w:space="0" w:color="auto"/>
            </w:tcBorders>
            <w:shd w:val="clear" w:color="auto" w:fill="auto"/>
            <w:vAlign w:val="bottom"/>
            <w:hideMark/>
          </w:tcPr>
          <w:p w14:paraId="0239578F" w14:textId="77777777" w:rsidR="006F1F97" w:rsidRPr="00883B04" w:rsidRDefault="006F1F97" w:rsidP="004E092E">
            <w:pPr>
              <w:jc w:val="center"/>
              <w:rPr>
                <w:rFonts w:ascii="Times New Roman" w:hAnsi="Times New Roman" w:cs="Times New Roman"/>
                <w:color w:val="auto"/>
                <w:sz w:val="24"/>
                <w:szCs w:val="24"/>
                <w:lang w:eastAsia="en-AU"/>
              </w:rPr>
            </w:pPr>
            <w:r w:rsidRPr="00883B04">
              <w:rPr>
                <w:rFonts w:eastAsia="Times New Roman"/>
                <w:color w:val="000000"/>
                <w:lang w:eastAsia="en-AU"/>
              </w:rPr>
              <w:t>$8.70</w:t>
            </w:r>
          </w:p>
        </w:tc>
        <w:tc>
          <w:tcPr>
            <w:tcW w:w="2056" w:type="dxa"/>
            <w:tcBorders>
              <w:bottom w:val="single" w:sz="4" w:space="0" w:color="auto"/>
            </w:tcBorders>
            <w:shd w:val="clear" w:color="auto" w:fill="auto"/>
            <w:vAlign w:val="bottom"/>
            <w:hideMark/>
          </w:tcPr>
          <w:p w14:paraId="6CE0BA53" w14:textId="77777777" w:rsidR="006F1F97" w:rsidRPr="00883B04" w:rsidRDefault="006F1F97" w:rsidP="004E092E">
            <w:pPr>
              <w:jc w:val="center"/>
              <w:rPr>
                <w:rFonts w:ascii="Times New Roman" w:hAnsi="Times New Roman" w:cs="Times New Roman"/>
                <w:color w:val="auto"/>
                <w:sz w:val="24"/>
                <w:szCs w:val="24"/>
                <w:lang w:eastAsia="en-AU"/>
              </w:rPr>
            </w:pPr>
            <w:r w:rsidRPr="00883B04">
              <w:rPr>
                <w:rFonts w:eastAsia="Times New Roman"/>
                <w:color w:val="000000"/>
                <w:lang w:eastAsia="en-AU"/>
              </w:rPr>
              <w:t>$6.77</w:t>
            </w:r>
          </w:p>
        </w:tc>
      </w:tr>
    </w:tbl>
    <w:p w14:paraId="64047998" w14:textId="77777777" w:rsidR="006F1F97" w:rsidRPr="008D5B78" w:rsidRDefault="006F1F97" w:rsidP="006F1F97">
      <w:pPr>
        <w:rPr>
          <w:rFonts w:asciiTheme="majorHAnsi" w:eastAsiaTheme="majorEastAsia" w:hAnsiTheme="majorHAnsi" w:cstheme="majorBidi"/>
          <w:iCs/>
          <w:color w:val="264F90" w:themeColor="accent2"/>
          <w:szCs w:val="24"/>
          <w:highlight w:val="yellow"/>
          <w:lang w:eastAsia="en-AU"/>
        </w:rPr>
      </w:pPr>
    </w:p>
    <w:p w14:paraId="1AB9A439" w14:textId="77777777" w:rsidR="006F1F97" w:rsidRPr="0021759B" w:rsidRDefault="006F1F97" w:rsidP="006F1F97">
      <w:pPr>
        <w:pStyle w:val="Heading5"/>
        <w:rPr>
          <w:b/>
          <w:lang w:val="en-US" w:eastAsia="en-AU"/>
        </w:rPr>
      </w:pPr>
      <w:r w:rsidRPr="00B73146">
        <w:rPr>
          <w:i w:val="0"/>
          <w:lang w:eastAsia="en-AU"/>
        </w:rPr>
        <w:t>Table 3: Overall claims for the full 2021-22 financial year (ATO)</w:t>
      </w:r>
    </w:p>
    <w:tbl>
      <w:tblPr>
        <w:tblW w:w="0" w:type="auto"/>
        <w:tblCellMar>
          <w:top w:w="15" w:type="dxa"/>
          <w:left w:w="15" w:type="dxa"/>
          <w:bottom w:w="15" w:type="dxa"/>
          <w:right w:w="15" w:type="dxa"/>
        </w:tblCellMar>
        <w:tblLook w:val="04A0" w:firstRow="1" w:lastRow="0" w:firstColumn="1" w:lastColumn="0" w:noHBand="0" w:noVBand="1"/>
      </w:tblPr>
      <w:tblGrid>
        <w:gridCol w:w="3119"/>
        <w:gridCol w:w="2055"/>
        <w:gridCol w:w="2056"/>
      </w:tblGrid>
      <w:tr w:rsidR="006F1F97" w:rsidRPr="008D5B78" w14:paraId="3356DAC3" w14:textId="77777777" w:rsidTr="004E092E">
        <w:trPr>
          <w:trHeight w:val="300"/>
        </w:trPr>
        <w:tc>
          <w:tcPr>
            <w:tcW w:w="3119" w:type="dxa"/>
            <w:shd w:val="clear" w:color="auto" w:fill="auto"/>
            <w:vAlign w:val="bottom"/>
            <w:hideMark/>
          </w:tcPr>
          <w:p w14:paraId="5EDDD6AD" w14:textId="77777777" w:rsidR="006F1F97" w:rsidRPr="0021759B" w:rsidRDefault="006F1F97" w:rsidP="004E092E">
            <w:pPr>
              <w:pStyle w:val="FigureHeading"/>
              <w:rPr>
                <w:rFonts w:ascii="Times New Roman" w:hAnsi="Times New Roman" w:cs="Times New Roman"/>
                <w:sz w:val="24"/>
                <w:szCs w:val="24"/>
                <w:lang w:eastAsia="en-AU"/>
              </w:rPr>
            </w:pPr>
            <w:r w:rsidRPr="0021759B">
              <w:rPr>
                <w:lang w:eastAsia="en-AU"/>
              </w:rPr>
              <w:t>claims</w:t>
            </w:r>
          </w:p>
        </w:tc>
        <w:tc>
          <w:tcPr>
            <w:tcW w:w="2055" w:type="dxa"/>
            <w:shd w:val="clear" w:color="auto" w:fill="auto"/>
            <w:vAlign w:val="center"/>
            <w:hideMark/>
          </w:tcPr>
          <w:p w14:paraId="7F819EFC" w14:textId="77777777" w:rsidR="006F1F97" w:rsidRPr="0021759B" w:rsidRDefault="006F1F97" w:rsidP="004E092E">
            <w:pPr>
              <w:pStyle w:val="FigureHeading"/>
              <w:jc w:val="center"/>
              <w:rPr>
                <w:rFonts w:ascii="Times New Roman" w:hAnsi="Times New Roman" w:cs="Times New Roman"/>
                <w:sz w:val="24"/>
                <w:szCs w:val="24"/>
                <w:lang w:eastAsia="en-AU"/>
              </w:rPr>
            </w:pPr>
            <w:r w:rsidRPr="0021759B">
              <w:rPr>
                <w:lang w:eastAsia="en-AU"/>
              </w:rPr>
              <w:t>refundable</w:t>
            </w:r>
          </w:p>
        </w:tc>
        <w:tc>
          <w:tcPr>
            <w:tcW w:w="2056" w:type="dxa"/>
            <w:shd w:val="clear" w:color="auto" w:fill="auto"/>
            <w:vAlign w:val="center"/>
            <w:hideMark/>
          </w:tcPr>
          <w:p w14:paraId="2ABD1838" w14:textId="77777777" w:rsidR="006F1F97" w:rsidRPr="0021759B" w:rsidRDefault="006F1F97" w:rsidP="004E092E">
            <w:pPr>
              <w:pStyle w:val="FigureHeading"/>
              <w:jc w:val="center"/>
              <w:rPr>
                <w:rFonts w:ascii="Times New Roman" w:hAnsi="Times New Roman" w:cs="Times New Roman"/>
                <w:sz w:val="24"/>
                <w:szCs w:val="24"/>
                <w:lang w:eastAsia="en-AU"/>
              </w:rPr>
            </w:pPr>
            <w:r w:rsidRPr="0021759B">
              <w:rPr>
                <w:lang w:eastAsia="en-AU"/>
              </w:rPr>
              <w:t>non-refundable</w:t>
            </w:r>
          </w:p>
        </w:tc>
      </w:tr>
      <w:tr w:rsidR="006F1F97" w:rsidRPr="008D5B78" w14:paraId="52CC4B04" w14:textId="77777777" w:rsidTr="004E092E">
        <w:trPr>
          <w:trHeight w:val="300"/>
        </w:trPr>
        <w:tc>
          <w:tcPr>
            <w:tcW w:w="3119" w:type="dxa"/>
            <w:shd w:val="clear" w:color="auto" w:fill="auto"/>
            <w:vAlign w:val="bottom"/>
            <w:hideMark/>
          </w:tcPr>
          <w:p w14:paraId="26132A15" w14:textId="77777777" w:rsidR="006F1F97" w:rsidRPr="0021759B" w:rsidRDefault="006F1F97" w:rsidP="004E092E">
            <w:pPr>
              <w:rPr>
                <w:rFonts w:ascii="Times New Roman" w:hAnsi="Times New Roman" w:cs="Times New Roman"/>
                <w:color w:val="auto"/>
                <w:sz w:val="24"/>
                <w:szCs w:val="24"/>
                <w:lang w:eastAsia="en-AU"/>
              </w:rPr>
            </w:pPr>
            <w:r w:rsidRPr="0021759B">
              <w:rPr>
                <w:lang w:eastAsia="en-AU"/>
              </w:rPr>
              <w:t>Number of Claims</w:t>
            </w:r>
          </w:p>
        </w:tc>
        <w:tc>
          <w:tcPr>
            <w:tcW w:w="2055" w:type="dxa"/>
            <w:shd w:val="clear" w:color="auto" w:fill="auto"/>
            <w:vAlign w:val="center"/>
            <w:hideMark/>
          </w:tcPr>
          <w:p w14:paraId="484226CB" w14:textId="77777777" w:rsidR="006F1F97" w:rsidRPr="0021759B" w:rsidRDefault="006F1F97" w:rsidP="004E092E">
            <w:pPr>
              <w:jc w:val="center"/>
              <w:rPr>
                <w:rFonts w:ascii="Times New Roman" w:hAnsi="Times New Roman" w:cs="Times New Roman"/>
                <w:color w:val="auto"/>
                <w:sz w:val="24"/>
                <w:szCs w:val="24"/>
                <w:lang w:eastAsia="en-AU"/>
              </w:rPr>
            </w:pPr>
            <w:r w:rsidRPr="0021759B">
              <w:rPr>
                <w:lang w:eastAsia="en-AU"/>
              </w:rPr>
              <w:t>10,</w:t>
            </w:r>
            <w:r>
              <w:rPr>
                <w:lang w:eastAsia="en-AU"/>
              </w:rPr>
              <w:t>309</w:t>
            </w:r>
          </w:p>
        </w:tc>
        <w:tc>
          <w:tcPr>
            <w:tcW w:w="2056" w:type="dxa"/>
            <w:shd w:val="clear" w:color="auto" w:fill="auto"/>
            <w:vAlign w:val="center"/>
            <w:hideMark/>
          </w:tcPr>
          <w:p w14:paraId="2CD7184F" w14:textId="77777777" w:rsidR="006F1F97" w:rsidRPr="0021759B" w:rsidRDefault="006F1F97" w:rsidP="004E092E">
            <w:pPr>
              <w:jc w:val="center"/>
              <w:rPr>
                <w:rFonts w:ascii="Times New Roman" w:hAnsi="Times New Roman" w:cs="Times New Roman"/>
                <w:color w:val="auto"/>
                <w:sz w:val="24"/>
                <w:szCs w:val="24"/>
                <w:lang w:eastAsia="en-AU"/>
              </w:rPr>
            </w:pPr>
            <w:r w:rsidRPr="0021759B">
              <w:rPr>
                <w:lang w:eastAsia="en-AU"/>
              </w:rPr>
              <w:t>1,</w:t>
            </w:r>
            <w:r>
              <w:rPr>
                <w:lang w:eastAsia="en-AU"/>
              </w:rPr>
              <w:t>432</w:t>
            </w:r>
          </w:p>
        </w:tc>
      </w:tr>
      <w:tr w:rsidR="006F1F97" w:rsidRPr="008D5B78" w14:paraId="09F9CCFC" w14:textId="77777777" w:rsidTr="004E092E">
        <w:trPr>
          <w:trHeight w:val="300"/>
        </w:trPr>
        <w:tc>
          <w:tcPr>
            <w:tcW w:w="3119" w:type="dxa"/>
            <w:tcBorders>
              <w:bottom w:val="single" w:sz="4" w:space="0" w:color="auto"/>
            </w:tcBorders>
            <w:shd w:val="clear" w:color="auto" w:fill="auto"/>
            <w:vAlign w:val="bottom"/>
            <w:hideMark/>
          </w:tcPr>
          <w:p w14:paraId="0266BAC3" w14:textId="77777777" w:rsidR="006F1F97" w:rsidRPr="0021759B" w:rsidRDefault="006F1F97" w:rsidP="004E092E">
            <w:pPr>
              <w:rPr>
                <w:rFonts w:ascii="Times New Roman" w:hAnsi="Times New Roman" w:cs="Times New Roman"/>
                <w:color w:val="auto"/>
                <w:sz w:val="24"/>
                <w:szCs w:val="24"/>
                <w:lang w:eastAsia="en-AU"/>
              </w:rPr>
            </w:pPr>
            <w:r w:rsidRPr="0021759B">
              <w:rPr>
                <w:lang w:eastAsia="en-AU"/>
              </w:rPr>
              <w:t>Offset paid or applied (</w:t>
            </w:r>
            <w:r w:rsidRPr="0021759B">
              <w:rPr>
                <w:b/>
                <w:bCs/>
                <w:lang w:eastAsia="en-AU"/>
              </w:rPr>
              <w:t>billion</w:t>
            </w:r>
            <w:r w:rsidRPr="0021759B">
              <w:rPr>
                <w:lang w:eastAsia="en-AU"/>
              </w:rPr>
              <w:t>)</w:t>
            </w:r>
            <w:r w:rsidRPr="0021759B">
              <w:rPr>
                <w:color w:val="auto"/>
                <w:lang w:eastAsia="en-AU"/>
              </w:rPr>
              <w:t> </w:t>
            </w:r>
          </w:p>
        </w:tc>
        <w:tc>
          <w:tcPr>
            <w:tcW w:w="2055" w:type="dxa"/>
            <w:tcBorders>
              <w:bottom w:val="single" w:sz="4" w:space="0" w:color="auto"/>
            </w:tcBorders>
            <w:shd w:val="clear" w:color="auto" w:fill="auto"/>
            <w:vAlign w:val="center"/>
            <w:hideMark/>
          </w:tcPr>
          <w:p w14:paraId="3A178A4E" w14:textId="77777777" w:rsidR="006F1F97" w:rsidRPr="0021759B" w:rsidRDefault="006F1F97" w:rsidP="004E092E">
            <w:pPr>
              <w:jc w:val="center"/>
              <w:rPr>
                <w:rFonts w:ascii="Times New Roman" w:hAnsi="Times New Roman" w:cs="Times New Roman"/>
                <w:color w:val="auto"/>
                <w:sz w:val="24"/>
                <w:szCs w:val="24"/>
                <w:lang w:eastAsia="en-AU"/>
              </w:rPr>
            </w:pPr>
            <w:r w:rsidRPr="0021759B">
              <w:rPr>
                <w:lang w:eastAsia="en-AU"/>
              </w:rPr>
              <w:t>$2.</w:t>
            </w:r>
            <w:r>
              <w:rPr>
                <w:lang w:eastAsia="en-AU"/>
              </w:rPr>
              <w:t>8</w:t>
            </w:r>
          </w:p>
        </w:tc>
        <w:tc>
          <w:tcPr>
            <w:tcW w:w="2056" w:type="dxa"/>
            <w:tcBorders>
              <w:bottom w:val="single" w:sz="4" w:space="0" w:color="auto"/>
            </w:tcBorders>
            <w:shd w:val="clear" w:color="auto" w:fill="auto"/>
            <w:vAlign w:val="center"/>
            <w:hideMark/>
          </w:tcPr>
          <w:p w14:paraId="3421A669" w14:textId="77777777" w:rsidR="006F1F97" w:rsidRPr="0021759B" w:rsidRDefault="006F1F97" w:rsidP="004E092E">
            <w:pPr>
              <w:jc w:val="center"/>
              <w:rPr>
                <w:rFonts w:ascii="Times New Roman" w:hAnsi="Times New Roman" w:cs="Times New Roman"/>
                <w:color w:val="auto"/>
                <w:sz w:val="24"/>
                <w:szCs w:val="24"/>
                <w:lang w:eastAsia="en-AU"/>
              </w:rPr>
            </w:pPr>
            <w:r w:rsidRPr="0021759B">
              <w:rPr>
                <w:lang w:eastAsia="en-AU"/>
              </w:rPr>
              <w:t>$2.</w:t>
            </w:r>
            <w:r>
              <w:rPr>
                <w:lang w:eastAsia="en-AU"/>
              </w:rPr>
              <w:t>2</w:t>
            </w:r>
          </w:p>
        </w:tc>
      </w:tr>
    </w:tbl>
    <w:p w14:paraId="4F3993EC" w14:textId="77777777" w:rsidR="006F1F97" w:rsidRPr="0021759B" w:rsidRDefault="006F1F97" w:rsidP="006F1F97">
      <w:pPr>
        <w:pStyle w:val="Heading5"/>
        <w:rPr>
          <w:lang w:eastAsia="en-AU"/>
        </w:rPr>
      </w:pPr>
      <w:r w:rsidRPr="0021759B">
        <w:rPr>
          <w:i w:val="0"/>
          <w:lang w:eastAsia="en-AU"/>
        </w:rPr>
        <w:t>Table 4: Comparison by sector – Australia-wide</w:t>
      </w:r>
    </w:p>
    <w:tbl>
      <w:tblPr>
        <w:tblW w:w="10490" w:type="dxa"/>
        <w:tblLayout w:type="fixed"/>
        <w:tblCellMar>
          <w:top w:w="15" w:type="dxa"/>
          <w:left w:w="15" w:type="dxa"/>
          <w:bottom w:w="15" w:type="dxa"/>
          <w:right w:w="15" w:type="dxa"/>
        </w:tblCellMar>
        <w:tblLook w:val="04A0" w:firstRow="1" w:lastRow="0" w:firstColumn="1" w:lastColumn="0" w:noHBand="0" w:noVBand="1"/>
      </w:tblPr>
      <w:tblGrid>
        <w:gridCol w:w="2268"/>
        <w:gridCol w:w="1560"/>
        <w:gridCol w:w="1842"/>
        <w:gridCol w:w="1531"/>
        <w:gridCol w:w="1644"/>
        <w:gridCol w:w="1645"/>
      </w:tblGrid>
      <w:tr w:rsidR="006F1F97" w:rsidRPr="00867C72" w14:paraId="22650959" w14:textId="77777777" w:rsidTr="004E092E">
        <w:trPr>
          <w:trHeight w:val="300"/>
        </w:trPr>
        <w:tc>
          <w:tcPr>
            <w:tcW w:w="2268" w:type="dxa"/>
            <w:shd w:val="clear" w:color="auto" w:fill="auto"/>
            <w:vAlign w:val="bottom"/>
            <w:hideMark/>
          </w:tcPr>
          <w:p w14:paraId="6EEC9D4C" w14:textId="77777777" w:rsidR="006F1F97" w:rsidRPr="0021759B" w:rsidRDefault="006F1F97" w:rsidP="004E092E">
            <w:pPr>
              <w:pStyle w:val="TableHeading"/>
              <w:rPr>
                <w:rFonts w:ascii="Times New Roman" w:hAnsi="Times New Roman" w:cs="Times New Roman"/>
                <w:color w:val="auto"/>
                <w:lang w:eastAsia="en-AU"/>
              </w:rPr>
            </w:pPr>
            <w:r w:rsidRPr="0021759B">
              <w:rPr>
                <w:lang w:eastAsia="en-AU"/>
              </w:rPr>
              <w:t>  </w:t>
            </w:r>
            <w:r w:rsidRPr="0021759B">
              <w:rPr>
                <w:color w:val="auto"/>
                <w:lang w:eastAsia="en-AU"/>
              </w:rPr>
              <w:t> </w:t>
            </w:r>
          </w:p>
        </w:tc>
        <w:tc>
          <w:tcPr>
            <w:tcW w:w="1560" w:type="dxa"/>
            <w:shd w:val="clear" w:color="auto" w:fill="auto"/>
            <w:vAlign w:val="center"/>
            <w:hideMark/>
          </w:tcPr>
          <w:p w14:paraId="065B6147" w14:textId="77777777" w:rsidR="006F1F97" w:rsidRPr="0021759B" w:rsidRDefault="006F1F97" w:rsidP="004E092E">
            <w:pPr>
              <w:pStyle w:val="TableHeading"/>
              <w:jc w:val="center"/>
              <w:rPr>
                <w:rFonts w:ascii="Times New Roman" w:hAnsi="Times New Roman" w:cs="Times New Roman"/>
                <w:color w:val="auto"/>
                <w:lang w:eastAsia="en-AU"/>
              </w:rPr>
            </w:pPr>
            <w:r w:rsidRPr="0021759B">
              <w:rPr>
                <w:lang w:eastAsia="en-AU"/>
              </w:rPr>
              <w:t>Services</w:t>
            </w:r>
          </w:p>
        </w:tc>
        <w:tc>
          <w:tcPr>
            <w:tcW w:w="1842" w:type="dxa"/>
            <w:shd w:val="clear" w:color="auto" w:fill="auto"/>
            <w:vAlign w:val="center"/>
            <w:hideMark/>
          </w:tcPr>
          <w:p w14:paraId="7AAF8D39" w14:textId="77777777" w:rsidR="006F1F97" w:rsidRPr="0021759B" w:rsidRDefault="006F1F97" w:rsidP="004E092E">
            <w:pPr>
              <w:pStyle w:val="TableHeading"/>
              <w:jc w:val="center"/>
              <w:rPr>
                <w:rFonts w:ascii="Times New Roman" w:hAnsi="Times New Roman" w:cs="Times New Roman"/>
                <w:color w:val="auto"/>
                <w:lang w:eastAsia="en-AU"/>
              </w:rPr>
            </w:pPr>
            <w:r w:rsidRPr="0021759B">
              <w:rPr>
                <w:lang w:eastAsia="en-AU"/>
              </w:rPr>
              <w:t>Manufacturing</w:t>
            </w:r>
          </w:p>
        </w:tc>
        <w:tc>
          <w:tcPr>
            <w:tcW w:w="1531" w:type="dxa"/>
            <w:shd w:val="clear" w:color="auto" w:fill="auto"/>
            <w:vAlign w:val="center"/>
          </w:tcPr>
          <w:p w14:paraId="3BC9B8E5" w14:textId="77777777" w:rsidR="006F1F97" w:rsidRPr="0021759B" w:rsidRDefault="006F1F97" w:rsidP="004E092E">
            <w:pPr>
              <w:pStyle w:val="TableHeading"/>
              <w:jc w:val="center"/>
              <w:rPr>
                <w:rFonts w:ascii="Times New Roman" w:hAnsi="Times New Roman" w:cs="Times New Roman"/>
                <w:color w:val="auto"/>
                <w:lang w:eastAsia="en-AU"/>
              </w:rPr>
            </w:pPr>
            <w:r w:rsidRPr="0021759B">
              <w:rPr>
                <w:lang w:eastAsia="en-AU"/>
              </w:rPr>
              <w:t>Agriculture</w:t>
            </w:r>
          </w:p>
        </w:tc>
        <w:tc>
          <w:tcPr>
            <w:tcW w:w="1644" w:type="dxa"/>
            <w:shd w:val="clear" w:color="auto" w:fill="auto"/>
            <w:vAlign w:val="center"/>
          </w:tcPr>
          <w:p w14:paraId="44C70654" w14:textId="77777777" w:rsidR="006F1F97" w:rsidRPr="0021759B" w:rsidRDefault="006F1F97" w:rsidP="004E092E">
            <w:pPr>
              <w:pStyle w:val="TableHeading"/>
              <w:jc w:val="center"/>
              <w:rPr>
                <w:lang w:eastAsia="en-AU"/>
              </w:rPr>
            </w:pPr>
            <w:r w:rsidRPr="0021759B">
              <w:rPr>
                <w:lang w:eastAsia="en-AU"/>
              </w:rPr>
              <w:t>Mining</w:t>
            </w:r>
          </w:p>
        </w:tc>
        <w:tc>
          <w:tcPr>
            <w:tcW w:w="1645" w:type="dxa"/>
            <w:shd w:val="clear" w:color="auto" w:fill="auto"/>
            <w:vAlign w:val="center"/>
            <w:hideMark/>
          </w:tcPr>
          <w:p w14:paraId="224A95E4" w14:textId="77777777" w:rsidR="006F1F97" w:rsidRPr="0021759B" w:rsidRDefault="006F1F97" w:rsidP="004E092E">
            <w:pPr>
              <w:pStyle w:val="TableHeading"/>
              <w:jc w:val="center"/>
              <w:rPr>
                <w:rFonts w:ascii="Times New Roman" w:hAnsi="Times New Roman" w:cs="Times New Roman"/>
                <w:color w:val="auto"/>
                <w:lang w:eastAsia="en-AU"/>
              </w:rPr>
            </w:pPr>
            <w:r w:rsidRPr="0021759B">
              <w:rPr>
                <w:lang w:eastAsia="en-AU"/>
              </w:rPr>
              <w:t>E,G,W &amp; WS*</w:t>
            </w:r>
          </w:p>
        </w:tc>
      </w:tr>
      <w:tr w:rsidR="006F1F97" w:rsidRPr="008D5B78" w14:paraId="4636B480" w14:textId="77777777" w:rsidTr="004E092E">
        <w:trPr>
          <w:trHeight w:val="300"/>
        </w:trPr>
        <w:tc>
          <w:tcPr>
            <w:tcW w:w="2268" w:type="dxa"/>
            <w:shd w:val="clear" w:color="auto" w:fill="auto"/>
            <w:vAlign w:val="bottom"/>
            <w:hideMark/>
          </w:tcPr>
          <w:p w14:paraId="192453AE" w14:textId="77777777" w:rsidR="006F1F97" w:rsidRPr="0021759B" w:rsidRDefault="006F1F97" w:rsidP="004E092E">
            <w:pPr>
              <w:rPr>
                <w:rFonts w:ascii="Times New Roman" w:eastAsia="Times New Roman" w:hAnsi="Times New Roman" w:cs="Times New Roman"/>
                <w:color w:val="auto"/>
                <w:sz w:val="24"/>
                <w:szCs w:val="24"/>
                <w:lang w:eastAsia="en-AU"/>
              </w:rPr>
            </w:pPr>
            <w:r w:rsidRPr="0021759B">
              <w:rPr>
                <w:rFonts w:ascii="Calibri" w:eastAsia="Times New Roman" w:hAnsi="Calibri" w:cs="Calibri"/>
                <w:lang w:eastAsia="en-AU"/>
              </w:rPr>
              <w:t>Number of Registrations</w:t>
            </w:r>
            <w:r w:rsidRPr="0021759B">
              <w:rPr>
                <w:rFonts w:ascii="Calibri" w:eastAsia="Times New Roman" w:hAnsi="Calibri" w:cs="Calibri"/>
                <w:color w:val="auto"/>
                <w:lang w:eastAsia="en-AU"/>
              </w:rPr>
              <w:t> </w:t>
            </w:r>
          </w:p>
        </w:tc>
        <w:tc>
          <w:tcPr>
            <w:tcW w:w="1560" w:type="dxa"/>
            <w:shd w:val="clear" w:color="auto" w:fill="auto"/>
            <w:vAlign w:val="bottom"/>
            <w:hideMark/>
          </w:tcPr>
          <w:p w14:paraId="21AB0478" w14:textId="77777777" w:rsidR="006F1F97" w:rsidRPr="0021759B" w:rsidRDefault="006F1F97" w:rsidP="004E092E">
            <w:pPr>
              <w:jc w:val="center"/>
              <w:rPr>
                <w:rFonts w:ascii="Times New Roman" w:eastAsia="Times New Roman" w:hAnsi="Times New Roman" w:cs="Times New Roman"/>
                <w:color w:val="auto"/>
                <w:sz w:val="24"/>
                <w:szCs w:val="24"/>
                <w:lang w:eastAsia="en-AU"/>
              </w:rPr>
            </w:pPr>
            <w:r w:rsidRPr="0021759B">
              <w:rPr>
                <w:rFonts w:eastAsia="Times New Roman"/>
                <w:color w:val="000000"/>
                <w:lang w:eastAsia="en-AU"/>
              </w:rPr>
              <w:t>8,23</w:t>
            </w:r>
            <w:r>
              <w:rPr>
                <w:rFonts w:eastAsia="Times New Roman"/>
                <w:color w:val="000000"/>
                <w:lang w:eastAsia="en-AU"/>
              </w:rPr>
              <w:t>0</w:t>
            </w:r>
            <w:r w:rsidRPr="0021759B">
              <w:rPr>
                <w:rFonts w:eastAsia="Times New Roman"/>
                <w:color w:val="000000"/>
                <w:lang w:eastAsia="en-AU"/>
              </w:rPr>
              <w:t xml:space="preserve"> </w:t>
            </w:r>
          </w:p>
        </w:tc>
        <w:tc>
          <w:tcPr>
            <w:tcW w:w="1842" w:type="dxa"/>
            <w:shd w:val="clear" w:color="auto" w:fill="auto"/>
            <w:vAlign w:val="bottom"/>
            <w:hideMark/>
          </w:tcPr>
          <w:p w14:paraId="38D7234C" w14:textId="77777777" w:rsidR="006F1F97" w:rsidRPr="0021759B" w:rsidRDefault="006F1F97" w:rsidP="004E092E">
            <w:pPr>
              <w:jc w:val="center"/>
              <w:rPr>
                <w:rFonts w:ascii="Times New Roman" w:eastAsia="Times New Roman" w:hAnsi="Times New Roman" w:cs="Times New Roman"/>
                <w:color w:val="auto"/>
                <w:sz w:val="24"/>
                <w:szCs w:val="24"/>
                <w:lang w:eastAsia="en-AU"/>
              </w:rPr>
            </w:pPr>
            <w:r w:rsidRPr="0021759B">
              <w:rPr>
                <w:rFonts w:eastAsia="Times New Roman"/>
                <w:color w:val="000000"/>
                <w:lang w:eastAsia="en-AU"/>
              </w:rPr>
              <w:t xml:space="preserve">3,489 </w:t>
            </w:r>
          </w:p>
        </w:tc>
        <w:tc>
          <w:tcPr>
            <w:tcW w:w="1531" w:type="dxa"/>
            <w:shd w:val="clear" w:color="auto" w:fill="auto"/>
            <w:vAlign w:val="bottom"/>
          </w:tcPr>
          <w:p w14:paraId="3071DAD3" w14:textId="77777777" w:rsidR="006F1F97" w:rsidRPr="0021759B" w:rsidRDefault="006F1F97" w:rsidP="004E092E">
            <w:pPr>
              <w:jc w:val="center"/>
              <w:rPr>
                <w:rFonts w:ascii="Times New Roman" w:eastAsia="Times New Roman" w:hAnsi="Times New Roman" w:cs="Times New Roman"/>
                <w:color w:val="auto"/>
                <w:sz w:val="24"/>
                <w:szCs w:val="24"/>
                <w:lang w:eastAsia="en-AU"/>
              </w:rPr>
            </w:pPr>
            <w:r w:rsidRPr="0021759B">
              <w:rPr>
                <w:rFonts w:eastAsia="Times New Roman"/>
                <w:color w:val="000000"/>
                <w:lang w:eastAsia="en-AU"/>
              </w:rPr>
              <w:t xml:space="preserve">510 </w:t>
            </w:r>
          </w:p>
        </w:tc>
        <w:tc>
          <w:tcPr>
            <w:tcW w:w="1644" w:type="dxa"/>
            <w:shd w:val="clear" w:color="auto" w:fill="auto"/>
            <w:vAlign w:val="bottom"/>
          </w:tcPr>
          <w:p w14:paraId="1AE49DAE" w14:textId="77777777" w:rsidR="006F1F97" w:rsidRPr="0021759B" w:rsidRDefault="006F1F97" w:rsidP="004E092E">
            <w:pPr>
              <w:jc w:val="center"/>
              <w:rPr>
                <w:rFonts w:ascii="Calibri" w:eastAsia="Times New Roman" w:hAnsi="Calibri" w:cs="Calibri"/>
                <w:lang w:eastAsia="en-AU"/>
              </w:rPr>
            </w:pPr>
            <w:r w:rsidRPr="0021759B">
              <w:rPr>
                <w:rFonts w:eastAsia="Times New Roman"/>
                <w:color w:val="000000"/>
                <w:lang w:eastAsia="en-AU"/>
              </w:rPr>
              <w:t>41</w:t>
            </w:r>
            <w:r>
              <w:rPr>
                <w:rFonts w:eastAsia="Times New Roman"/>
                <w:color w:val="000000"/>
                <w:lang w:eastAsia="en-AU"/>
              </w:rPr>
              <w:t>6</w:t>
            </w:r>
            <w:r w:rsidRPr="0021759B">
              <w:rPr>
                <w:rFonts w:eastAsia="Times New Roman"/>
                <w:color w:val="000000"/>
                <w:lang w:eastAsia="en-AU"/>
              </w:rPr>
              <w:t xml:space="preserve"> </w:t>
            </w:r>
          </w:p>
        </w:tc>
        <w:tc>
          <w:tcPr>
            <w:tcW w:w="1645" w:type="dxa"/>
            <w:shd w:val="clear" w:color="auto" w:fill="auto"/>
            <w:vAlign w:val="bottom"/>
            <w:hideMark/>
          </w:tcPr>
          <w:p w14:paraId="4F81EB8F" w14:textId="77777777" w:rsidR="006F1F97" w:rsidRPr="0021759B" w:rsidRDefault="006F1F97" w:rsidP="004E092E">
            <w:pPr>
              <w:jc w:val="center"/>
              <w:rPr>
                <w:rFonts w:ascii="Times New Roman" w:eastAsia="Times New Roman" w:hAnsi="Times New Roman" w:cs="Times New Roman"/>
                <w:color w:val="auto"/>
                <w:sz w:val="24"/>
                <w:szCs w:val="24"/>
                <w:lang w:eastAsia="en-AU"/>
              </w:rPr>
            </w:pPr>
            <w:r w:rsidRPr="0021759B">
              <w:rPr>
                <w:rFonts w:eastAsia="Times New Roman"/>
                <w:color w:val="000000"/>
                <w:lang w:eastAsia="en-AU"/>
              </w:rPr>
              <w:t>2</w:t>
            </w:r>
            <w:r>
              <w:rPr>
                <w:rFonts w:eastAsia="Times New Roman"/>
                <w:color w:val="000000"/>
                <w:lang w:eastAsia="en-AU"/>
              </w:rPr>
              <w:t>9</w:t>
            </w:r>
            <w:r w:rsidRPr="0021759B">
              <w:rPr>
                <w:rFonts w:eastAsia="Times New Roman"/>
                <w:color w:val="000000"/>
                <w:lang w:eastAsia="en-AU"/>
              </w:rPr>
              <w:t xml:space="preserve">8 </w:t>
            </w:r>
          </w:p>
        </w:tc>
      </w:tr>
      <w:tr w:rsidR="006F1F97" w:rsidRPr="008D5B78" w14:paraId="6118CEE7" w14:textId="77777777" w:rsidTr="004E092E">
        <w:trPr>
          <w:trHeight w:val="300"/>
        </w:trPr>
        <w:tc>
          <w:tcPr>
            <w:tcW w:w="2268" w:type="dxa"/>
            <w:tcBorders>
              <w:bottom w:val="single" w:sz="4" w:space="0" w:color="auto"/>
            </w:tcBorders>
            <w:shd w:val="clear" w:color="auto" w:fill="auto"/>
            <w:vAlign w:val="bottom"/>
            <w:hideMark/>
          </w:tcPr>
          <w:p w14:paraId="3BB76D63" w14:textId="77777777" w:rsidR="006F1F97" w:rsidRPr="0021759B" w:rsidRDefault="006F1F97" w:rsidP="004E092E">
            <w:pPr>
              <w:rPr>
                <w:rFonts w:ascii="Times New Roman" w:eastAsia="Times New Roman" w:hAnsi="Times New Roman" w:cs="Times New Roman"/>
                <w:color w:val="auto"/>
                <w:sz w:val="24"/>
                <w:szCs w:val="24"/>
                <w:lang w:eastAsia="en-AU"/>
              </w:rPr>
            </w:pPr>
            <w:r w:rsidRPr="0021759B">
              <w:rPr>
                <w:rFonts w:ascii="Calibri" w:eastAsia="Times New Roman" w:hAnsi="Calibri" w:cs="Calibri"/>
                <w:lang w:eastAsia="en-AU"/>
              </w:rPr>
              <w:t>R&amp;D Expenditure (</w:t>
            </w:r>
            <w:r w:rsidRPr="0021759B">
              <w:rPr>
                <w:rFonts w:ascii="Calibri" w:eastAsia="Times New Roman" w:hAnsi="Calibri" w:cs="Calibri"/>
                <w:b/>
                <w:lang w:eastAsia="en-AU"/>
              </w:rPr>
              <w:t>million</w:t>
            </w:r>
            <w:r w:rsidRPr="0021759B">
              <w:rPr>
                <w:rFonts w:ascii="Calibri" w:eastAsia="Times New Roman" w:hAnsi="Calibri" w:cs="Calibri"/>
                <w:lang w:eastAsia="en-AU"/>
              </w:rPr>
              <w:t>)</w:t>
            </w:r>
            <w:r w:rsidRPr="0021759B">
              <w:rPr>
                <w:rFonts w:ascii="Calibri" w:eastAsia="Times New Roman" w:hAnsi="Calibri" w:cs="Calibri"/>
                <w:color w:val="auto"/>
                <w:lang w:eastAsia="en-AU"/>
              </w:rPr>
              <w:t> </w:t>
            </w:r>
          </w:p>
        </w:tc>
        <w:tc>
          <w:tcPr>
            <w:tcW w:w="1560" w:type="dxa"/>
            <w:tcBorders>
              <w:bottom w:val="single" w:sz="4" w:space="0" w:color="auto"/>
            </w:tcBorders>
            <w:shd w:val="clear" w:color="auto" w:fill="auto"/>
            <w:vAlign w:val="bottom"/>
            <w:hideMark/>
          </w:tcPr>
          <w:p w14:paraId="06EC5578" w14:textId="77777777" w:rsidR="006F1F97" w:rsidRPr="0021759B" w:rsidRDefault="006F1F97" w:rsidP="004E092E">
            <w:pPr>
              <w:jc w:val="center"/>
              <w:rPr>
                <w:rFonts w:ascii="Times New Roman" w:eastAsia="Times New Roman" w:hAnsi="Times New Roman" w:cs="Times New Roman"/>
                <w:color w:val="auto"/>
                <w:sz w:val="24"/>
                <w:szCs w:val="24"/>
                <w:lang w:eastAsia="en-AU"/>
              </w:rPr>
            </w:pPr>
            <w:r w:rsidRPr="0021759B">
              <w:rPr>
                <w:rFonts w:eastAsia="Times New Roman"/>
                <w:color w:val="000000"/>
                <w:lang w:eastAsia="en-AU"/>
              </w:rPr>
              <w:t>$8,71</w:t>
            </w:r>
            <w:r>
              <w:rPr>
                <w:rFonts w:eastAsia="Times New Roman"/>
                <w:color w:val="000000"/>
                <w:lang w:eastAsia="en-AU"/>
              </w:rPr>
              <w:t>8</w:t>
            </w:r>
          </w:p>
        </w:tc>
        <w:tc>
          <w:tcPr>
            <w:tcW w:w="1842" w:type="dxa"/>
            <w:tcBorders>
              <w:bottom w:val="single" w:sz="4" w:space="0" w:color="auto"/>
            </w:tcBorders>
            <w:shd w:val="clear" w:color="auto" w:fill="auto"/>
            <w:vAlign w:val="bottom"/>
            <w:hideMark/>
          </w:tcPr>
          <w:p w14:paraId="3397A2A7" w14:textId="77777777" w:rsidR="006F1F97" w:rsidRPr="0021759B" w:rsidRDefault="006F1F97" w:rsidP="004E092E">
            <w:pPr>
              <w:jc w:val="center"/>
              <w:rPr>
                <w:rFonts w:ascii="Times New Roman" w:eastAsia="Times New Roman" w:hAnsi="Times New Roman" w:cs="Times New Roman"/>
                <w:color w:val="auto"/>
                <w:sz w:val="24"/>
                <w:szCs w:val="24"/>
                <w:lang w:eastAsia="en-AU"/>
              </w:rPr>
            </w:pPr>
            <w:r w:rsidRPr="0021759B">
              <w:rPr>
                <w:rFonts w:eastAsia="Times New Roman"/>
                <w:color w:val="000000"/>
                <w:lang w:eastAsia="en-AU"/>
              </w:rPr>
              <w:t>$4,178</w:t>
            </w:r>
          </w:p>
        </w:tc>
        <w:tc>
          <w:tcPr>
            <w:tcW w:w="1531" w:type="dxa"/>
            <w:tcBorders>
              <w:bottom w:val="single" w:sz="4" w:space="0" w:color="auto"/>
            </w:tcBorders>
            <w:shd w:val="clear" w:color="auto" w:fill="auto"/>
            <w:vAlign w:val="bottom"/>
          </w:tcPr>
          <w:p w14:paraId="5B47B423" w14:textId="77777777" w:rsidR="006F1F97" w:rsidRPr="0021759B" w:rsidRDefault="006F1F97" w:rsidP="004E092E">
            <w:pPr>
              <w:jc w:val="center"/>
              <w:rPr>
                <w:rFonts w:ascii="Times New Roman" w:eastAsia="Times New Roman" w:hAnsi="Times New Roman" w:cs="Times New Roman"/>
                <w:color w:val="auto"/>
                <w:sz w:val="24"/>
                <w:szCs w:val="24"/>
                <w:lang w:eastAsia="en-AU"/>
              </w:rPr>
            </w:pPr>
            <w:r w:rsidRPr="0021759B">
              <w:rPr>
                <w:rFonts w:eastAsia="Times New Roman"/>
                <w:color w:val="000000"/>
                <w:lang w:eastAsia="en-AU"/>
              </w:rPr>
              <w:t>$772</w:t>
            </w:r>
          </w:p>
        </w:tc>
        <w:tc>
          <w:tcPr>
            <w:tcW w:w="1644" w:type="dxa"/>
            <w:tcBorders>
              <w:bottom w:val="single" w:sz="4" w:space="0" w:color="auto"/>
            </w:tcBorders>
            <w:shd w:val="clear" w:color="auto" w:fill="auto"/>
            <w:vAlign w:val="bottom"/>
          </w:tcPr>
          <w:p w14:paraId="68D689E4" w14:textId="77777777" w:rsidR="006F1F97" w:rsidRPr="0021759B" w:rsidRDefault="006F1F97" w:rsidP="004E092E">
            <w:pPr>
              <w:jc w:val="center"/>
              <w:rPr>
                <w:rFonts w:ascii="Calibri" w:eastAsia="Times New Roman" w:hAnsi="Calibri" w:cs="Calibri"/>
                <w:lang w:eastAsia="en-AU"/>
              </w:rPr>
            </w:pPr>
            <w:r w:rsidRPr="0021759B">
              <w:rPr>
                <w:rFonts w:eastAsia="Times New Roman"/>
                <w:color w:val="000000"/>
                <w:lang w:eastAsia="en-AU"/>
              </w:rPr>
              <w:t>$1,318</w:t>
            </w:r>
          </w:p>
        </w:tc>
        <w:tc>
          <w:tcPr>
            <w:tcW w:w="1645" w:type="dxa"/>
            <w:tcBorders>
              <w:bottom w:val="single" w:sz="4" w:space="0" w:color="auto"/>
            </w:tcBorders>
            <w:shd w:val="clear" w:color="auto" w:fill="auto"/>
            <w:vAlign w:val="bottom"/>
            <w:hideMark/>
          </w:tcPr>
          <w:p w14:paraId="0974CE3E" w14:textId="77777777" w:rsidR="006F1F97" w:rsidRPr="0021759B" w:rsidRDefault="006F1F97" w:rsidP="004E092E">
            <w:pPr>
              <w:jc w:val="center"/>
              <w:rPr>
                <w:rFonts w:ascii="Times New Roman" w:eastAsia="Times New Roman" w:hAnsi="Times New Roman" w:cs="Times New Roman"/>
                <w:color w:val="auto"/>
                <w:sz w:val="24"/>
                <w:szCs w:val="24"/>
                <w:lang w:eastAsia="en-AU"/>
              </w:rPr>
            </w:pPr>
            <w:r w:rsidRPr="0021759B">
              <w:rPr>
                <w:rFonts w:eastAsia="Times New Roman"/>
                <w:color w:val="000000"/>
                <w:lang w:eastAsia="en-AU"/>
              </w:rPr>
              <w:t>$480</w:t>
            </w:r>
          </w:p>
        </w:tc>
      </w:tr>
    </w:tbl>
    <w:p w14:paraId="0FC65E78" w14:textId="77777777" w:rsidR="006F1F97" w:rsidRPr="0021759B" w:rsidRDefault="006F1F97" w:rsidP="006F1F97">
      <w:pPr>
        <w:pStyle w:val="Heading5"/>
        <w:rPr>
          <w:i w:val="0"/>
          <w:lang w:eastAsia="en-AU"/>
        </w:rPr>
      </w:pPr>
      <w:r>
        <w:rPr>
          <w:i w:val="0"/>
          <w:lang w:eastAsia="en-AU"/>
        </w:rPr>
        <w:lastRenderedPageBreak/>
        <w:t xml:space="preserve">Image 1: </w:t>
      </w:r>
      <w:r w:rsidRPr="0021759B">
        <w:rPr>
          <w:i w:val="0"/>
          <w:lang w:eastAsia="en-AU"/>
        </w:rPr>
        <w:t>Comparison of registrations by States and Territ</w:t>
      </w:r>
      <w:r>
        <w:rPr>
          <w:i w:val="0"/>
          <w:lang w:eastAsia="en-AU"/>
        </w:rPr>
        <w:t>ories</w:t>
      </w:r>
    </w:p>
    <w:p w14:paraId="7D0411CF" w14:textId="52A3D71B" w:rsidR="006F1F97" w:rsidRDefault="006F1F97" w:rsidP="006F1F97">
      <w:pPr>
        <w:pStyle w:val="Heading5"/>
        <w:rPr>
          <w:i w:val="0"/>
          <w:lang w:eastAsia="en-AU"/>
        </w:rPr>
      </w:pPr>
      <w:r w:rsidRPr="000B2B8B">
        <w:rPr>
          <w:noProof/>
          <w:lang w:eastAsia="en-AU"/>
        </w:rPr>
        <mc:AlternateContent>
          <mc:Choice Requires="wpg">
            <w:drawing>
              <wp:anchor distT="0" distB="0" distL="114300" distR="114300" simplePos="0" relativeHeight="251658242" behindDoc="0" locked="0" layoutInCell="1" allowOverlap="1" wp14:anchorId="08D34259" wp14:editId="438A2EF4">
                <wp:simplePos x="0" y="0"/>
                <wp:positionH relativeFrom="margin">
                  <wp:align>left</wp:align>
                </wp:positionH>
                <wp:positionV relativeFrom="paragraph">
                  <wp:posOffset>371475</wp:posOffset>
                </wp:positionV>
                <wp:extent cx="3817285" cy="3369521"/>
                <wp:effectExtent l="0" t="0" r="0" b="254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817285" cy="3369521"/>
                          <a:chOff x="-1" y="0"/>
                          <a:chExt cx="5544616" cy="4555271"/>
                        </a:xfrm>
                      </wpg:grpSpPr>
                      <pic:pic xmlns:pic="http://schemas.openxmlformats.org/drawingml/2006/picture">
                        <pic:nvPicPr>
                          <pic:cNvPr id="7" name="Picture 7" descr="G:\ED\R&amp;D Incentives Programs\Section-Program Management\Unit-Analytics and Reporting\Projects-Growth Sector\Australia_location_map_recolored.png"/>
                          <pic:cNvPicPr>
                            <a:picLocks noChangeAspect="1"/>
                          </pic:cNvPicPr>
                        </pic:nvPicPr>
                        <pic:blipFill rotWithShape="1">
                          <a:blip r:embed="rId15" cstate="email">
                            <a:duotone>
                              <a:schemeClr val="accent3">
                                <a:shade val="45000"/>
                                <a:satMod val="135000"/>
                              </a:schemeClr>
                              <a:prstClr val="white"/>
                            </a:duotone>
                            <a:extLst>
                              <a:ext uri="{28A0092B-C50C-407E-A947-70E740481C1C}">
                                <a14:useLocalDpi xmlns:a14="http://schemas.microsoft.com/office/drawing/2010/main" val="0"/>
                              </a:ext>
                            </a:extLst>
                          </a:blip>
                          <a:srcRect l="8609" r="6534"/>
                          <a:stretch/>
                        </pic:blipFill>
                        <pic:spPr bwMode="auto">
                          <a:xfrm>
                            <a:off x="-1" y="0"/>
                            <a:ext cx="5544616" cy="4331185"/>
                          </a:xfrm>
                          <a:prstGeom prst="roundRect">
                            <a:avLst>
                              <a:gd name="adj" fmla="val 8594"/>
                            </a:avLst>
                          </a:prstGeom>
                          <a:solidFill>
                            <a:srgbClr val="FFFFFF">
                              <a:shade val="85000"/>
                            </a:srgbClr>
                          </a:solidFill>
                          <a:ln>
                            <a:noFill/>
                          </a:ln>
                          <a:effectLst>
                            <a:reflection endPos="0" dist="5000" dir="5400000" sy="-100000" algn="bl" rotWithShape="0"/>
                          </a:effectLst>
                        </pic:spPr>
                      </pic:pic>
                      <wps:wsp>
                        <wps:cNvPr id="8" name="Text Box 2"/>
                        <wps:cNvSpPr txBox="1">
                          <a:spLocks noChangeArrowheads="1"/>
                        </wps:cNvSpPr>
                        <wps:spPr bwMode="auto">
                          <a:xfrm>
                            <a:off x="3369417" y="3219701"/>
                            <a:ext cx="1068490" cy="638676"/>
                          </a:xfrm>
                          <a:prstGeom prst="rect">
                            <a:avLst/>
                          </a:prstGeom>
                          <a:noFill/>
                          <a:ln w="9525">
                            <a:noFill/>
                            <a:miter lim="800000"/>
                            <a:headEnd/>
                            <a:tailEnd/>
                          </a:ln>
                        </wps:spPr>
                        <wps:txbx>
                          <w:txbxContent>
                            <w:p w14:paraId="508AC996" w14:textId="77777777" w:rsidR="006F1F97" w:rsidRPr="000B2B8B" w:rsidRDefault="006F1F97" w:rsidP="006F1F97">
                              <w:pPr>
                                <w:pStyle w:val="NormalWeb"/>
                                <w:spacing w:before="0" w:beforeAutospacing="0" w:after="0" w:afterAutospacing="0" w:line="240" w:lineRule="exact"/>
                                <w:jc w:val="center"/>
                                <w:rPr>
                                  <w:sz w:val="20"/>
                                  <w:szCs w:val="20"/>
                                </w:rPr>
                              </w:pPr>
                              <w:r w:rsidRPr="000B2B8B">
                                <w:rPr>
                                  <w:rFonts w:ascii="Calibri Light" w:eastAsia="Calibri" w:hAnsi="Calibri Light" w:cs="Calibri Light"/>
                                  <w:b/>
                                  <w:bCs/>
                                  <w:color w:val="005677"/>
                                  <w:kern w:val="24"/>
                                  <w:sz w:val="20"/>
                                  <w:szCs w:val="20"/>
                                </w:rPr>
                                <w:t>VIC</w:t>
                              </w:r>
                            </w:p>
                            <w:p w14:paraId="77647042" w14:textId="77777777" w:rsidR="006F1F97" w:rsidRPr="000B2B8B" w:rsidRDefault="006F1F97" w:rsidP="006F1F97">
                              <w:pPr>
                                <w:pStyle w:val="NormalWeb"/>
                                <w:spacing w:before="0" w:beforeAutospacing="0" w:after="0" w:afterAutospacing="0" w:line="240" w:lineRule="exact"/>
                                <w:jc w:val="center"/>
                                <w:rPr>
                                  <w:sz w:val="20"/>
                                  <w:szCs w:val="20"/>
                                </w:rPr>
                              </w:pPr>
                              <w:r>
                                <w:rPr>
                                  <w:rFonts w:ascii="Calibri" w:eastAsia="Calibri" w:hAnsi="Calibri" w:cs="Calibri"/>
                                  <w:color w:val="005677"/>
                                  <w:kern w:val="24"/>
                                  <w:sz w:val="20"/>
                                  <w:szCs w:val="20"/>
                                </w:rPr>
                                <w:t>3,685</w:t>
                              </w:r>
                              <w:r w:rsidRPr="000B2B8B">
                                <w:rPr>
                                  <w:rFonts w:ascii="Calibri" w:eastAsia="Calibri" w:hAnsi="Calibri" w:cs="Calibri"/>
                                  <w:color w:val="005677"/>
                                  <w:kern w:val="24"/>
                                  <w:sz w:val="20"/>
                                  <w:szCs w:val="20"/>
                                </w:rPr>
                                <w:t xml:space="preserve"> </w:t>
                              </w:r>
                            </w:p>
                          </w:txbxContent>
                        </wps:txbx>
                        <wps:bodyPr rot="0" vert="horz" wrap="square" lIns="91440" tIns="45720" rIns="91440" bIns="45720" anchor="t" anchorCtr="0">
                          <a:noAutofit/>
                        </wps:bodyPr>
                      </wps:wsp>
                      <wps:wsp>
                        <wps:cNvPr id="9" name="Text Box 2"/>
                        <wps:cNvSpPr txBox="1">
                          <a:spLocks noChangeArrowheads="1"/>
                        </wps:cNvSpPr>
                        <wps:spPr bwMode="auto">
                          <a:xfrm>
                            <a:off x="791968" y="1805478"/>
                            <a:ext cx="1177654" cy="661612"/>
                          </a:xfrm>
                          <a:prstGeom prst="rect">
                            <a:avLst/>
                          </a:prstGeom>
                          <a:noFill/>
                          <a:ln w="9525">
                            <a:noFill/>
                            <a:miter lim="800000"/>
                            <a:headEnd/>
                            <a:tailEnd/>
                          </a:ln>
                        </wps:spPr>
                        <wps:txbx>
                          <w:txbxContent>
                            <w:p w14:paraId="49280428" w14:textId="77777777" w:rsidR="006F1F97" w:rsidRPr="000B2B8B" w:rsidRDefault="006F1F97" w:rsidP="006F1F97">
                              <w:pPr>
                                <w:pStyle w:val="NormalWeb"/>
                                <w:spacing w:before="0" w:beforeAutospacing="0" w:after="0" w:afterAutospacing="0" w:line="256" w:lineRule="auto"/>
                                <w:jc w:val="center"/>
                                <w:rPr>
                                  <w:sz w:val="20"/>
                                  <w:szCs w:val="20"/>
                                </w:rPr>
                              </w:pPr>
                              <w:r w:rsidRPr="000B2B8B">
                                <w:rPr>
                                  <w:rFonts w:ascii="Calibri Light" w:eastAsia="Calibri" w:hAnsi="Calibri Light" w:cs="Calibri Light"/>
                                  <w:b/>
                                  <w:bCs/>
                                  <w:color w:val="005677"/>
                                  <w:kern w:val="24"/>
                                  <w:sz w:val="20"/>
                                  <w:szCs w:val="20"/>
                                </w:rPr>
                                <w:t>WA</w:t>
                              </w:r>
                            </w:p>
                            <w:p w14:paraId="1F34404F" w14:textId="77777777" w:rsidR="006F1F97" w:rsidRPr="000B2B8B" w:rsidRDefault="006F1F97" w:rsidP="006F1F97">
                              <w:pPr>
                                <w:pStyle w:val="NormalWeb"/>
                                <w:spacing w:before="0" w:beforeAutospacing="0" w:after="0" w:afterAutospacing="0" w:line="256" w:lineRule="auto"/>
                                <w:jc w:val="center"/>
                                <w:rPr>
                                  <w:sz w:val="20"/>
                                  <w:szCs w:val="20"/>
                                </w:rPr>
                              </w:pPr>
                              <w:r>
                                <w:rPr>
                                  <w:rFonts w:ascii="Calibri" w:eastAsia="Calibri" w:hAnsi="Calibri" w:cs="Calibri"/>
                                  <w:color w:val="005677"/>
                                  <w:kern w:val="24"/>
                                  <w:sz w:val="20"/>
                                  <w:szCs w:val="20"/>
                                </w:rPr>
                                <w:t>1,402</w:t>
                              </w:r>
                              <w:r w:rsidRPr="000B2B8B">
                                <w:rPr>
                                  <w:rFonts w:ascii="Calibri" w:eastAsia="Calibri" w:hAnsi="Calibri" w:cs="Calibri"/>
                                  <w:color w:val="005677"/>
                                  <w:kern w:val="24"/>
                                  <w:sz w:val="20"/>
                                  <w:szCs w:val="20"/>
                                </w:rPr>
                                <w:t xml:space="preserve"> </w:t>
                              </w:r>
                            </w:p>
                          </w:txbxContent>
                        </wps:txbx>
                        <wps:bodyPr rot="0" vert="horz" wrap="square" lIns="91440" tIns="45720" rIns="91440" bIns="45720" anchor="t" anchorCtr="0">
                          <a:noAutofit/>
                        </wps:bodyPr>
                      </wps:wsp>
                      <wps:wsp>
                        <wps:cNvPr id="10" name="Text Box 2"/>
                        <wps:cNvSpPr txBox="1">
                          <a:spLocks noChangeArrowheads="1"/>
                        </wps:cNvSpPr>
                        <wps:spPr bwMode="auto">
                          <a:xfrm>
                            <a:off x="2280394" y="1159335"/>
                            <a:ext cx="983134" cy="646316"/>
                          </a:xfrm>
                          <a:prstGeom prst="rect">
                            <a:avLst/>
                          </a:prstGeom>
                          <a:noFill/>
                          <a:ln w="9525">
                            <a:noFill/>
                            <a:miter lim="800000"/>
                            <a:headEnd/>
                            <a:tailEnd/>
                          </a:ln>
                        </wps:spPr>
                        <wps:txbx>
                          <w:txbxContent>
                            <w:p w14:paraId="6DDF0E10" w14:textId="77777777" w:rsidR="006F1F97" w:rsidRPr="000B2B8B" w:rsidRDefault="006F1F97" w:rsidP="006F1F97">
                              <w:pPr>
                                <w:pStyle w:val="NormalWeb"/>
                                <w:spacing w:before="0" w:beforeAutospacing="0" w:after="0" w:afterAutospacing="0" w:line="256" w:lineRule="auto"/>
                                <w:jc w:val="center"/>
                                <w:rPr>
                                  <w:sz w:val="20"/>
                                  <w:szCs w:val="20"/>
                                </w:rPr>
                              </w:pPr>
                              <w:r w:rsidRPr="000B2B8B">
                                <w:rPr>
                                  <w:rFonts w:ascii="Calibri Light" w:eastAsia="Calibri" w:hAnsi="Calibri Light" w:cs="Calibri Light"/>
                                  <w:b/>
                                  <w:bCs/>
                                  <w:color w:val="005677"/>
                                  <w:kern w:val="24"/>
                                  <w:sz w:val="20"/>
                                  <w:szCs w:val="20"/>
                                </w:rPr>
                                <w:t>NT</w:t>
                              </w:r>
                            </w:p>
                            <w:p w14:paraId="212B80D0" w14:textId="77777777" w:rsidR="006F1F97" w:rsidRPr="000B2B8B" w:rsidRDefault="006F1F97" w:rsidP="006F1F97">
                              <w:pPr>
                                <w:pStyle w:val="NormalWeb"/>
                                <w:spacing w:before="0" w:beforeAutospacing="0" w:after="0" w:afterAutospacing="0" w:line="256" w:lineRule="auto"/>
                                <w:jc w:val="center"/>
                                <w:rPr>
                                  <w:sz w:val="20"/>
                                  <w:szCs w:val="20"/>
                                </w:rPr>
                              </w:pPr>
                              <w:r>
                                <w:rPr>
                                  <w:rFonts w:ascii="Calibri" w:eastAsia="Calibri" w:hAnsi="Calibri" w:cs="Calibri"/>
                                  <w:color w:val="005677"/>
                                  <w:kern w:val="24"/>
                                  <w:sz w:val="20"/>
                                  <w:szCs w:val="20"/>
                                </w:rPr>
                                <w:t xml:space="preserve"> 27</w:t>
                              </w:r>
                              <w:r w:rsidRPr="000B2B8B">
                                <w:rPr>
                                  <w:rFonts w:ascii="Calibri" w:eastAsia="Calibri" w:hAnsi="Calibri" w:cs="Calibri"/>
                                  <w:color w:val="005677"/>
                                  <w:kern w:val="24"/>
                                  <w:sz w:val="20"/>
                                  <w:szCs w:val="20"/>
                                </w:rPr>
                                <w:t xml:space="preserve"> </w:t>
                              </w:r>
                              <w:r w:rsidRPr="000B2B8B">
                                <w:rPr>
                                  <w:rFonts w:ascii="Calibri Light" w:eastAsia="Calibri" w:hAnsi="Calibri Light" w:cs="Calibri Light"/>
                                  <w:color w:val="005677"/>
                                  <w:kern w:val="24"/>
                                  <w:sz w:val="20"/>
                                  <w:szCs w:val="20"/>
                                </w:rPr>
                                <w:t> </w:t>
                              </w:r>
                            </w:p>
                          </w:txbxContent>
                        </wps:txbx>
                        <wps:bodyPr rot="0" vert="horz" wrap="square" lIns="91440" tIns="45720" rIns="91440" bIns="45720" anchor="t" anchorCtr="0">
                          <a:noAutofit/>
                        </wps:bodyPr>
                      </wps:wsp>
                      <wps:wsp>
                        <wps:cNvPr id="11" name="Text Box 2"/>
                        <wps:cNvSpPr txBox="1">
                          <a:spLocks noChangeArrowheads="1"/>
                        </wps:cNvSpPr>
                        <wps:spPr bwMode="auto">
                          <a:xfrm>
                            <a:off x="2304256" y="2190839"/>
                            <a:ext cx="1022019" cy="588308"/>
                          </a:xfrm>
                          <a:prstGeom prst="rect">
                            <a:avLst/>
                          </a:prstGeom>
                          <a:noFill/>
                          <a:ln w="9525">
                            <a:noFill/>
                            <a:miter lim="800000"/>
                            <a:headEnd/>
                            <a:tailEnd/>
                          </a:ln>
                        </wps:spPr>
                        <wps:txbx>
                          <w:txbxContent>
                            <w:p w14:paraId="282138E4" w14:textId="77777777" w:rsidR="006F1F97" w:rsidRPr="000B2B8B" w:rsidRDefault="006F1F97" w:rsidP="006F1F97">
                              <w:pPr>
                                <w:pStyle w:val="NormalWeb"/>
                                <w:spacing w:before="0" w:beforeAutospacing="0" w:after="0" w:afterAutospacing="0" w:line="256" w:lineRule="auto"/>
                                <w:jc w:val="center"/>
                                <w:rPr>
                                  <w:sz w:val="20"/>
                                  <w:szCs w:val="20"/>
                                </w:rPr>
                              </w:pPr>
                              <w:r w:rsidRPr="000B2B8B">
                                <w:rPr>
                                  <w:rFonts w:ascii="Calibri Light" w:eastAsia="Calibri" w:hAnsi="Calibri Light" w:cs="Calibri Light"/>
                                  <w:b/>
                                  <w:bCs/>
                                  <w:color w:val="005677"/>
                                  <w:kern w:val="24"/>
                                  <w:sz w:val="20"/>
                                  <w:szCs w:val="20"/>
                                </w:rPr>
                                <w:t>SA</w:t>
                              </w:r>
                            </w:p>
                            <w:p w14:paraId="1D903E8C" w14:textId="77777777" w:rsidR="006F1F97" w:rsidRPr="000B2B8B" w:rsidRDefault="006F1F97" w:rsidP="006F1F97">
                              <w:pPr>
                                <w:pStyle w:val="NormalWeb"/>
                                <w:spacing w:before="0" w:beforeAutospacing="0" w:after="0" w:afterAutospacing="0" w:line="256" w:lineRule="auto"/>
                                <w:jc w:val="center"/>
                                <w:rPr>
                                  <w:sz w:val="20"/>
                                  <w:szCs w:val="20"/>
                                </w:rPr>
                              </w:pPr>
                              <w:r>
                                <w:rPr>
                                  <w:rFonts w:ascii="Calibri" w:eastAsia="Calibri" w:hAnsi="Calibri" w:cs="Calibri"/>
                                  <w:color w:val="005677"/>
                                  <w:kern w:val="24"/>
                                  <w:sz w:val="20"/>
                                  <w:szCs w:val="20"/>
                                </w:rPr>
                                <w:t>654</w:t>
                              </w:r>
                            </w:p>
                            <w:p w14:paraId="41BC51C8" w14:textId="77777777" w:rsidR="006F1F97" w:rsidRPr="000B2B8B" w:rsidRDefault="006F1F97" w:rsidP="006F1F97">
                              <w:pPr>
                                <w:pStyle w:val="NormalWeb"/>
                                <w:spacing w:before="0" w:beforeAutospacing="0" w:after="0" w:afterAutospacing="0" w:line="256" w:lineRule="auto"/>
                                <w:rPr>
                                  <w:sz w:val="20"/>
                                  <w:szCs w:val="20"/>
                                </w:rPr>
                              </w:pPr>
                              <w:r w:rsidRPr="000B2B8B">
                                <w:rPr>
                                  <w:rFonts w:ascii="Calibri Light" w:eastAsia="Calibri" w:hAnsi="Calibri Light" w:cs="Calibri Light"/>
                                  <w:color w:val="005677"/>
                                  <w:kern w:val="24"/>
                                  <w:sz w:val="20"/>
                                  <w:szCs w:val="20"/>
                                </w:rPr>
                                <w:t> </w:t>
                              </w:r>
                            </w:p>
                          </w:txbxContent>
                        </wps:txbx>
                        <wps:bodyPr rot="0" vert="horz" wrap="square" lIns="91440" tIns="45720" rIns="91440" bIns="45720" anchor="t" anchorCtr="0">
                          <a:noAutofit/>
                        </wps:bodyPr>
                      </wps:wsp>
                      <wps:wsp>
                        <wps:cNvPr id="12" name="Text Box 2"/>
                        <wps:cNvSpPr txBox="1">
                          <a:spLocks noChangeArrowheads="1"/>
                        </wps:cNvSpPr>
                        <wps:spPr bwMode="auto">
                          <a:xfrm>
                            <a:off x="3968012" y="3920975"/>
                            <a:ext cx="780949" cy="634296"/>
                          </a:xfrm>
                          <a:prstGeom prst="rect">
                            <a:avLst/>
                          </a:prstGeom>
                          <a:noFill/>
                          <a:ln w="9525">
                            <a:noFill/>
                            <a:miter lim="800000"/>
                            <a:headEnd/>
                            <a:tailEnd/>
                          </a:ln>
                        </wps:spPr>
                        <wps:txbx>
                          <w:txbxContent>
                            <w:p w14:paraId="697FB16D" w14:textId="77777777" w:rsidR="006F1F97" w:rsidRPr="000B2B8B" w:rsidRDefault="006F1F97" w:rsidP="006F1F97">
                              <w:pPr>
                                <w:pStyle w:val="NormalWeb"/>
                                <w:spacing w:before="0" w:beforeAutospacing="0" w:after="0" w:afterAutospacing="0" w:line="240" w:lineRule="exact"/>
                                <w:jc w:val="center"/>
                                <w:rPr>
                                  <w:sz w:val="20"/>
                                  <w:szCs w:val="20"/>
                                </w:rPr>
                              </w:pPr>
                              <w:r w:rsidRPr="000B2B8B">
                                <w:rPr>
                                  <w:rFonts w:ascii="Calibri Light" w:eastAsia="Calibri" w:hAnsi="Calibri Light" w:cs="Calibri Light"/>
                                  <w:b/>
                                  <w:bCs/>
                                  <w:color w:val="005677"/>
                                  <w:kern w:val="24"/>
                                  <w:sz w:val="20"/>
                                  <w:szCs w:val="20"/>
                                </w:rPr>
                                <w:t>TAS</w:t>
                              </w:r>
                            </w:p>
                            <w:p w14:paraId="62C6911D" w14:textId="77777777" w:rsidR="006F1F97" w:rsidRPr="000B2B8B" w:rsidRDefault="006F1F97" w:rsidP="006F1F97">
                              <w:pPr>
                                <w:pStyle w:val="NormalWeb"/>
                                <w:spacing w:before="0" w:beforeAutospacing="0" w:after="0" w:afterAutospacing="0" w:line="240" w:lineRule="exact"/>
                                <w:jc w:val="center"/>
                                <w:rPr>
                                  <w:sz w:val="20"/>
                                  <w:szCs w:val="20"/>
                                </w:rPr>
                              </w:pPr>
                              <w:r>
                                <w:rPr>
                                  <w:rFonts w:ascii="Calibri" w:eastAsia="Calibri" w:hAnsi="Calibri" w:cs="Calibri"/>
                                  <w:color w:val="005677"/>
                                  <w:kern w:val="24"/>
                                  <w:sz w:val="20"/>
                                  <w:szCs w:val="20"/>
                                </w:rPr>
                                <w:t>122</w:t>
                              </w:r>
                              <w:r w:rsidRPr="000B2B8B">
                                <w:rPr>
                                  <w:rFonts w:ascii="Calibri" w:eastAsia="Calibri" w:hAnsi="Calibri" w:cs="Calibri"/>
                                  <w:color w:val="005677"/>
                                  <w:kern w:val="24"/>
                                  <w:sz w:val="20"/>
                                  <w:szCs w:val="20"/>
                                </w:rPr>
                                <w:t xml:space="preserve"> </w:t>
                              </w:r>
                            </w:p>
                          </w:txbxContent>
                        </wps:txbx>
                        <wps:bodyPr rot="0" vert="horz" wrap="square" lIns="91440" tIns="45720" rIns="91440" bIns="45720" anchor="t" anchorCtr="0">
                          <a:noAutofit/>
                        </wps:bodyPr>
                      </wps:wsp>
                      <wps:wsp>
                        <wps:cNvPr id="13" name="Text Box 2"/>
                        <wps:cNvSpPr txBox="1">
                          <a:spLocks noChangeArrowheads="1"/>
                        </wps:cNvSpPr>
                        <wps:spPr bwMode="auto">
                          <a:xfrm>
                            <a:off x="3642810" y="2629431"/>
                            <a:ext cx="1181726" cy="599645"/>
                          </a:xfrm>
                          <a:prstGeom prst="rect">
                            <a:avLst/>
                          </a:prstGeom>
                          <a:noFill/>
                          <a:ln w="9525">
                            <a:noFill/>
                            <a:miter lim="800000"/>
                            <a:headEnd/>
                            <a:tailEnd/>
                          </a:ln>
                        </wps:spPr>
                        <wps:txbx>
                          <w:txbxContent>
                            <w:p w14:paraId="59051AA2" w14:textId="77777777" w:rsidR="006F1F97" w:rsidRPr="000B2B8B" w:rsidRDefault="006F1F97" w:rsidP="006F1F97">
                              <w:pPr>
                                <w:pStyle w:val="NormalWeb"/>
                                <w:spacing w:before="0" w:beforeAutospacing="0" w:after="0" w:afterAutospacing="0" w:line="256" w:lineRule="auto"/>
                                <w:jc w:val="center"/>
                                <w:rPr>
                                  <w:sz w:val="20"/>
                                </w:rPr>
                              </w:pPr>
                              <w:r w:rsidRPr="000B2B8B">
                                <w:rPr>
                                  <w:rFonts w:ascii="Calibri Light" w:eastAsia="Calibri" w:hAnsi="Calibri Light" w:cs="Calibri Light"/>
                                  <w:b/>
                                  <w:bCs/>
                                  <w:color w:val="005677"/>
                                  <w:kern w:val="24"/>
                                  <w:sz w:val="22"/>
                                  <w:szCs w:val="28"/>
                                </w:rPr>
                                <w:t>NSW</w:t>
                              </w:r>
                            </w:p>
                            <w:p w14:paraId="33DBA1D4" w14:textId="77777777" w:rsidR="006F1F97" w:rsidRPr="000B2B8B" w:rsidRDefault="006F1F97" w:rsidP="006F1F97">
                              <w:pPr>
                                <w:pStyle w:val="NormalWeb"/>
                                <w:spacing w:before="0" w:beforeAutospacing="0" w:after="0" w:afterAutospacing="0" w:line="256" w:lineRule="auto"/>
                                <w:jc w:val="center"/>
                                <w:rPr>
                                  <w:sz w:val="20"/>
                                </w:rPr>
                              </w:pPr>
                              <w:r>
                                <w:rPr>
                                  <w:rFonts w:ascii="Calibri" w:eastAsia="Calibri" w:hAnsi="Calibri" w:cs="Calibri"/>
                                  <w:color w:val="005677"/>
                                  <w:kern w:val="24"/>
                                  <w:sz w:val="20"/>
                                </w:rPr>
                                <w:t>4</w:t>
                              </w:r>
                              <w:r w:rsidRPr="000B2B8B">
                                <w:rPr>
                                  <w:rFonts w:ascii="Calibri" w:eastAsia="Calibri" w:hAnsi="Calibri" w:cs="Calibri"/>
                                  <w:color w:val="005677"/>
                                  <w:kern w:val="24"/>
                                  <w:sz w:val="20"/>
                                </w:rPr>
                                <w:t>,</w:t>
                              </w:r>
                              <w:r>
                                <w:rPr>
                                  <w:rFonts w:ascii="Calibri" w:eastAsia="Calibri" w:hAnsi="Calibri" w:cs="Calibri"/>
                                  <w:color w:val="005677"/>
                                  <w:kern w:val="24"/>
                                  <w:sz w:val="20"/>
                                </w:rPr>
                                <w:t>633</w:t>
                              </w:r>
                              <w:r w:rsidRPr="000B2B8B">
                                <w:rPr>
                                  <w:rFonts w:ascii="Calibri" w:eastAsia="Calibri" w:hAnsi="Calibri" w:cs="Calibri"/>
                                  <w:color w:val="005677"/>
                                  <w:kern w:val="24"/>
                                  <w:sz w:val="20"/>
                                </w:rPr>
                                <w:t xml:space="preserve"> </w:t>
                              </w:r>
                            </w:p>
                            <w:p w14:paraId="0BDC07DA" w14:textId="77777777" w:rsidR="006F1F97" w:rsidRPr="000B2B8B" w:rsidRDefault="006F1F97" w:rsidP="006F1F97">
                              <w:pPr>
                                <w:pStyle w:val="NormalWeb"/>
                                <w:spacing w:before="0" w:beforeAutospacing="0" w:after="0" w:afterAutospacing="0" w:line="256" w:lineRule="auto"/>
                                <w:rPr>
                                  <w:sz w:val="20"/>
                                </w:rPr>
                              </w:pPr>
                              <w:r w:rsidRPr="000B2B8B">
                                <w:rPr>
                                  <w:rFonts w:ascii="Calibri Light" w:eastAsia="Calibri" w:hAnsi="Calibri Light" w:cs="Calibri Light"/>
                                  <w:color w:val="005677"/>
                                  <w:kern w:val="24"/>
                                  <w:sz w:val="20"/>
                                </w:rPr>
                                <w:t> </w:t>
                              </w:r>
                            </w:p>
                          </w:txbxContent>
                        </wps:txbx>
                        <wps:bodyPr rot="0" vert="horz" wrap="square" lIns="91440" tIns="45720" rIns="91440" bIns="45720" anchor="t" anchorCtr="0">
                          <a:noAutofit/>
                        </wps:bodyPr>
                      </wps:wsp>
                      <wps:wsp>
                        <wps:cNvPr id="14" name="Text Box 2"/>
                        <wps:cNvSpPr txBox="1">
                          <a:spLocks noChangeArrowheads="1"/>
                        </wps:cNvSpPr>
                        <wps:spPr bwMode="auto">
                          <a:xfrm>
                            <a:off x="3692298" y="1666889"/>
                            <a:ext cx="1132238" cy="635860"/>
                          </a:xfrm>
                          <a:prstGeom prst="rect">
                            <a:avLst/>
                          </a:prstGeom>
                          <a:noFill/>
                          <a:ln w="9525">
                            <a:noFill/>
                            <a:miter lim="800000"/>
                            <a:headEnd/>
                            <a:tailEnd/>
                          </a:ln>
                        </wps:spPr>
                        <wps:txbx>
                          <w:txbxContent>
                            <w:p w14:paraId="322BAA04" w14:textId="77777777" w:rsidR="006F1F97" w:rsidRPr="000B2B8B" w:rsidRDefault="006F1F97" w:rsidP="006F1F97">
                              <w:pPr>
                                <w:pStyle w:val="NormalWeb"/>
                                <w:spacing w:before="0" w:beforeAutospacing="0" w:after="0" w:afterAutospacing="0" w:line="256" w:lineRule="auto"/>
                                <w:jc w:val="center"/>
                                <w:rPr>
                                  <w:sz w:val="20"/>
                                  <w:szCs w:val="20"/>
                                </w:rPr>
                              </w:pPr>
                              <w:r w:rsidRPr="000B2B8B">
                                <w:rPr>
                                  <w:rFonts w:ascii="Calibri Light" w:eastAsia="Calibri" w:hAnsi="Calibri Light" w:cs="Calibri Light"/>
                                  <w:b/>
                                  <w:bCs/>
                                  <w:color w:val="005677"/>
                                  <w:kern w:val="24"/>
                                  <w:sz w:val="20"/>
                                  <w:szCs w:val="20"/>
                                </w:rPr>
                                <w:t>QLD</w:t>
                              </w:r>
                            </w:p>
                            <w:p w14:paraId="502638BD" w14:textId="77777777" w:rsidR="006F1F97" w:rsidRPr="000B2B8B" w:rsidRDefault="006F1F97" w:rsidP="006F1F97">
                              <w:pPr>
                                <w:pStyle w:val="NormalWeb"/>
                                <w:spacing w:before="0" w:beforeAutospacing="0" w:after="0" w:afterAutospacing="0" w:line="256" w:lineRule="auto"/>
                                <w:jc w:val="center"/>
                                <w:rPr>
                                  <w:sz w:val="20"/>
                                  <w:szCs w:val="20"/>
                                </w:rPr>
                              </w:pPr>
                              <w:r>
                                <w:rPr>
                                  <w:rFonts w:ascii="Calibri" w:eastAsia="Calibri" w:hAnsi="Calibri" w:cs="Calibri"/>
                                  <w:color w:val="005677"/>
                                  <w:kern w:val="24"/>
                                  <w:sz w:val="20"/>
                                  <w:szCs w:val="20"/>
                                </w:rPr>
                                <w:t>2,249</w:t>
                              </w:r>
                            </w:p>
                            <w:p w14:paraId="655B89F8" w14:textId="77777777" w:rsidR="006F1F97" w:rsidRDefault="006F1F97" w:rsidP="006F1F97">
                              <w:pPr>
                                <w:pStyle w:val="NormalWeb"/>
                                <w:spacing w:before="0" w:beforeAutospacing="0" w:after="0" w:afterAutospacing="0" w:line="256" w:lineRule="auto"/>
                              </w:pPr>
                              <w:r>
                                <w:rPr>
                                  <w:rFonts w:ascii="Calibri Light" w:eastAsia="Calibri" w:hAnsi="Calibri Light" w:cs="Calibri Light"/>
                                  <w:color w:val="005677"/>
                                  <w:kern w:val="24"/>
                                </w:rPr>
                                <w:t> </w:t>
                              </w:r>
                            </w:p>
                          </w:txbxContent>
                        </wps:txbx>
                        <wps:bodyPr rot="0" vert="horz" wrap="square" lIns="91440" tIns="45720" rIns="91440" bIns="45720" anchor="t" anchorCtr="0">
                          <a:noAutofit/>
                        </wps:bodyPr>
                      </wps:wsp>
                      <wps:wsp>
                        <wps:cNvPr id="15" name="Text Box 2"/>
                        <wps:cNvSpPr txBox="1">
                          <a:spLocks noChangeArrowheads="1"/>
                        </wps:cNvSpPr>
                        <wps:spPr bwMode="auto">
                          <a:xfrm>
                            <a:off x="4361402" y="3063597"/>
                            <a:ext cx="931784" cy="590129"/>
                          </a:xfrm>
                          <a:prstGeom prst="rect">
                            <a:avLst/>
                          </a:prstGeom>
                          <a:noFill/>
                          <a:ln w="9525">
                            <a:noFill/>
                            <a:miter lim="800000"/>
                            <a:headEnd/>
                            <a:tailEnd/>
                          </a:ln>
                        </wps:spPr>
                        <wps:txbx>
                          <w:txbxContent>
                            <w:p w14:paraId="49164764" w14:textId="77777777" w:rsidR="006F1F97" w:rsidRPr="000B2B8B" w:rsidRDefault="006F1F97" w:rsidP="006F1F97">
                              <w:pPr>
                                <w:pStyle w:val="NormalWeb"/>
                                <w:spacing w:before="0" w:beforeAutospacing="0" w:after="0" w:afterAutospacing="0" w:line="240" w:lineRule="exact"/>
                                <w:jc w:val="center"/>
                                <w:rPr>
                                  <w:sz w:val="20"/>
                                  <w:szCs w:val="20"/>
                                </w:rPr>
                              </w:pPr>
                              <w:r w:rsidRPr="000B2B8B">
                                <w:rPr>
                                  <w:rFonts w:ascii="Calibri Light" w:eastAsia="Calibri" w:hAnsi="Calibri Light" w:cs="Calibri Light"/>
                                  <w:b/>
                                  <w:bCs/>
                                  <w:color w:val="005677"/>
                                  <w:kern w:val="24"/>
                                  <w:sz w:val="20"/>
                                  <w:szCs w:val="20"/>
                                </w:rPr>
                                <w:t>ACT</w:t>
                              </w:r>
                            </w:p>
                            <w:p w14:paraId="76BDB0E6" w14:textId="77777777" w:rsidR="006F1F97" w:rsidRPr="000B2B8B" w:rsidRDefault="006F1F97" w:rsidP="006F1F97">
                              <w:pPr>
                                <w:pStyle w:val="NormalWeb"/>
                                <w:spacing w:before="0" w:beforeAutospacing="0" w:after="0" w:afterAutospacing="0" w:line="240" w:lineRule="exact"/>
                                <w:jc w:val="center"/>
                                <w:rPr>
                                  <w:sz w:val="20"/>
                                  <w:szCs w:val="20"/>
                                </w:rPr>
                              </w:pPr>
                              <w:r>
                                <w:rPr>
                                  <w:rFonts w:ascii="Calibri" w:eastAsia="Calibri" w:hAnsi="Calibri" w:cs="Calibri"/>
                                  <w:color w:val="005677"/>
                                  <w:kern w:val="24"/>
                                  <w:sz w:val="20"/>
                                  <w:szCs w:val="20"/>
                                </w:rPr>
                                <w:t>171</w:t>
                              </w:r>
                              <w:r w:rsidRPr="000B2B8B">
                                <w:rPr>
                                  <w:rFonts w:ascii="Calibri" w:eastAsia="Calibri" w:hAnsi="Calibri" w:cs="Calibri"/>
                                  <w:color w:val="005677"/>
                                  <w:kern w:val="24"/>
                                  <w:sz w:val="20"/>
                                  <w:szCs w:val="20"/>
                                </w:rPr>
                                <w:t xml:space="preserve"> </w:t>
                              </w:r>
                              <w:r w:rsidRPr="000B2B8B">
                                <w:rPr>
                                  <w:rFonts w:ascii="Calibri Light" w:eastAsia="Calibri" w:hAnsi="Calibri Light" w:cs="Calibri Light"/>
                                  <w:color w:val="005677"/>
                                  <w:kern w:val="24"/>
                                  <w:sz w:val="20"/>
                                  <w:szCs w:val="20"/>
                                </w:rPr>
                                <w:t>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8D34259" id="Group 3" o:spid="_x0000_s1026" alt="&quot;&quot;" style="position:absolute;margin-left:0;margin-top:29.25pt;width:300.55pt;height:265.3pt;z-index:251658242;mso-position-horizontal:left;mso-position-horizontal-relative:margin;mso-width-relative:margin;mso-height-relative:margin" coordorigin="" coordsize="55446,45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55446;height:43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" adj="1856" filled="t" fillcolor="#ededed">
                  <v:imagedata r:id="rId16" o:title="Australia_location_map_recolored" cropleft="5642f" cropright="4282f" recolortarget="#0a3050 [1446]"/>
                </v:shape>
                <v:shapetype id="_x0000_t202" coordsize="21600,21600" o:spt="202" path="m,l,21600r21600,l21600,xe">
                  <v:stroke joinstyle="miter"/>
                  <v:path gradientshapeok="t" o:connecttype="rect"/>
                </v:shapetype>
                <v:shape id="Text Box 2" o:spid="_x0000_s1028" type="#_x0000_t202" style="position:absolute;left:33694;top:32197;width:10685;height:6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08AC996" w14:textId="77777777" w:rsidR="006F1F97" w:rsidRPr="000B2B8B" w:rsidRDefault="006F1F97" w:rsidP="006F1F97">
                        <w:pPr>
                          <w:pStyle w:val="NormalWeb"/>
                          <w:spacing w:before="0" w:beforeAutospacing="0" w:after="0" w:afterAutospacing="0" w:line="240" w:lineRule="exact"/>
                          <w:jc w:val="center"/>
                          <w:rPr>
                            <w:sz w:val="20"/>
                            <w:szCs w:val="20"/>
                          </w:rPr>
                        </w:pPr>
                        <w:r w:rsidRPr="000B2B8B">
                          <w:rPr>
                            <w:rFonts w:ascii="Calibri Light" w:eastAsia="Calibri" w:hAnsi="Calibri Light" w:cs="Calibri Light"/>
                            <w:b/>
                            <w:bCs/>
                            <w:color w:val="005677"/>
                            <w:kern w:val="24"/>
                            <w:sz w:val="20"/>
                            <w:szCs w:val="20"/>
                          </w:rPr>
                          <w:t>VIC</w:t>
                        </w:r>
                      </w:p>
                      <w:p w14:paraId="77647042" w14:textId="77777777" w:rsidR="006F1F97" w:rsidRPr="000B2B8B" w:rsidRDefault="006F1F97" w:rsidP="006F1F97">
                        <w:pPr>
                          <w:pStyle w:val="NormalWeb"/>
                          <w:spacing w:before="0" w:beforeAutospacing="0" w:after="0" w:afterAutospacing="0" w:line="240" w:lineRule="exact"/>
                          <w:jc w:val="center"/>
                          <w:rPr>
                            <w:sz w:val="20"/>
                            <w:szCs w:val="20"/>
                          </w:rPr>
                        </w:pPr>
                        <w:r>
                          <w:rPr>
                            <w:rFonts w:ascii="Calibri" w:eastAsia="Calibri" w:hAnsi="Calibri" w:cs="Calibri"/>
                            <w:color w:val="005677"/>
                            <w:kern w:val="24"/>
                            <w:sz w:val="20"/>
                            <w:szCs w:val="20"/>
                          </w:rPr>
                          <w:t>3,685</w:t>
                        </w:r>
                        <w:r w:rsidRPr="000B2B8B">
                          <w:rPr>
                            <w:rFonts w:ascii="Calibri" w:eastAsia="Calibri" w:hAnsi="Calibri" w:cs="Calibri"/>
                            <w:color w:val="005677"/>
                            <w:kern w:val="24"/>
                            <w:sz w:val="20"/>
                            <w:szCs w:val="20"/>
                          </w:rPr>
                          <w:t xml:space="preserve"> </w:t>
                        </w:r>
                      </w:p>
                    </w:txbxContent>
                  </v:textbox>
                </v:shape>
                <v:shape id="Text Box 2" o:spid="_x0000_s1029" type="#_x0000_t202" style="position:absolute;left:7919;top:18054;width:11777;height:6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9280428" w14:textId="77777777" w:rsidR="006F1F97" w:rsidRPr="000B2B8B" w:rsidRDefault="006F1F97" w:rsidP="006F1F97">
                        <w:pPr>
                          <w:pStyle w:val="NormalWeb"/>
                          <w:spacing w:before="0" w:beforeAutospacing="0" w:after="0" w:afterAutospacing="0" w:line="256" w:lineRule="auto"/>
                          <w:jc w:val="center"/>
                          <w:rPr>
                            <w:sz w:val="20"/>
                            <w:szCs w:val="20"/>
                          </w:rPr>
                        </w:pPr>
                        <w:r w:rsidRPr="000B2B8B">
                          <w:rPr>
                            <w:rFonts w:ascii="Calibri Light" w:eastAsia="Calibri" w:hAnsi="Calibri Light" w:cs="Calibri Light"/>
                            <w:b/>
                            <w:bCs/>
                            <w:color w:val="005677"/>
                            <w:kern w:val="24"/>
                            <w:sz w:val="20"/>
                            <w:szCs w:val="20"/>
                          </w:rPr>
                          <w:t>WA</w:t>
                        </w:r>
                      </w:p>
                      <w:p w14:paraId="1F34404F" w14:textId="77777777" w:rsidR="006F1F97" w:rsidRPr="000B2B8B" w:rsidRDefault="006F1F97" w:rsidP="006F1F97">
                        <w:pPr>
                          <w:pStyle w:val="NormalWeb"/>
                          <w:spacing w:before="0" w:beforeAutospacing="0" w:after="0" w:afterAutospacing="0" w:line="256" w:lineRule="auto"/>
                          <w:jc w:val="center"/>
                          <w:rPr>
                            <w:sz w:val="20"/>
                            <w:szCs w:val="20"/>
                          </w:rPr>
                        </w:pPr>
                        <w:r>
                          <w:rPr>
                            <w:rFonts w:ascii="Calibri" w:eastAsia="Calibri" w:hAnsi="Calibri" w:cs="Calibri"/>
                            <w:color w:val="005677"/>
                            <w:kern w:val="24"/>
                            <w:sz w:val="20"/>
                            <w:szCs w:val="20"/>
                          </w:rPr>
                          <w:t>1,402</w:t>
                        </w:r>
                        <w:r w:rsidRPr="000B2B8B">
                          <w:rPr>
                            <w:rFonts w:ascii="Calibri" w:eastAsia="Calibri" w:hAnsi="Calibri" w:cs="Calibri"/>
                            <w:color w:val="005677"/>
                            <w:kern w:val="24"/>
                            <w:sz w:val="20"/>
                            <w:szCs w:val="20"/>
                          </w:rPr>
                          <w:t xml:space="preserve"> </w:t>
                        </w:r>
                      </w:p>
                    </w:txbxContent>
                  </v:textbox>
                </v:shape>
                <v:shape id="Text Box 2" o:spid="_x0000_s1030" type="#_x0000_t202" style="position:absolute;left:22803;top:11593;width:9832;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DDF0E10" w14:textId="77777777" w:rsidR="006F1F97" w:rsidRPr="000B2B8B" w:rsidRDefault="006F1F97" w:rsidP="006F1F97">
                        <w:pPr>
                          <w:pStyle w:val="NormalWeb"/>
                          <w:spacing w:before="0" w:beforeAutospacing="0" w:after="0" w:afterAutospacing="0" w:line="256" w:lineRule="auto"/>
                          <w:jc w:val="center"/>
                          <w:rPr>
                            <w:sz w:val="20"/>
                            <w:szCs w:val="20"/>
                          </w:rPr>
                        </w:pPr>
                        <w:r w:rsidRPr="000B2B8B">
                          <w:rPr>
                            <w:rFonts w:ascii="Calibri Light" w:eastAsia="Calibri" w:hAnsi="Calibri Light" w:cs="Calibri Light"/>
                            <w:b/>
                            <w:bCs/>
                            <w:color w:val="005677"/>
                            <w:kern w:val="24"/>
                            <w:sz w:val="20"/>
                            <w:szCs w:val="20"/>
                          </w:rPr>
                          <w:t>NT</w:t>
                        </w:r>
                      </w:p>
                      <w:p w14:paraId="212B80D0" w14:textId="77777777" w:rsidR="006F1F97" w:rsidRPr="000B2B8B" w:rsidRDefault="006F1F97" w:rsidP="006F1F97">
                        <w:pPr>
                          <w:pStyle w:val="NormalWeb"/>
                          <w:spacing w:before="0" w:beforeAutospacing="0" w:after="0" w:afterAutospacing="0" w:line="256" w:lineRule="auto"/>
                          <w:jc w:val="center"/>
                          <w:rPr>
                            <w:sz w:val="20"/>
                            <w:szCs w:val="20"/>
                          </w:rPr>
                        </w:pPr>
                        <w:r>
                          <w:rPr>
                            <w:rFonts w:ascii="Calibri" w:eastAsia="Calibri" w:hAnsi="Calibri" w:cs="Calibri"/>
                            <w:color w:val="005677"/>
                            <w:kern w:val="24"/>
                            <w:sz w:val="20"/>
                            <w:szCs w:val="20"/>
                          </w:rPr>
                          <w:t xml:space="preserve"> 27</w:t>
                        </w:r>
                        <w:r w:rsidRPr="000B2B8B">
                          <w:rPr>
                            <w:rFonts w:ascii="Calibri" w:eastAsia="Calibri" w:hAnsi="Calibri" w:cs="Calibri"/>
                            <w:color w:val="005677"/>
                            <w:kern w:val="24"/>
                            <w:sz w:val="20"/>
                            <w:szCs w:val="20"/>
                          </w:rPr>
                          <w:t xml:space="preserve"> </w:t>
                        </w:r>
                        <w:r w:rsidRPr="000B2B8B">
                          <w:rPr>
                            <w:rFonts w:ascii="Calibri Light" w:eastAsia="Calibri" w:hAnsi="Calibri Light" w:cs="Calibri Light"/>
                            <w:color w:val="005677"/>
                            <w:kern w:val="24"/>
                            <w:sz w:val="20"/>
                            <w:szCs w:val="20"/>
                          </w:rPr>
                          <w:t> </w:t>
                        </w:r>
                      </w:p>
                    </w:txbxContent>
                  </v:textbox>
                </v:shape>
                <v:shape id="Text Box 2" o:spid="_x0000_s1031" type="#_x0000_t202" style="position:absolute;left:23042;top:21908;width:10220;height:5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82138E4" w14:textId="77777777" w:rsidR="006F1F97" w:rsidRPr="000B2B8B" w:rsidRDefault="006F1F97" w:rsidP="006F1F97">
                        <w:pPr>
                          <w:pStyle w:val="NormalWeb"/>
                          <w:spacing w:before="0" w:beforeAutospacing="0" w:after="0" w:afterAutospacing="0" w:line="256" w:lineRule="auto"/>
                          <w:jc w:val="center"/>
                          <w:rPr>
                            <w:sz w:val="20"/>
                            <w:szCs w:val="20"/>
                          </w:rPr>
                        </w:pPr>
                        <w:r w:rsidRPr="000B2B8B">
                          <w:rPr>
                            <w:rFonts w:ascii="Calibri Light" w:eastAsia="Calibri" w:hAnsi="Calibri Light" w:cs="Calibri Light"/>
                            <w:b/>
                            <w:bCs/>
                            <w:color w:val="005677"/>
                            <w:kern w:val="24"/>
                            <w:sz w:val="20"/>
                            <w:szCs w:val="20"/>
                          </w:rPr>
                          <w:t>SA</w:t>
                        </w:r>
                      </w:p>
                      <w:p w14:paraId="1D903E8C" w14:textId="77777777" w:rsidR="006F1F97" w:rsidRPr="000B2B8B" w:rsidRDefault="006F1F97" w:rsidP="006F1F97">
                        <w:pPr>
                          <w:pStyle w:val="NormalWeb"/>
                          <w:spacing w:before="0" w:beforeAutospacing="0" w:after="0" w:afterAutospacing="0" w:line="256" w:lineRule="auto"/>
                          <w:jc w:val="center"/>
                          <w:rPr>
                            <w:sz w:val="20"/>
                            <w:szCs w:val="20"/>
                          </w:rPr>
                        </w:pPr>
                        <w:r>
                          <w:rPr>
                            <w:rFonts w:ascii="Calibri" w:eastAsia="Calibri" w:hAnsi="Calibri" w:cs="Calibri"/>
                            <w:color w:val="005677"/>
                            <w:kern w:val="24"/>
                            <w:sz w:val="20"/>
                            <w:szCs w:val="20"/>
                          </w:rPr>
                          <w:t>654</w:t>
                        </w:r>
                      </w:p>
                      <w:p w14:paraId="41BC51C8" w14:textId="77777777" w:rsidR="006F1F97" w:rsidRPr="000B2B8B" w:rsidRDefault="006F1F97" w:rsidP="006F1F97">
                        <w:pPr>
                          <w:pStyle w:val="NormalWeb"/>
                          <w:spacing w:before="0" w:beforeAutospacing="0" w:after="0" w:afterAutospacing="0" w:line="256" w:lineRule="auto"/>
                          <w:rPr>
                            <w:sz w:val="20"/>
                            <w:szCs w:val="20"/>
                          </w:rPr>
                        </w:pPr>
                        <w:r w:rsidRPr="000B2B8B">
                          <w:rPr>
                            <w:rFonts w:ascii="Calibri Light" w:eastAsia="Calibri" w:hAnsi="Calibri Light" w:cs="Calibri Light"/>
                            <w:color w:val="005677"/>
                            <w:kern w:val="24"/>
                            <w:sz w:val="20"/>
                            <w:szCs w:val="20"/>
                          </w:rPr>
                          <w:t> </w:t>
                        </w:r>
                      </w:p>
                    </w:txbxContent>
                  </v:textbox>
                </v:shape>
                <v:shape id="Text Box 2" o:spid="_x0000_s1032" type="#_x0000_t202" style="position:absolute;left:39680;top:39209;width:7809;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97FB16D" w14:textId="77777777" w:rsidR="006F1F97" w:rsidRPr="000B2B8B" w:rsidRDefault="006F1F97" w:rsidP="006F1F97">
                        <w:pPr>
                          <w:pStyle w:val="NormalWeb"/>
                          <w:spacing w:before="0" w:beforeAutospacing="0" w:after="0" w:afterAutospacing="0" w:line="240" w:lineRule="exact"/>
                          <w:jc w:val="center"/>
                          <w:rPr>
                            <w:sz w:val="20"/>
                            <w:szCs w:val="20"/>
                          </w:rPr>
                        </w:pPr>
                        <w:r w:rsidRPr="000B2B8B">
                          <w:rPr>
                            <w:rFonts w:ascii="Calibri Light" w:eastAsia="Calibri" w:hAnsi="Calibri Light" w:cs="Calibri Light"/>
                            <w:b/>
                            <w:bCs/>
                            <w:color w:val="005677"/>
                            <w:kern w:val="24"/>
                            <w:sz w:val="20"/>
                            <w:szCs w:val="20"/>
                          </w:rPr>
                          <w:t>TAS</w:t>
                        </w:r>
                      </w:p>
                      <w:p w14:paraId="62C6911D" w14:textId="77777777" w:rsidR="006F1F97" w:rsidRPr="000B2B8B" w:rsidRDefault="006F1F97" w:rsidP="006F1F97">
                        <w:pPr>
                          <w:pStyle w:val="NormalWeb"/>
                          <w:spacing w:before="0" w:beforeAutospacing="0" w:after="0" w:afterAutospacing="0" w:line="240" w:lineRule="exact"/>
                          <w:jc w:val="center"/>
                          <w:rPr>
                            <w:sz w:val="20"/>
                            <w:szCs w:val="20"/>
                          </w:rPr>
                        </w:pPr>
                        <w:r>
                          <w:rPr>
                            <w:rFonts w:ascii="Calibri" w:eastAsia="Calibri" w:hAnsi="Calibri" w:cs="Calibri"/>
                            <w:color w:val="005677"/>
                            <w:kern w:val="24"/>
                            <w:sz w:val="20"/>
                            <w:szCs w:val="20"/>
                          </w:rPr>
                          <w:t>122</w:t>
                        </w:r>
                        <w:r w:rsidRPr="000B2B8B">
                          <w:rPr>
                            <w:rFonts w:ascii="Calibri" w:eastAsia="Calibri" w:hAnsi="Calibri" w:cs="Calibri"/>
                            <w:color w:val="005677"/>
                            <w:kern w:val="24"/>
                            <w:sz w:val="20"/>
                            <w:szCs w:val="20"/>
                          </w:rPr>
                          <w:t xml:space="preserve"> </w:t>
                        </w:r>
                      </w:p>
                    </w:txbxContent>
                  </v:textbox>
                </v:shape>
                <v:shape id="Text Box 2" o:spid="_x0000_s1033" type="#_x0000_t202" style="position:absolute;left:36428;top:26294;width:11817;height:5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59051AA2" w14:textId="77777777" w:rsidR="006F1F97" w:rsidRPr="000B2B8B" w:rsidRDefault="006F1F97" w:rsidP="006F1F97">
                        <w:pPr>
                          <w:pStyle w:val="NormalWeb"/>
                          <w:spacing w:before="0" w:beforeAutospacing="0" w:after="0" w:afterAutospacing="0" w:line="256" w:lineRule="auto"/>
                          <w:jc w:val="center"/>
                          <w:rPr>
                            <w:sz w:val="20"/>
                          </w:rPr>
                        </w:pPr>
                        <w:r w:rsidRPr="000B2B8B">
                          <w:rPr>
                            <w:rFonts w:ascii="Calibri Light" w:eastAsia="Calibri" w:hAnsi="Calibri Light" w:cs="Calibri Light"/>
                            <w:b/>
                            <w:bCs/>
                            <w:color w:val="005677"/>
                            <w:kern w:val="24"/>
                            <w:sz w:val="22"/>
                            <w:szCs w:val="28"/>
                          </w:rPr>
                          <w:t>NSW</w:t>
                        </w:r>
                      </w:p>
                      <w:p w14:paraId="33DBA1D4" w14:textId="77777777" w:rsidR="006F1F97" w:rsidRPr="000B2B8B" w:rsidRDefault="006F1F97" w:rsidP="006F1F97">
                        <w:pPr>
                          <w:pStyle w:val="NormalWeb"/>
                          <w:spacing w:before="0" w:beforeAutospacing="0" w:after="0" w:afterAutospacing="0" w:line="256" w:lineRule="auto"/>
                          <w:jc w:val="center"/>
                          <w:rPr>
                            <w:sz w:val="20"/>
                          </w:rPr>
                        </w:pPr>
                        <w:r>
                          <w:rPr>
                            <w:rFonts w:ascii="Calibri" w:eastAsia="Calibri" w:hAnsi="Calibri" w:cs="Calibri"/>
                            <w:color w:val="005677"/>
                            <w:kern w:val="24"/>
                            <w:sz w:val="20"/>
                          </w:rPr>
                          <w:t>4</w:t>
                        </w:r>
                        <w:r w:rsidRPr="000B2B8B">
                          <w:rPr>
                            <w:rFonts w:ascii="Calibri" w:eastAsia="Calibri" w:hAnsi="Calibri" w:cs="Calibri"/>
                            <w:color w:val="005677"/>
                            <w:kern w:val="24"/>
                            <w:sz w:val="20"/>
                          </w:rPr>
                          <w:t>,</w:t>
                        </w:r>
                        <w:r>
                          <w:rPr>
                            <w:rFonts w:ascii="Calibri" w:eastAsia="Calibri" w:hAnsi="Calibri" w:cs="Calibri"/>
                            <w:color w:val="005677"/>
                            <w:kern w:val="24"/>
                            <w:sz w:val="20"/>
                          </w:rPr>
                          <w:t>633</w:t>
                        </w:r>
                        <w:r w:rsidRPr="000B2B8B">
                          <w:rPr>
                            <w:rFonts w:ascii="Calibri" w:eastAsia="Calibri" w:hAnsi="Calibri" w:cs="Calibri"/>
                            <w:color w:val="005677"/>
                            <w:kern w:val="24"/>
                            <w:sz w:val="20"/>
                          </w:rPr>
                          <w:t xml:space="preserve"> </w:t>
                        </w:r>
                      </w:p>
                      <w:p w14:paraId="0BDC07DA" w14:textId="77777777" w:rsidR="006F1F97" w:rsidRPr="000B2B8B" w:rsidRDefault="006F1F97" w:rsidP="006F1F97">
                        <w:pPr>
                          <w:pStyle w:val="NormalWeb"/>
                          <w:spacing w:before="0" w:beforeAutospacing="0" w:after="0" w:afterAutospacing="0" w:line="256" w:lineRule="auto"/>
                          <w:rPr>
                            <w:sz w:val="20"/>
                          </w:rPr>
                        </w:pPr>
                        <w:r w:rsidRPr="000B2B8B">
                          <w:rPr>
                            <w:rFonts w:ascii="Calibri Light" w:eastAsia="Calibri" w:hAnsi="Calibri Light" w:cs="Calibri Light"/>
                            <w:color w:val="005677"/>
                            <w:kern w:val="24"/>
                            <w:sz w:val="20"/>
                          </w:rPr>
                          <w:t> </w:t>
                        </w:r>
                      </w:p>
                    </w:txbxContent>
                  </v:textbox>
                </v:shape>
                <v:shape id="Text Box 2" o:spid="_x0000_s1034" type="#_x0000_t202" style="position:absolute;left:36922;top:16668;width:11323;height:6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22BAA04" w14:textId="77777777" w:rsidR="006F1F97" w:rsidRPr="000B2B8B" w:rsidRDefault="006F1F97" w:rsidP="006F1F97">
                        <w:pPr>
                          <w:pStyle w:val="NormalWeb"/>
                          <w:spacing w:before="0" w:beforeAutospacing="0" w:after="0" w:afterAutospacing="0" w:line="256" w:lineRule="auto"/>
                          <w:jc w:val="center"/>
                          <w:rPr>
                            <w:sz w:val="20"/>
                            <w:szCs w:val="20"/>
                          </w:rPr>
                        </w:pPr>
                        <w:r w:rsidRPr="000B2B8B">
                          <w:rPr>
                            <w:rFonts w:ascii="Calibri Light" w:eastAsia="Calibri" w:hAnsi="Calibri Light" w:cs="Calibri Light"/>
                            <w:b/>
                            <w:bCs/>
                            <w:color w:val="005677"/>
                            <w:kern w:val="24"/>
                            <w:sz w:val="20"/>
                            <w:szCs w:val="20"/>
                          </w:rPr>
                          <w:t>QLD</w:t>
                        </w:r>
                      </w:p>
                      <w:p w14:paraId="502638BD" w14:textId="77777777" w:rsidR="006F1F97" w:rsidRPr="000B2B8B" w:rsidRDefault="006F1F97" w:rsidP="006F1F97">
                        <w:pPr>
                          <w:pStyle w:val="NormalWeb"/>
                          <w:spacing w:before="0" w:beforeAutospacing="0" w:after="0" w:afterAutospacing="0" w:line="256" w:lineRule="auto"/>
                          <w:jc w:val="center"/>
                          <w:rPr>
                            <w:sz w:val="20"/>
                            <w:szCs w:val="20"/>
                          </w:rPr>
                        </w:pPr>
                        <w:r>
                          <w:rPr>
                            <w:rFonts w:ascii="Calibri" w:eastAsia="Calibri" w:hAnsi="Calibri" w:cs="Calibri"/>
                            <w:color w:val="005677"/>
                            <w:kern w:val="24"/>
                            <w:sz w:val="20"/>
                            <w:szCs w:val="20"/>
                          </w:rPr>
                          <w:t>2,249</w:t>
                        </w:r>
                      </w:p>
                      <w:p w14:paraId="655B89F8" w14:textId="77777777" w:rsidR="006F1F97" w:rsidRDefault="006F1F97" w:rsidP="006F1F97">
                        <w:pPr>
                          <w:pStyle w:val="NormalWeb"/>
                          <w:spacing w:before="0" w:beforeAutospacing="0" w:after="0" w:afterAutospacing="0" w:line="256" w:lineRule="auto"/>
                        </w:pPr>
                        <w:r>
                          <w:rPr>
                            <w:rFonts w:ascii="Calibri Light" w:eastAsia="Calibri" w:hAnsi="Calibri Light" w:cs="Calibri Light"/>
                            <w:color w:val="005677"/>
                            <w:kern w:val="24"/>
                          </w:rPr>
                          <w:t> </w:t>
                        </w:r>
                      </w:p>
                    </w:txbxContent>
                  </v:textbox>
                </v:shape>
                <v:shape id="Text Box 2" o:spid="_x0000_s1035" type="#_x0000_t202" style="position:absolute;left:43614;top:30635;width:9317;height:5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49164764" w14:textId="77777777" w:rsidR="006F1F97" w:rsidRPr="000B2B8B" w:rsidRDefault="006F1F97" w:rsidP="006F1F97">
                        <w:pPr>
                          <w:pStyle w:val="NormalWeb"/>
                          <w:spacing w:before="0" w:beforeAutospacing="0" w:after="0" w:afterAutospacing="0" w:line="240" w:lineRule="exact"/>
                          <w:jc w:val="center"/>
                          <w:rPr>
                            <w:sz w:val="20"/>
                            <w:szCs w:val="20"/>
                          </w:rPr>
                        </w:pPr>
                        <w:r w:rsidRPr="000B2B8B">
                          <w:rPr>
                            <w:rFonts w:ascii="Calibri Light" w:eastAsia="Calibri" w:hAnsi="Calibri Light" w:cs="Calibri Light"/>
                            <w:b/>
                            <w:bCs/>
                            <w:color w:val="005677"/>
                            <w:kern w:val="24"/>
                            <w:sz w:val="20"/>
                            <w:szCs w:val="20"/>
                          </w:rPr>
                          <w:t>ACT</w:t>
                        </w:r>
                      </w:p>
                      <w:p w14:paraId="76BDB0E6" w14:textId="77777777" w:rsidR="006F1F97" w:rsidRPr="000B2B8B" w:rsidRDefault="006F1F97" w:rsidP="006F1F97">
                        <w:pPr>
                          <w:pStyle w:val="NormalWeb"/>
                          <w:spacing w:before="0" w:beforeAutospacing="0" w:after="0" w:afterAutospacing="0" w:line="240" w:lineRule="exact"/>
                          <w:jc w:val="center"/>
                          <w:rPr>
                            <w:sz w:val="20"/>
                            <w:szCs w:val="20"/>
                          </w:rPr>
                        </w:pPr>
                        <w:r>
                          <w:rPr>
                            <w:rFonts w:ascii="Calibri" w:eastAsia="Calibri" w:hAnsi="Calibri" w:cs="Calibri"/>
                            <w:color w:val="005677"/>
                            <w:kern w:val="24"/>
                            <w:sz w:val="20"/>
                            <w:szCs w:val="20"/>
                          </w:rPr>
                          <w:t>171</w:t>
                        </w:r>
                        <w:r w:rsidRPr="000B2B8B">
                          <w:rPr>
                            <w:rFonts w:ascii="Calibri" w:eastAsia="Calibri" w:hAnsi="Calibri" w:cs="Calibri"/>
                            <w:color w:val="005677"/>
                            <w:kern w:val="24"/>
                            <w:sz w:val="20"/>
                            <w:szCs w:val="20"/>
                          </w:rPr>
                          <w:t xml:space="preserve"> </w:t>
                        </w:r>
                        <w:r w:rsidRPr="000B2B8B">
                          <w:rPr>
                            <w:rFonts w:ascii="Calibri Light" w:eastAsia="Calibri" w:hAnsi="Calibri Light" w:cs="Calibri Light"/>
                            <w:color w:val="005677"/>
                            <w:kern w:val="24"/>
                            <w:sz w:val="20"/>
                            <w:szCs w:val="20"/>
                          </w:rPr>
                          <w:t> </w:t>
                        </w:r>
                      </w:p>
                    </w:txbxContent>
                  </v:textbox>
                </v:shape>
                <w10:wrap anchorx="margin"/>
              </v:group>
            </w:pict>
          </mc:Fallback>
        </mc:AlternateContent>
      </w:r>
    </w:p>
    <w:p w14:paraId="202C2D9C" w14:textId="77777777" w:rsidR="006F1F97" w:rsidRDefault="006F1F97" w:rsidP="006F1F97">
      <w:pPr>
        <w:pStyle w:val="Heading5"/>
        <w:rPr>
          <w:i w:val="0"/>
          <w:lang w:eastAsia="en-AU"/>
        </w:rPr>
      </w:pPr>
    </w:p>
    <w:p w14:paraId="59DE7371" w14:textId="77777777" w:rsidR="006F1F97" w:rsidRDefault="006F1F97" w:rsidP="006F1F97">
      <w:pPr>
        <w:pStyle w:val="Heading5"/>
        <w:rPr>
          <w:i w:val="0"/>
          <w:lang w:eastAsia="en-AU"/>
        </w:rPr>
      </w:pPr>
    </w:p>
    <w:p w14:paraId="45FF919D" w14:textId="77777777" w:rsidR="006F1F97" w:rsidRDefault="006F1F97" w:rsidP="006F1F97">
      <w:pPr>
        <w:pStyle w:val="Heading5"/>
        <w:rPr>
          <w:i w:val="0"/>
          <w:lang w:eastAsia="en-AU"/>
        </w:rPr>
      </w:pPr>
    </w:p>
    <w:p w14:paraId="78820C86" w14:textId="77777777" w:rsidR="006F1F97" w:rsidRDefault="006F1F97" w:rsidP="006F1F97">
      <w:pPr>
        <w:pStyle w:val="Heading5"/>
        <w:rPr>
          <w:i w:val="0"/>
          <w:lang w:eastAsia="en-AU"/>
        </w:rPr>
      </w:pPr>
    </w:p>
    <w:p w14:paraId="30275E60" w14:textId="77777777" w:rsidR="006F1F97" w:rsidRDefault="006F1F97" w:rsidP="006F1F97">
      <w:pPr>
        <w:pStyle w:val="Heading5"/>
        <w:rPr>
          <w:i w:val="0"/>
          <w:lang w:eastAsia="en-AU"/>
        </w:rPr>
      </w:pPr>
    </w:p>
    <w:p w14:paraId="715C5FB7" w14:textId="77777777" w:rsidR="006F1F97" w:rsidRDefault="006F1F97" w:rsidP="006F1F97">
      <w:pPr>
        <w:pStyle w:val="Heading5"/>
        <w:rPr>
          <w:i w:val="0"/>
          <w:lang w:eastAsia="en-AU"/>
        </w:rPr>
      </w:pPr>
    </w:p>
    <w:p w14:paraId="7FD0DD52" w14:textId="77777777" w:rsidR="006F1F97" w:rsidRDefault="006F1F97" w:rsidP="006F1F97">
      <w:pPr>
        <w:pStyle w:val="Heading5"/>
        <w:rPr>
          <w:i w:val="0"/>
          <w:lang w:eastAsia="en-AU"/>
        </w:rPr>
      </w:pPr>
    </w:p>
    <w:p w14:paraId="0AC79E16" w14:textId="77777777" w:rsidR="006F1F97" w:rsidRDefault="006F1F97" w:rsidP="006F1F97">
      <w:pPr>
        <w:pStyle w:val="Heading5"/>
        <w:rPr>
          <w:i w:val="0"/>
          <w:lang w:eastAsia="en-AU"/>
        </w:rPr>
      </w:pPr>
    </w:p>
    <w:p w14:paraId="270858E2" w14:textId="77777777" w:rsidR="006F1F97" w:rsidRPr="00CE603B" w:rsidRDefault="006F1F97" w:rsidP="006F1F97">
      <w:pPr>
        <w:pStyle w:val="Heading5"/>
        <w:rPr>
          <w:i w:val="0"/>
          <w:lang w:eastAsia="en-AU"/>
        </w:rPr>
      </w:pPr>
      <w:r w:rsidRPr="0021759B">
        <w:rPr>
          <w:i w:val="0"/>
          <w:lang w:eastAsia="en-AU"/>
        </w:rPr>
        <w:t xml:space="preserve">Table 5: Comparison by sector – NSW </w:t>
      </w:r>
    </w:p>
    <w:tbl>
      <w:tblPr>
        <w:tblW w:w="10490" w:type="dxa"/>
        <w:tblLayout w:type="fixed"/>
        <w:tblCellMar>
          <w:top w:w="15" w:type="dxa"/>
          <w:left w:w="15" w:type="dxa"/>
          <w:bottom w:w="15" w:type="dxa"/>
          <w:right w:w="15" w:type="dxa"/>
        </w:tblCellMar>
        <w:tblLook w:val="04A0" w:firstRow="1" w:lastRow="0" w:firstColumn="1" w:lastColumn="0" w:noHBand="0" w:noVBand="1"/>
      </w:tblPr>
      <w:tblGrid>
        <w:gridCol w:w="2268"/>
        <w:gridCol w:w="1560"/>
        <w:gridCol w:w="1842"/>
        <w:gridCol w:w="1531"/>
        <w:gridCol w:w="1644"/>
        <w:gridCol w:w="1645"/>
      </w:tblGrid>
      <w:tr w:rsidR="006F1F97" w:rsidRPr="008D5B78" w14:paraId="56A70D2B" w14:textId="77777777" w:rsidTr="004E092E">
        <w:trPr>
          <w:trHeight w:val="300"/>
        </w:trPr>
        <w:tc>
          <w:tcPr>
            <w:tcW w:w="2268" w:type="dxa"/>
            <w:shd w:val="clear" w:color="auto" w:fill="auto"/>
            <w:vAlign w:val="bottom"/>
            <w:hideMark/>
          </w:tcPr>
          <w:p w14:paraId="064693FF" w14:textId="77777777" w:rsidR="006F1F97" w:rsidRPr="0021759B" w:rsidRDefault="006F1F97" w:rsidP="004E092E">
            <w:pPr>
              <w:pStyle w:val="TableHeading"/>
              <w:rPr>
                <w:rFonts w:ascii="Times New Roman" w:hAnsi="Times New Roman" w:cs="Times New Roman"/>
                <w:color w:val="auto"/>
                <w:lang w:eastAsia="en-AU"/>
              </w:rPr>
            </w:pPr>
            <w:r w:rsidRPr="0021759B">
              <w:rPr>
                <w:lang w:eastAsia="en-AU"/>
              </w:rPr>
              <w:t>  </w:t>
            </w:r>
            <w:r w:rsidRPr="0021759B">
              <w:rPr>
                <w:color w:val="auto"/>
                <w:lang w:eastAsia="en-AU"/>
              </w:rPr>
              <w:t> </w:t>
            </w:r>
          </w:p>
        </w:tc>
        <w:tc>
          <w:tcPr>
            <w:tcW w:w="1560" w:type="dxa"/>
            <w:shd w:val="clear" w:color="auto" w:fill="auto"/>
            <w:vAlign w:val="center"/>
            <w:hideMark/>
          </w:tcPr>
          <w:p w14:paraId="5CA85276" w14:textId="77777777" w:rsidR="006F1F97" w:rsidRPr="0021759B" w:rsidRDefault="006F1F97" w:rsidP="004E092E">
            <w:pPr>
              <w:pStyle w:val="TableHeading"/>
              <w:jc w:val="center"/>
              <w:rPr>
                <w:rFonts w:ascii="Times New Roman" w:hAnsi="Times New Roman" w:cs="Times New Roman"/>
                <w:color w:val="auto"/>
                <w:lang w:eastAsia="en-AU"/>
              </w:rPr>
            </w:pPr>
            <w:r w:rsidRPr="0021759B">
              <w:rPr>
                <w:lang w:eastAsia="en-AU"/>
              </w:rPr>
              <w:t>Services</w:t>
            </w:r>
          </w:p>
        </w:tc>
        <w:tc>
          <w:tcPr>
            <w:tcW w:w="1842" w:type="dxa"/>
            <w:shd w:val="clear" w:color="auto" w:fill="auto"/>
            <w:vAlign w:val="center"/>
            <w:hideMark/>
          </w:tcPr>
          <w:p w14:paraId="407054E1" w14:textId="77777777" w:rsidR="006F1F97" w:rsidRPr="0021759B" w:rsidRDefault="006F1F97" w:rsidP="004E092E">
            <w:pPr>
              <w:pStyle w:val="TableHeading"/>
              <w:jc w:val="center"/>
              <w:rPr>
                <w:rFonts w:ascii="Times New Roman" w:hAnsi="Times New Roman" w:cs="Times New Roman"/>
                <w:color w:val="auto"/>
                <w:lang w:eastAsia="en-AU"/>
              </w:rPr>
            </w:pPr>
            <w:r w:rsidRPr="0021759B">
              <w:rPr>
                <w:lang w:eastAsia="en-AU"/>
              </w:rPr>
              <w:t>Manufacturing</w:t>
            </w:r>
          </w:p>
        </w:tc>
        <w:tc>
          <w:tcPr>
            <w:tcW w:w="1531" w:type="dxa"/>
            <w:shd w:val="clear" w:color="auto" w:fill="auto"/>
            <w:vAlign w:val="center"/>
          </w:tcPr>
          <w:p w14:paraId="307517AD" w14:textId="77777777" w:rsidR="006F1F97" w:rsidRPr="0021759B" w:rsidRDefault="006F1F97" w:rsidP="004E092E">
            <w:pPr>
              <w:pStyle w:val="TableHeading"/>
              <w:jc w:val="center"/>
              <w:rPr>
                <w:rFonts w:ascii="Times New Roman" w:hAnsi="Times New Roman" w:cs="Times New Roman"/>
                <w:color w:val="auto"/>
                <w:lang w:eastAsia="en-AU"/>
              </w:rPr>
            </w:pPr>
            <w:r w:rsidRPr="0021759B">
              <w:rPr>
                <w:lang w:eastAsia="en-AU"/>
              </w:rPr>
              <w:t>Agriculture</w:t>
            </w:r>
          </w:p>
        </w:tc>
        <w:tc>
          <w:tcPr>
            <w:tcW w:w="1644" w:type="dxa"/>
            <w:shd w:val="clear" w:color="auto" w:fill="auto"/>
            <w:vAlign w:val="center"/>
          </w:tcPr>
          <w:p w14:paraId="171A1CD2" w14:textId="77777777" w:rsidR="006F1F97" w:rsidRPr="0021759B" w:rsidRDefault="006F1F97" w:rsidP="004E092E">
            <w:pPr>
              <w:pStyle w:val="TableHeading"/>
              <w:jc w:val="center"/>
              <w:rPr>
                <w:lang w:eastAsia="en-AU"/>
              </w:rPr>
            </w:pPr>
            <w:r w:rsidRPr="0021759B">
              <w:rPr>
                <w:lang w:eastAsia="en-AU"/>
              </w:rPr>
              <w:t>Mining</w:t>
            </w:r>
          </w:p>
        </w:tc>
        <w:tc>
          <w:tcPr>
            <w:tcW w:w="1645" w:type="dxa"/>
            <w:shd w:val="clear" w:color="auto" w:fill="auto"/>
            <w:vAlign w:val="center"/>
            <w:hideMark/>
          </w:tcPr>
          <w:p w14:paraId="5FD05704" w14:textId="77777777" w:rsidR="006F1F97" w:rsidRPr="0021759B" w:rsidRDefault="006F1F97" w:rsidP="004E092E">
            <w:pPr>
              <w:pStyle w:val="TableHeading"/>
              <w:jc w:val="center"/>
              <w:rPr>
                <w:rFonts w:ascii="Times New Roman" w:hAnsi="Times New Roman" w:cs="Times New Roman"/>
                <w:color w:val="auto"/>
                <w:lang w:eastAsia="en-AU"/>
              </w:rPr>
            </w:pPr>
            <w:r w:rsidRPr="0021759B">
              <w:rPr>
                <w:lang w:eastAsia="en-AU"/>
              </w:rPr>
              <w:t>E,G,W &amp; WS*</w:t>
            </w:r>
          </w:p>
        </w:tc>
      </w:tr>
      <w:tr w:rsidR="006F1F97" w:rsidRPr="008D5B78" w14:paraId="45A25CB6" w14:textId="77777777" w:rsidTr="004E092E">
        <w:trPr>
          <w:trHeight w:val="300"/>
        </w:trPr>
        <w:tc>
          <w:tcPr>
            <w:tcW w:w="2268" w:type="dxa"/>
            <w:shd w:val="clear" w:color="auto" w:fill="auto"/>
            <w:vAlign w:val="bottom"/>
            <w:hideMark/>
          </w:tcPr>
          <w:p w14:paraId="61B106DB" w14:textId="77777777" w:rsidR="006F1F97" w:rsidRPr="00843AA1" w:rsidRDefault="006F1F97" w:rsidP="004E092E">
            <w:pPr>
              <w:rPr>
                <w:rFonts w:ascii="Times New Roman" w:eastAsia="Times New Roman" w:hAnsi="Times New Roman" w:cs="Times New Roman"/>
                <w:color w:val="auto"/>
                <w:sz w:val="24"/>
                <w:szCs w:val="24"/>
                <w:lang w:eastAsia="en-AU"/>
              </w:rPr>
            </w:pPr>
            <w:r w:rsidRPr="00843AA1">
              <w:rPr>
                <w:rFonts w:ascii="Calibri" w:eastAsia="Times New Roman" w:hAnsi="Calibri" w:cs="Calibri"/>
                <w:lang w:eastAsia="en-AU"/>
              </w:rPr>
              <w:t>Number of Registrations</w:t>
            </w:r>
            <w:r w:rsidRPr="00843AA1">
              <w:rPr>
                <w:rFonts w:ascii="Calibri" w:eastAsia="Times New Roman" w:hAnsi="Calibri" w:cs="Calibri"/>
                <w:color w:val="auto"/>
                <w:lang w:eastAsia="en-AU"/>
              </w:rPr>
              <w:t> </w:t>
            </w:r>
          </w:p>
        </w:tc>
        <w:tc>
          <w:tcPr>
            <w:tcW w:w="1560" w:type="dxa"/>
            <w:shd w:val="clear" w:color="auto" w:fill="auto"/>
            <w:vAlign w:val="bottom"/>
            <w:hideMark/>
          </w:tcPr>
          <w:p w14:paraId="5F60F066" w14:textId="77777777" w:rsidR="006F1F97" w:rsidRPr="0021759B" w:rsidRDefault="006F1F97" w:rsidP="004E092E">
            <w:pPr>
              <w:jc w:val="center"/>
              <w:rPr>
                <w:rFonts w:ascii="Times New Roman" w:eastAsia="Times New Roman" w:hAnsi="Times New Roman" w:cs="Times New Roman"/>
                <w:color w:val="auto"/>
                <w:sz w:val="24"/>
                <w:szCs w:val="24"/>
                <w:lang w:eastAsia="en-AU"/>
              </w:rPr>
            </w:pPr>
            <w:r w:rsidRPr="0021759B">
              <w:rPr>
                <w:rFonts w:eastAsia="Times New Roman"/>
                <w:color w:val="000000"/>
                <w:lang w:eastAsia="en-AU"/>
              </w:rPr>
              <w:t xml:space="preserve">3,304 </w:t>
            </w:r>
          </w:p>
        </w:tc>
        <w:tc>
          <w:tcPr>
            <w:tcW w:w="1842" w:type="dxa"/>
            <w:shd w:val="clear" w:color="auto" w:fill="auto"/>
            <w:vAlign w:val="bottom"/>
            <w:hideMark/>
          </w:tcPr>
          <w:p w14:paraId="24F36807" w14:textId="77777777" w:rsidR="006F1F97" w:rsidRPr="00843AA1" w:rsidRDefault="006F1F97" w:rsidP="004E092E">
            <w:pPr>
              <w:jc w:val="center"/>
              <w:rPr>
                <w:rFonts w:ascii="Times New Roman" w:eastAsia="Times New Roman" w:hAnsi="Times New Roman" w:cs="Times New Roman"/>
                <w:color w:val="auto"/>
                <w:sz w:val="24"/>
                <w:szCs w:val="24"/>
                <w:lang w:eastAsia="en-AU"/>
              </w:rPr>
            </w:pPr>
            <w:r w:rsidRPr="00843AA1">
              <w:rPr>
                <w:rFonts w:eastAsia="Times New Roman"/>
                <w:color w:val="000000"/>
                <w:lang w:eastAsia="en-AU"/>
              </w:rPr>
              <w:t xml:space="preserve">1,051 </w:t>
            </w:r>
          </w:p>
        </w:tc>
        <w:tc>
          <w:tcPr>
            <w:tcW w:w="1531" w:type="dxa"/>
            <w:shd w:val="clear" w:color="auto" w:fill="auto"/>
            <w:vAlign w:val="bottom"/>
          </w:tcPr>
          <w:p w14:paraId="28EA8865" w14:textId="77777777" w:rsidR="006F1F97" w:rsidRPr="00843AA1" w:rsidRDefault="006F1F97" w:rsidP="004E092E">
            <w:pPr>
              <w:jc w:val="center"/>
              <w:rPr>
                <w:rFonts w:ascii="Times New Roman" w:eastAsia="Times New Roman" w:hAnsi="Times New Roman" w:cs="Times New Roman"/>
                <w:color w:val="auto"/>
                <w:sz w:val="24"/>
                <w:szCs w:val="24"/>
                <w:lang w:eastAsia="en-AU"/>
              </w:rPr>
            </w:pPr>
            <w:r w:rsidRPr="00843AA1">
              <w:rPr>
                <w:rFonts w:eastAsia="Times New Roman"/>
                <w:color w:val="000000"/>
                <w:lang w:eastAsia="en-AU"/>
              </w:rPr>
              <w:t xml:space="preserve">122 </w:t>
            </w:r>
          </w:p>
        </w:tc>
        <w:tc>
          <w:tcPr>
            <w:tcW w:w="1644" w:type="dxa"/>
            <w:shd w:val="clear" w:color="auto" w:fill="auto"/>
            <w:vAlign w:val="bottom"/>
          </w:tcPr>
          <w:p w14:paraId="487F58D7" w14:textId="77777777" w:rsidR="006F1F97" w:rsidRPr="00843AA1" w:rsidRDefault="006F1F97" w:rsidP="004E092E">
            <w:pPr>
              <w:jc w:val="center"/>
              <w:rPr>
                <w:rFonts w:ascii="Calibri" w:eastAsia="Times New Roman" w:hAnsi="Calibri" w:cs="Calibri"/>
                <w:lang w:eastAsia="en-AU"/>
              </w:rPr>
            </w:pPr>
            <w:r w:rsidRPr="00843AA1">
              <w:rPr>
                <w:rFonts w:eastAsia="Times New Roman"/>
                <w:color w:val="000000"/>
                <w:lang w:eastAsia="en-AU"/>
              </w:rPr>
              <w:t xml:space="preserve">56 </w:t>
            </w:r>
          </w:p>
        </w:tc>
        <w:tc>
          <w:tcPr>
            <w:tcW w:w="1645" w:type="dxa"/>
            <w:shd w:val="clear" w:color="auto" w:fill="auto"/>
            <w:vAlign w:val="bottom"/>
            <w:hideMark/>
          </w:tcPr>
          <w:p w14:paraId="58801B40" w14:textId="77777777" w:rsidR="006F1F97" w:rsidRPr="00843AA1" w:rsidRDefault="006F1F97" w:rsidP="004E092E">
            <w:pPr>
              <w:jc w:val="center"/>
              <w:rPr>
                <w:rFonts w:ascii="Times New Roman" w:eastAsia="Times New Roman" w:hAnsi="Times New Roman" w:cs="Times New Roman"/>
                <w:color w:val="auto"/>
                <w:sz w:val="24"/>
                <w:szCs w:val="24"/>
                <w:lang w:eastAsia="en-AU"/>
              </w:rPr>
            </w:pPr>
            <w:r w:rsidRPr="00843AA1">
              <w:rPr>
                <w:rFonts w:eastAsia="Times New Roman"/>
                <w:color w:val="000000"/>
                <w:lang w:eastAsia="en-AU"/>
              </w:rPr>
              <w:t xml:space="preserve">100 </w:t>
            </w:r>
          </w:p>
        </w:tc>
      </w:tr>
      <w:tr w:rsidR="006F1F97" w:rsidRPr="008D5B78" w14:paraId="4F4FDD10" w14:textId="77777777" w:rsidTr="004E092E">
        <w:trPr>
          <w:trHeight w:val="300"/>
        </w:trPr>
        <w:tc>
          <w:tcPr>
            <w:tcW w:w="2268" w:type="dxa"/>
            <w:tcBorders>
              <w:bottom w:val="single" w:sz="4" w:space="0" w:color="auto"/>
            </w:tcBorders>
            <w:shd w:val="clear" w:color="auto" w:fill="auto"/>
            <w:vAlign w:val="bottom"/>
            <w:hideMark/>
          </w:tcPr>
          <w:p w14:paraId="00CB92A1" w14:textId="77777777" w:rsidR="006F1F97" w:rsidRPr="00843AA1" w:rsidRDefault="006F1F97" w:rsidP="004E092E">
            <w:pPr>
              <w:rPr>
                <w:rFonts w:ascii="Times New Roman" w:eastAsia="Times New Roman" w:hAnsi="Times New Roman" w:cs="Times New Roman"/>
                <w:color w:val="auto"/>
                <w:sz w:val="24"/>
                <w:szCs w:val="24"/>
                <w:lang w:eastAsia="en-AU"/>
              </w:rPr>
            </w:pPr>
            <w:r w:rsidRPr="00843AA1">
              <w:rPr>
                <w:rFonts w:ascii="Calibri" w:eastAsia="Times New Roman" w:hAnsi="Calibri" w:cs="Calibri"/>
                <w:lang w:eastAsia="en-AU"/>
              </w:rPr>
              <w:t>R&amp;D Expenditure (</w:t>
            </w:r>
            <w:r w:rsidRPr="00843AA1">
              <w:rPr>
                <w:rFonts w:ascii="Calibri" w:eastAsia="Times New Roman" w:hAnsi="Calibri" w:cs="Calibri"/>
                <w:b/>
                <w:lang w:eastAsia="en-AU"/>
              </w:rPr>
              <w:t>million</w:t>
            </w:r>
            <w:r w:rsidRPr="00843AA1">
              <w:rPr>
                <w:rFonts w:ascii="Calibri" w:eastAsia="Times New Roman" w:hAnsi="Calibri" w:cs="Calibri"/>
                <w:lang w:eastAsia="en-AU"/>
              </w:rPr>
              <w:t>)</w:t>
            </w:r>
            <w:r w:rsidRPr="00843AA1">
              <w:rPr>
                <w:rFonts w:ascii="Calibri" w:eastAsia="Times New Roman" w:hAnsi="Calibri" w:cs="Calibri"/>
                <w:color w:val="auto"/>
                <w:lang w:eastAsia="en-AU"/>
              </w:rPr>
              <w:t> </w:t>
            </w:r>
          </w:p>
        </w:tc>
        <w:tc>
          <w:tcPr>
            <w:tcW w:w="1560" w:type="dxa"/>
            <w:tcBorders>
              <w:bottom w:val="single" w:sz="4" w:space="0" w:color="auto"/>
            </w:tcBorders>
            <w:shd w:val="clear" w:color="auto" w:fill="auto"/>
            <w:vAlign w:val="bottom"/>
            <w:hideMark/>
          </w:tcPr>
          <w:p w14:paraId="1CC4DC2B" w14:textId="77777777" w:rsidR="006F1F97" w:rsidRPr="0021759B" w:rsidRDefault="006F1F97" w:rsidP="004E092E">
            <w:pPr>
              <w:jc w:val="center"/>
              <w:rPr>
                <w:rFonts w:ascii="Times New Roman" w:eastAsia="Times New Roman" w:hAnsi="Times New Roman" w:cs="Times New Roman"/>
                <w:color w:val="auto"/>
                <w:sz w:val="24"/>
                <w:szCs w:val="24"/>
                <w:lang w:eastAsia="en-AU"/>
              </w:rPr>
            </w:pPr>
            <w:r w:rsidRPr="0021759B">
              <w:rPr>
                <w:rFonts w:eastAsia="Times New Roman"/>
                <w:color w:val="000000"/>
                <w:lang w:eastAsia="en-AU"/>
              </w:rPr>
              <w:t>$4,117</w:t>
            </w:r>
          </w:p>
        </w:tc>
        <w:tc>
          <w:tcPr>
            <w:tcW w:w="1842" w:type="dxa"/>
            <w:tcBorders>
              <w:bottom w:val="single" w:sz="4" w:space="0" w:color="auto"/>
            </w:tcBorders>
            <w:shd w:val="clear" w:color="auto" w:fill="auto"/>
            <w:vAlign w:val="bottom"/>
            <w:hideMark/>
          </w:tcPr>
          <w:p w14:paraId="473F2182" w14:textId="77777777" w:rsidR="006F1F97" w:rsidRPr="00843AA1" w:rsidRDefault="006F1F97" w:rsidP="004E092E">
            <w:pPr>
              <w:jc w:val="center"/>
              <w:rPr>
                <w:rFonts w:ascii="Times New Roman" w:eastAsia="Times New Roman" w:hAnsi="Times New Roman" w:cs="Times New Roman"/>
                <w:color w:val="auto"/>
                <w:sz w:val="24"/>
                <w:szCs w:val="24"/>
                <w:lang w:eastAsia="en-AU"/>
              </w:rPr>
            </w:pPr>
            <w:r w:rsidRPr="00843AA1">
              <w:rPr>
                <w:rFonts w:eastAsia="Times New Roman"/>
                <w:color w:val="000000"/>
                <w:lang w:eastAsia="en-AU"/>
              </w:rPr>
              <w:t>$1,555</w:t>
            </w:r>
          </w:p>
        </w:tc>
        <w:tc>
          <w:tcPr>
            <w:tcW w:w="1531" w:type="dxa"/>
            <w:tcBorders>
              <w:bottom w:val="single" w:sz="4" w:space="0" w:color="auto"/>
            </w:tcBorders>
            <w:shd w:val="clear" w:color="auto" w:fill="auto"/>
            <w:vAlign w:val="bottom"/>
          </w:tcPr>
          <w:p w14:paraId="5BF54CEE" w14:textId="77777777" w:rsidR="006F1F97" w:rsidRPr="00843AA1" w:rsidRDefault="006F1F97" w:rsidP="004E092E">
            <w:pPr>
              <w:jc w:val="center"/>
              <w:rPr>
                <w:rFonts w:ascii="Times New Roman" w:eastAsia="Times New Roman" w:hAnsi="Times New Roman" w:cs="Times New Roman"/>
                <w:color w:val="auto"/>
                <w:sz w:val="24"/>
                <w:szCs w:val="24"/>
                <w:lang w:eastAsia="en-AU"/>
              </w:rPr>
            </w:pPr>
            <w:r w:rsidRPr="00843AA1">
              <w:rPr>
                <w:rFonts w:eastAsia="Times New Roman"/>
                <w:color w:val="000000"/>
                <w:lang w:eastAsia="en-AU"/>
              </w:rPr>
              <w:t>$337</w:t>
            </w:r>
          </w:p>
        </w:tc>
        <w:tc>
          <w:tcPr>
            <w:tcW w:w="1644" w:type="dxa"/>
            <w:tcBorders>
              <w:bottom w:val="single" w:sz="4" w:space="0" w:color="auto"/>
            </w:tcBorders>
            <w:shd w:val="clear" w:color="auto" w:fill="auto"/>
            <w:vAlign w:val="bottom"/>
          </w:tcPr>
          <w:p w14:paraId="6C9540BE" w14:textId="77777777" w:rsidR="006F1F97" w:rsidRPr="00843AA1" w:rsidRDefault="006F1F97" w:rsidP="004E092E">
            <w:pPr>
              <w:jc w:val="center"/>
              <w:rPr>
                <w:rFonts w:ascii="Calibri" w:eastAsia="Times New Roman" w:hAnsi="Calibri" w:cs="Calibri"/>
                <w:lang w:eastAsia="en-AU"/>
              </w:rPr>
            </w:pPr>
            <w:r w:rsidRPr="00843AA1">
              <w:rPr>
                <w:rFonts w:eastAsia="Times New Roman"/>
                <w:color w:val="000000"/>
                <w:lang w:eastAsia="en-AU"/>
              </w:rPr>
              <w:t>$268</w:t>
            </w:r>
          </w:p>
        </w:tc>
        <w:tc>
          <w:tcPr>
            <w:tcW w:w="1645" w:type="dxa"/>
            <w:tcBorders>
              <w:bottom w:val="single" w:sz="4" w:space="0" w:color="auto"/>
            </w:tcBorders>
            <w:shd w:val="clear" w:color="auto" w:fill="auto"/>
            <w:vAlign w:val="bottom"/>
            <w:hideMark/>
          </w:tcPr>
          <w:p w14:paraId="34E1A3A6" w14:textId="77777777" w:rsidR="006F1F97" w:rsidRPr="00843AA1" w:rsidRDefault="006F1F97" w:rsidP="004E092E">
            <w:pPr>
              <w:jc w:val="center"/>
              <w:rPr>
                <w:rFonts w:ascii="Times New Roman" w:eastAsia="Times New Roman" w:hAnsi="Times New Roman" w:cs="Times New Roman"/>
                <w:color w:val="auto"/>
                <w:sz w:val="24"/>
                <w:szCs w:val="24"/>
                <w:lang w:eastAsia="en-AU"/>
              </w:rPr>
            </w:pPr>
            <w:r w:rsidRPr="00843AA1">
              <w:rPr>
                <w:rFonts w:eastAsia="Times New Roman"/>
                <w:color w:val="000000"/>
                <w:lang w:eastAsia="en-AU"/>
              </w:rPr>
              <w:t>$214</w:t>
            </w:r>
          </w:p>
        </w:tc>
      </w:tr>
    </w:tbl>
    <w:p w14:paraId="45E08CC6" w14:textId="77777777" w:rsidR="006F1F97" w:rsidRPr="0021759B" w:rsidRDefault="006F1F97" w:rsidP="006F1F97">
      <w:pPr>
        <w:pStyle w:val="Heading5"/>
        <w:rPr>
          <w:i w:val="0"/>
          <w:lang w:eastAsia="en-AU"/>
        </w:rPr>
      </w:pPr>
      <w:r w:rsidRPr="0021759B">
        <w:rPr>
          <w:i w:val="0"/>
          <w:lang w:eastAsia="en-AU"/>
        </w:rPr>
        <w:t xml:space="preserve">Table 6: Comparison by sector – VIC </w:t>
      </w:r>
    </w:p>
    <w:tbl>
      <w:tblPr>
        <w:tblW w:w="10490" w:type="dxa"/>
        <w:tblLayout w:type="fixed"/>
        <w:tblCellMar>
          <w:top w:w="15" w:type="dxa"/>
          <w:left w:w="15" w:type="dxa"/>
          <w:bottom w:w="15" w:type="dxa"/>
          <w:right w:w="15" w:type="dxa"/>
        </w:tblCellMar>
        <w:tblLook w:val="04A0" w:firstRow="1" w:lastRow="0" w:firstColumn="1" w:lastColumn="0" w:noHBand="0" w:noVBand="1"/>
      </w:tblPr>
      <w:tblGrid>
        <w:gridCol w:w="2268"/>
        <w:gridCol w:w="1560"/>
        <w:gridCol w:w="1842"/>
        <w:gridCol w:w="1531"/>
        <w:gridCol w:w="1644"/>
        <w:gridCol w:w="1645"/>
      </w:tblGrid>
      <w:tr w:rsidR="006F1F97" w:rsidRPr="008D5B78" w14:paraId="12651E58" w14:textId="77777777" w:rsidTr="004E092E">
        <w:trPr>
          <w:trHeight w:val="300"/>
        </w:trPr>
        <w:tc>
          <w:tcPr>
            <w:tcW w:w="2268" w:type="dxa"/>
            <w:shd w:val="clear" w:color="auto" w:fill="auto"/>
            <w:vAlign w:val="bottom"/>
            <w:hideMark/>
          </w:tcPr>
          <w:p w14:paraId="5285593A" w14:textId="77777777" w:rsidR="006F1F97" w:rsidRPr="0021759B" w:rsidRDefault="006F1F97" w:rsidP="004E092E">
            <w:pPr>
              <w:pStyle w:val="TableHeading"/>
              <w:rPr>
                <w:rFonts w:ascii="Times New Roman" w:hAnsi="Times New Roman" w:cs="Times New Roman"/>
                <w:color w:val="auto"/>
                <w:lang w:eastAsia="en-AU"/>
              </w:rPr>
            </w:pPr>
            <w:r w:rsidRPr="0021759B">
              <w:rPr>
                <w:lang w:eastAsia="en-AU"/>
              </w:rPr>
              <w:t>  </w:t>
            </w:r>
            <w:r w:rsidRPr="0021759B">
              <w:rPr>
                <w:color w:val="auto"/>
                <w:lang w:eastAsia="en-AU"/>
              </w:rPr>
              <w:t> </w:t>
            </w:r>
          </w:p>
        </w:tc>
        <w:tc>
          <w:tcPr>
            <w:tcW w:w="1560" w:type="dxa"/>
            <w:shd w:val="clear" w:color="auto" w:fill="auto"/>
            <w:vAlign w:val="center"/>
            <w:hideMark/>
          </w:tcPr>
          <w:p w14:paraId="60BCE2FB" w14:textId="77777777" w:rsidR="006F1F97" w:rsidRPr="0021759B" w:rsidRDefault="006F1F97" w:rsidP="004E092E">
            <w:pPr>
              <w:pStyle w:val="TableHeading"/>
              <w:jc w:val="center"/>
              <w:rPr>
                <w:rFonts w:ascii="Times New Roman" w:hAnsi="Times New Roman" w:cs="Times New Roman"/>
                <w:color w:val="auto"/>
                <w:lang w:eastAsia="en-AU"/>
              </w:rPr>
            </w:pPr>
            <w:r w:rsidRPr="0021759B">
              <w:rPr>
                <w:lang w:eastAsia="en-AU"/>
              </w:rPr>
              <w:t>Services</w:t>
            </w:r>
          </w:p>
        </w:tc>
        <w:tc>
          <w:tcPr>
            <w:tcW w:w="1842" w:type="dxa"/>
            <w:shd w:val="clear" w:color="auto" w:fill="auto"/>
            <w:vAlign w:val="center"/>
            <w:hideMark/>
          </w:tcPr>
          <w:p w14:paraId="495C9A04" w14:textId="77777777" w:rsidR="006F1F97" w:rsidRPr="0021759B" w:rsidRDefault="006F1F97" w:rsidP="004E092E">
            <w:pPr>
              <w:pStyle w:val="TableHeading"/>
              <w:jc w:val="center"/>
              <w:rPr>
                <w:rFonts w:ascii="Times New Roman" w:hAnsi="Times New Roman" w:cs="Times New Roman"/>
                <w:color w:val="auto"/>
                <w:lang w:eastAsia="en-AU"/>
              </w:rPr>
            </w:pPr>
            <w:r w:rsidRPr="0021759B">
              <w:rPr>
                <w:lang w:eastAsia="en-AU"/>
              </w:rPr>
              <w:t>Manufacturing</w:t>
            </w:r>
          </w:p>
        </w:tc>
        <w:tc>
          <w:tcPr>
            <w:tcW w:w="1531" w:type="dxa"/>
            <w:shd w:val="clear" w:color="auto" w:fill="auto"/>
            <w:vAlign w:val="center"/>
          </w:tcPr>
          <w:p w14:paraId="008D5556" w14:textId="77777777" w:rsidR="006F1F97" w:rsidRPr="0021759B" w:rsidRDefault="006F1F97" w:rsidP="004E092E">
            <w:pPr>
              <w:pStyle w:val="TableHeading"/>
              <w:jc w:val="center"/>
              <w:rPr>
                <w:rFonts w:ascii="Times New Roman" w:hAnsi="Times New Roman" w:cs="Times New Roman"/>
                <w:color w:val="auto"/>
                <w:lang w:eastAsia="en-AU"/>
              </w:rPr>
            </w:pPr>
            <w:r w:rsidRPr="0021759B">
              <w:rPr>
                <w:lang w:eastAsia="en-AU"/>
              </w:rPr>
              <w:t>Agriculture</w:t>
            </w:r>
          </w:p>
        </w:tc>
        <w:tc>
          <w:tcPr>
            <w:tcW w:w="1644" w:type="dxa"/>
            <w:shd w:val="clear" w:color="auto" w:fill="auto"/>
            <w:vAlign w:val="center"/>
          </w:tcPr>
          <w:p w14:paraId="490F7B77" w14:textId="77777777" w:rsidR="006F1F97" w:rsidRPr="0021759B" w:rsidRDefault="006F1F97" w:rsidP="004E092E">
            <w:pPr>
              <w:pStyle w:val="TableHeading"/>
              <w:jc w:val="center"/>
              <w:rPr>
                <w:lang w:eastAsia="en-AU"/>
              </w:rPr>
            </w:pPr>
            <w:r w:rsidRPr="0021759B">
              <w:rPr>
                <w:lang w:eastAsia="en-AU"/>
              </w:rPr>
              <w:t>Mining</w:t>
            </w:r>
          </w:p>
        </w:tc>
        <w:tc>
          <w:tcPr>
            <w:tcW w:w="1645" w:type="dxa"/>
            <w:shd w:val="clear" w:color="auto" w:fill="auto"/>
            <w:vAlign w:val="center"/>
            <w:hideMark/>
          </w:tcPr>
          <w:p w14:paraId="7200590C" w14:textId="77777777" w:rsidR="006F1F97" w:rsidRPr="0021759B" w:rsidRDefault="006F1F97" w:rsidP="004E092E">
            <w:pPr>
              <w:pStyle w:val="TableHeading"/>
              <w:jc w:val="center"/>
              <w:rPr>
                <w:rFonts w:ascii="Times New Roman" w:hAnsi="Times New Roman" w:cs="Times New Roman"/>
                <w:color w:val="auto"/>
                <w:lang w:eastAsia="en-AU"/>
              </w:rPr>
            </w:pPr>
            <w:r w:rsidRPr="0021759B">
              <w:rPr>
                <w:lang w:eastAsia="en-AU"/>
              </w:rPr>
              <w:t>E,G,W &amp; WS*</w:t>
            </w:r>
          </w:p>
        </w:tc>
      </w:tr>
      <w:tr w:rsidR="006F1F97" w:rsidRPr="008D5B78" w14:paraId="4DF55286" w14:textId="77777777" w:rsidTr="004E092E">
        <w:trPr>
          <w:trHeight w:val="300"/>
        </w:trPr>
        <w:tc>
          <w:tcPr>
            <w:tcW w:w="2268" w:type="dxa"/>
            <w:shd w:val="clear" w:color="auto" w:fill="auto"/>
            <w:vAlign w:val="bottom"/>
            <w:hideMark/>
          </w:tcPr>
          <w:p w14:paraId="4C49C88C" w14:textId="77777777" w:rsidR="006F1F97" w:rsidRPr="0021759B" w:rsidRDefault="006F1F97" w:rsidP="004E092E">
            <w:pPr>
              <w:rPr>
                <w:rFonts w:ascii="Times New Roman" w:eastAsia="Times New Roman" w:hAnsi="Times New Roman" w:cs="Times New Roman"/>
                <w:color w:val="auto"/>
                <w:sz w:val="24"/>
                <w:szCs w:val="24"/>
                <w:lang w:eastAsia="en-AU"/>
              </w:rPr>
            </w:pPr>
            <w:r w:rsidRPr="0021759B">
              <w:rPr>
                <w:rFonts w:ascii="Calibri" w:eastAsia="Times New Roman" w:hAnsi="Calibri" w:cs="Calibri"/>
                <w:lang w:eastAsia="en-AU"/>
              </w:rPr>
              <w:t>Number of Registrations</w:t>
            </w:r>
            <w:r w:rsidRPr="0021759B">
              <w:rPr>
                <w:rFonts w:ascii="Calibri" w:eastAsia="Times New Roman" w:hAnsi="Calibri" w:cs="Calibri"/>
                <w:color w:val="auto"/>
                <w:lang w:eastAsia="en-AU"/>
              </w:rPr>
              <w:t> </w:t>
            </w:r>
          </w:p>
        </w:tc>
        <w:tc>
          <w:tcPr>
            <w:tcW w:w="1560" w:type="dxa"/>
            <w:shd w:val="clear" w:color="auto" w:fill="auto"/>
            <w:vAlign w:val="bottom"/>
            <w:hideMark/>
          </w:tcPr>
          <w:p w14:paraId="459F6DA3" w14:textId="77777777" w:rsidR="006F1F97" w:rsidRPr="0021759B" w:rsidRDefault="006F1F97" w:rsidP="004E092E">
            <w:pPr>
              <w:jc w:val="center"/>
              <w:rPr>
                <w:rFonts w:ascii="Times New Roman" w:eastAsia="Times New Roman" w:hAnsi="Times New Roman" w:cs="Times New Roman"/>
                <w:color w:val="auto"/>
                <w:sz w:val="24"/>
                <w:szCs w:val="24"/>
                <w:lang w:eastAsia="en-AU"/>
              </w:rPr>
            </w:pPr>
            <w:r w:rsidRPr="0021759B">
              <w:rPr>
                <w:rFonts w:eastAsia="Times New Roman"/>
                <w:color w:val="000000"/>
                <w:lang w:eastAsia="en-AU"/>
              </w:rPr>
              <w:t xml:space="preserve">2,409 </w:t>
            </w:r>
          </w:p>
        </w:tc>
        <w:tc>
          <w:tcPr>
            <w:tcW w:w="1842" w:type="dxa"/>
            <w:shd w:val="clear" w:color="auto" w:fill="auto"/>
            <w:vAlign w:val="bottom"/>
            <w:hideMark/>
          </w:tcPr>
          <w:p w14:paraId="103DEAB2" w14:textId="77777777" w:rsidR="006F1F97" w:rsidRPr="00B33AD6" w:rsidRDefault="006F1F97" w:rsidP="004E092E">
            <w:pPr>
              <w:jc w:val="center"/>
              <w:rPr>
                <w:rFonts w:ascii="Times New Roman" w:eastAsia="Times New Roman" w:hAnsi="Times New Roman" w:cs="Times New Roman"/>
                <w:color w:val="auto"/>
                <w:sz w:val="24"/>
                <w:szCs w:val="24"/>
                <w:lang w:eastAsia="en-AU"/>
              </w:rPr>
            </w:pPr>
            <w:r w:rsidRPr="00B33AD6">
              <w:rPr>
                <w:rFonts w:eastAsia="Times New Roman"/>
                <w:color w:val="000000"/>
                <w:lang w:eastAsia="en-AU"/>
              </w:rPr>
              <w:t xml:space="preserve">1,094 </w:t>
            </w:r>
          </w:p>
        </w:tc>
        <w:tc>
          <w:tcPr>
            <w:tcW w:w="1531" w:type="dxa"/>
            <w:shd w:val="clear" w:color="auto" w:fill="auto"/>
            <w:vAlign w:val="bottom"/>
          </w:tcPr>
          <w:p w14:paraId="32617865" w14:textId="77777777" w:rsidR="006F1F97" w:rsidRPr="00B33AD6" w:rsidRDefault="006F1F97" w:rsidP="004E092E">
            <w:pPr>
              <w:jc w:val="center"/>
              <w:rPr>
                <w:rFonts w:ascii="Times New Roman" w:eastAsia="Times New Roman" w:hAnsi="Times New Roman" w:cs="Times New Roman"/>
                <w:color w:val="auto"/>
                <w:sz w:val="24"/>
                <w:szCs w:val="24"/>
                <w:lang w:eastAsia="en-AU"/>
              </w:rPr>
            </w:pPr>
            <w:r w:rsidRPr="00B33AD6">
              <w:rPr>
                <w:rFonts w:eastAsia="Times New Roman"/>
                <w:color w:val="000000"/>
                <w:lang w:eastAsia="en-AU"/>
              </w:rPr>
              <w:t xml:space="preserve">86 </w:t>
            </w:r>
          </w:p>
        </w:tc>
        <w:tc>
          <w:tcPr>
            <w:tcW w:w="1644" w:type="dxa"/>
            <w:shd w:val="clear" w:color="auto" w:fill="auto"/>
            <w:vAlign w:val="bottom"/>
          </w:tcPr>
          <w:p w14:paraId="60548A57" w14:textId="77777777" w:rsidR="006F1F97" w:rsidRPr="00B33AD6" w:rsidRDefault="006F1F97" w:rsidP="004E092E">
            <w:pPr>
              <w:jc w:val="center"/>
              <w:rPr>
                <w:rFonts w:ascii="Calibri" w:eastAsia="Times New Roman" w:hAnsi="Calibri" w:cs="Calibri"/>
                <w:lang w:eastAsia="en-AU"/>
              </w:rPr>
            </w:pPr>
            <w:r w:rsidRPr="00B33AD6">
              <w:rPr>
                <w:rFonts w:eastAsia="Times New Roman"/>
                <w:color w:val="000000"/>
                <w:lang w:eastAsia="en-AU"/>
              </w:rPr>
              <w:t xml:space="preserve">28 </w:t>
            </w:r>
          </w:p>
        </w:tc>
        <w:tc>
          <w:tcPr>
            <w:tcW w:w="1645" w:type="dxa"/>
            <w:shd w:val="clear" w:color="auto" w:fill="auto"/>
            <w:vAlign w:val="bottom"/>
            <w:hideMark/>
          </w:tcPr>
          <w:p w14:paraId="264C08AB" w14:textId="77777777" w:rsidR="006F1F97" w:rsidRPr="00B33AD6" w:rsidRDefault="006F1F97" w:rsidP="004E092E">
            <w:pPr>
              <w:jc w:val="center"/>
              <w:rPr>
                <w:rFonts w:ascii="Times New Roman" w:eastAsia="Times New Roman" w:hAnsi="Times New Roman" w:cs="Times New Roman"/>
                <w:color w:val="auto"/>
                <w:sz w:val="24"/>
                <w:szCs w:val="24"/>
                <w:lang w:eastAsia="en-AU"/>
              </w:rPr>
            </w:pPr>
            <w:r w:rsidRPr="00B33AD6">
              <w:rPr>
                <w:rFonts w:eastAsia="Times New Roman"/>
                <w:color w:val="000000"/>
                <w:lang w:eastAsia="en-AU"/>
              </w:rPr>
              <w:t xml:space="preserve">68 </w:t>
            </w:r>
          </w:p>
        </w:tc>
      </w:tr>
      <w:tr w:rsidR="006F1F97" w:rsidRPr="008D5B78" w14:paraId="72AEFA6C" w14:textId="77777777" w:rsidTr="004E092E">
        <w:trPr>
          <w:trHeight w:val="300"/>
        </w:trPr>
        <w:tc>
          <w:tcPr>
            <w:tcW w:w="2268" w:type="dxa"/>
            <w:tcBorders>
              <w:bottom w:val="single" w:sz="4" w:space="0" w:color="auto"/>
            </w:tcBorders>
            <w:shd w:val="clear" w:color="auto" w:fill="auto"/>
            <w:vAlign w:val="bottom"/>
            <w:hideMark/>
          </w:tcPr>
          <w:p w14:paraId="576BC6AE" w14:textId="77777777" w:rsidR="006F1F97" w:rsidRPr="0021759B" w:rsidRDefault="006F1F97" w:rsidP="004E092E">
            <w:pPr>
              <w:rPr>
                <w:rFonts w:ascii="Times New Roman" w:eastAsia="Times New Roman" w:hAnsi="Times New Roman" w:cs="Times New Roman"/>
                <w:color w:val="auto"/>
                <w:sz w:val="24"/>
                <w:szCs w:val="24"/>
                <w:lang w:eastAsia="en-AU"/>
              </w:rPr>
            </w:pPr>
            <w:r w:rsidRPr="0021759B">
              <w:rPr>
                <w:rFonts w:ascii="Calibri" w:eastAsia="Times New Roman" w:hAnsi="Calibri" w:cs="Calibri"/>
                <w:lang w:eastAsia="en-AU"/>
              </w:rPr>
              <w:t>R&amp;D Expenditure (</w:t>
            </w:r>
            <w:r w:rsidRPr="0021759B">
              <w:rPr>
                <w:rFonts w:ascii="Calibri" w:eastAsia="Times New Roman" w:hAnsi="Calibri" w:cs="Calibri"/>
                <w:b/>
                <w:lang w:eastAsia="en-AU"/>
              </w:rPr>
              <w:t>million</w:t>
            </w:r>
            <w:r w:rsidRPr="0021759B">
              <w:rPr>
                <w:rFonts w:ascii="Calibri" w:eastAsia="Times New Roman" w:hAnsi="Calibri" w:cs="Calibri"/>
                <w:lang w:eastAsia="en-AU"/>
              </w:rPr>
              <w:t>)</w:t>
            </w:r>
            <w:r w:rsidRPr="0021759B">
              <w:rPr>
                <w:rFonts w:ascii="Calibri" w:eastAsia="Times New Roman" w:hAnsi="Calibri" w:cs="Calibri"/>
                <w:color w:val="auto"/>
                <w:lang w:eastAsia="en-AU"/>
              </w:rPr>
              <w:t> </w:t>
            </w:r>
          </w:p>
        </w:tc>
        <w:tc>
          <w:tcPr>
            <w:tcW w:w="1560" w:type="dxa"/>
            <w:tcBorders>
              <w:bottom w:val="single" w:sz="4" w:space="0" w:color="auto"/>
            </w:tcBorders>
            <w:shd w:val="clear" w:color="auto" w:fill="auto"/>
            <w:vAlign w:val="bottom"/>
            <w:hideMark/>
          </w:tcPr>
          <w:p w14:paraId="5CB1DF8B" w14:textId="77777777" w:rsidR="006F1F97" w:rsidRPr="0021759B" w:rsidRDefault="006F1F97" w:rsidP="004E092E">
            <w:pPr>
              <w:jc w:val="center"/>
              <w:rPr>
                <w:rFonts w:ascii="Times New Roman" w:eastAsia="Times New Roman" w:hAnsi="Times New Roman" w:cs="Times New Roman"/>
                <w:color w:val="auto"/>
                <w:sz w:val="24"/>
                <w:szCs w:val="24"/>
                <w:lang w:eastAsia="en-AU"/>
              </w:rPr>
            </w:pPr>
            <w:r w:rsidRPr="0021759B">
              <w:rPr>
                <w:rFonts w:eastAsia="Times New Roman"/>
                <w:color w:val="000000"/>
                <w:lang w:eastAsia="en-AU"/>
              </w:rPr>
              <w:t>$2,812</w:t>
            </w:r>
          </w:p>
        </w:tc>
        <w:tc>
          <w:tcPr>
            <w:tcW w:w="1842" w:type="dxa"/>
            <w:tcBorders>
              <w:bottom w:val="single" w:sz="4" w:space="0" w:color="auto"/>
            </w:tcBorders>
            <w:shd w:val="clear" w:color="auto" w:fill="auto"/>
            <w:vAlign w:val="bottom"/>
            <w:hideMark/>
          </w:tcPr>
          <w:p w14:paraId="2ED9CBA3" w14:textId="77777777" w:rsidR="006F1F97" w:rsidRPr="00B33AD6" w:rsidRDefault="006F1F97" w:rsidP="004E092E">
            <w:pPr>
              <w:jc w:val="center"/>
              <w:rPr>
                <w:rFonts w:ascii="Times New Roman" w:eastAsia="Times New Roman" w:hAnsi="Times New Roman" w:cs="Times New Roman"/>
                <w:color w:val="auto"/>
                <w:sz w:val="24"/>
                <w:szCs w:val="24"/>
                <w:lang w:eastAsia="en-AU"/>
              </w:rPr>
            </w:pPr>
            <w:r w:rsidRPr="00B33AD6">
              <w:rPr>
                <w:rFonts w:eastAsia="Times New Roman"/>
                <w:color w:val="000000"/>
                <w:lang w:eastAsia="en-AU"/>
              </w:rPr>
              <w:t>$1,345</w:t>
            </w:r>
          </w:p>
        </w:tc>
        <w:tc>
          <w:tcPr>
            <w:tcW w:w="1531" w:type="dxa"/>
            <w:tcBorders>
              <w:bottom w:val="single" w:sz="4" w:space="0" w:color="auto"/>
            </w:tcBorders>
            <w:shd w:val="clear" w:color="auto" w:fill="auto"/>
            <w:vAlign w:val="bottom"/>
          </w:tcPr>
          <w:p w14:paraId="7465F485" w14:textId="77777777" w:rsidR="006F1F97" w:rsidRPr="00B33AD6" w:rsidRDefault="006F1F97" w:rsidP="004E092E">
            <w:pPr>
              <w:jc w:val="center"/>
              <w:rPr>
                <w:rFonts w:ascii="Times New Roman" w:eastAsia="Times New Roman" w:hAnsi="Times New Roman" w:cs="Times New Roman"/>
                <w:color w:val="auto"/>
                <w:sz w:val="24"/>
                <w:szCs w:val="24"/>
                <w:lang w:eastAsia="en-AU"/>
              </w:rPr>
            </w:pPr>
            <w:r w:rsidRPr="00B33AD6">
              <w:rPr>
                <w:rFonts w:eastAsia="Times New Roman"/>
                <w:color w:val="000000"/>
                <w:lang w:eastAsia="en-AU"/>
              </w:rPr>
              <w:t>$98</w:t>
            </w:r>
          </w:p>
        </w:tc>
        <w:tc>
          <w:tcPr>
            <w:tcW w:w="1644" w:type="dxa"/>
            <w:tcBorders>
              <w:bottom w:val="single" w:sz="4" w:space="0" w:color="auto"/>
            </w:tcBorders>
            <w:shd w:val="clear" w:color="auto" w:fill="auto"/>
            <w:vAlign w:val="bottom"/>
          </w:tcPr>
          <w:p w14:paraId="06627706" w14:textId="77777777" w:rsidR="006F1F97" w:rsidRPr="00B33AD6" w:rsidRDefault="006F1F97" w:rsidP="004E092E">
            <w:pPr>
              <w:jc w:val="center"/>
              <w:rPr>
                <w:rFonts w:ascii="Calibri" w:eastAsia="Times New Roman" w:hAnsi="Calibri" w:cs="Calibri"/>
                <w:lang w:eastAsia="en-AU"/>
              </w:rPr>
            </w:pPr>
            <w:r w:rsidRPr="00B33AD6">
              <w:rPr>
                <w:rFonts w:eastAsia="Times New Roman"/>
                <w:color w:val="000000"/>
                <w:lang w:eastAsia="en-AU"/>
              </w:rPr>
              <w:t>$138</w:t>
            </w:r>
          </w:p>
        </w:tc>
        <w:tc>
          <w:tcPr>
            <w:tcW w:w="1645" w:type="dxa"/>
            <w:tcBorders>
              <w:bottom w:val="single" w:sz="4" w:space="0" w:color="auto"/>
            </w:tcBorders>
            <w:shd w:val="clear" w:color="auto" w:fill="auto"/>
            <w:vAlign w:val="bottom"/>
            <w:hideMark/>
          </w:tcPr>
          <w:p w14:paraId="0A7CD974" w14:textId="77777777" w:rsidR="006F1F97" w:rsidRPr="00B33AD6" w:rsidRDefault="006F1F97" w:rsidP="004E092E">
            <w:pPr>
              <w:jc w:val="center"/>
              <w:rPr>
                <w:rFonts w:ascii="Times New Roman" w:eastAsia="Times New Roman" w:hAnsi="Times New Roman" w:cs="Times New Roman"/>
                <w:color w:val="auto"/>
                <w:sz w:val="24"/>
                <w:szCs w:val="24"/>
                <w:lang w:eastAsia="en-AU"/>
              </w:rPr>
            </w:pPr>
            <w:r w:rsidRPr="00B33AD6">
              <w:rPr>
                <w:rFonts w:eastAsia="Times New Roman"/>
                <w:color w:val="000000"/>
                <w:lang w:eastAsia="en-AU"/>
              </w:rPr>
              <w:t>$168</w:t>
            </w:r>
          </w:p>
        </w:tc>
      </w:tr>
    </w:tbl>
    <w:p w14:paraId="3DCA05C8" w14:textId="77777777" w:rsidR="006F1F97" w:rsidRPr="0021759B" w:rsidRDefault="006F1F97" w:rsidP="006F1F97">
      <w:pPr>
        <w:pStyle w:val="Heading5"/>
        <w:rPr>
          <w:i w:val="0"/>
          <w:lang w:eastAsia="en-AU"/>
        </w:rPr>
      </w:pPr>
      <w:r w:rsidRPr="0021759B">
        <w:rPr>
          <w:i w:val="0"/>
          <w:lang w:eastAsia="en-AU"/>
        </w:rPr>
        <w:t xml:space="preserve">Table 7: Comparison by sector – QLD </w:t>
      </w:r>
    </w:p>
    <w:tbl>
      <w:tblPr>
        <w:tblW w:w="10490" w:type="dxa"/>
        <w:tblLayout w:type="fixed"/>
        <w:tblCellMar>
          <w:top w:w="15" w:type="dxa"/>
          <w:left w:w="15" w:type="dxa"/>
          <w:bottom w:w="15" w:type="dxa"/>
          <w:right w:w="15" w:type="dxa"/>
        </w:tblCellMar>
        <w:tblLook w:val="04A0" w:firstRow="1" w:lastRow="0" w:firstColumn="1" w:lastColumn="0" w:noHBand="0" w:noVBand="1"/>
      </w:tblPr>
      <w:tblGrid>
        <w:gridCol w:w="2268"/>
        <w:gridCol w:w="1560"/>
        <w:gridCol w:w="1842"/>
        <w:gridCol w:w="1531"/>
        <w:gridCol w:w="1644"/>
        <w:gridCol w:w="1645"/>
      </w:tblGrid>
      <w:tr w:rsidR="006F1F97" w:rsidRPr="008D5B78" w14:paraId="43229D12" w14:textId="77777777" w:rsidTr="004E092E">
        <w:trPr>
          <w:trHeight w:val="300"/>
        </w:trPr>
        <w:tc>
          <w:tcPr>
            <w:tcW w:w="2268" w:type="dxa"/>
            <w:shd w:val="clear" w:color="auto" w:fill="auto"/>
            <w:vAlign w:val="bottom"/>
            <w:hideMark/>
          </w:tcPr>
          <w:p w14:paraId="0A4CAFF0" w14:textId="77777777" w:rsidR="006F1F97" w:rsidRPr="0021759B" w:rsidRDefault="006F1F97" w:rsidP="004E092E">
            <w:pPr>
              <w:pStyle w:val="TableHeading"/>
              <w:rPr>
                <w:rFonts w:ascii="Times New Roman" w:hAnsi="Times New Roman" w:cs="Times New Roman"/>
                <w:color w:val="auto"/>
                <w:lang w:eastAsia="en-AU"/>
              </w:rPr>
            </w:pPr>
            <w:r w:rsidRPr="0021759B">
              <w:rPr>
                <w:lang w:eastAsia="en-AU"/>
              </w:rPr>
              <w:t>  </w:t>
            </w:r>
            <w:r w:rsidRPr="0021759B">
              <w:rPr>
                <w:color w:val="auto"/>
                <w:lang w:eastAsia="en-AU"/>
              </w:rPr>
              <w:t> </w:t>
            </w:r>
          </w:p>
        </w:tc>
        <w:tc>
          <w:tcPr>
            <w:tcW w:w="1560" w:type="dxa"/>
            <w:shd w:val="clear" w:color="auto" w:fill="auto"/>
            <w:vAlign w:val="center"/>
            <w:hideMark/>
          </w:tcPr>
          <w:p w14:paraId="3B063B57" w14:textId="77777777" w:rsidR="006F1F97" w:rsidRPr="0021759B" w:rsidRDefault="006F1F97" w:rsidP="004E092E">
            <w:pPr>
              <w:pStyle w:val="TableHeading"/>
              <w:jc w:val="center"/>
              <w:rPr>
                <w:rFonts w:ascii="Times New Roman" w:hAnsi="Times New Roman" w:cs="Times New Roman"/>
                <w:color w:val="auto"/>
                <w:lang w:eastAsia="en-AU"/>
              </w:rPr>
            </w:pPr>
            <w:r w:rsidRPr="0021759B">
              <w:rPr>
                <w:lang w:eastAsia="en-AU"/>
              </w:rPr>
              <w:t>Services</w:t>
            </w:r>
          </w:p>
        </w:tc>
        <w:tc>
          <w:tcPr>
            <w:tcW w:w="1842" w:type="dxa"/>
            <w:shd w:val="clear" w:color="auto" w:fill="auto"/>
            <w:vAlign w:val="center"/>
            <w:hideMark/>
          </w:tcPr>
          <w:p w14:paraId="791F5870" w14:textId="77777777" w:rsidR="006F1F97" w:rsidRPr="0021759B" w:rsidRDefault="006F1F97" w:rsidP="004E092E">
            <w:pPr>
              <w:pStyle w:val="TableHeading"/>
              <w:jc w:val="center"/>
              <w:rPr>
                <w:rFonts w:ascii="Times New Roman" w:hAnsi="Times New Roman" w:cs="Times New Roman"/>
                <w:color w:val="auto"/>
                <w:lang w:eastAsia="en-AU"/>
              </w:rPr>
            </w:pPr>
            <w:r w:rsidRPr="0021759B">
              <w:rPr>
                <w:lang w:eastAsia="en-AU"/>
              </w:rPr>
              <w:t>Manufacturing</w:t>
            </w:r>
          </w:p>
        </w:tc>
        <w:tc>
          <w:tcPr>
            <w:tcW w:w="1531" w:type="dxa"/>
            <w:shd w:val="clear" w:color="auto" w:fill="auto"/>
            <w:vAlign w:val="center"/>
          </w:tcPr>
          <w:p w14:paraId="4290A6BD" w14:textId="77777777" w:rsidR="006F1F97" w:rsidRPr="0021759B" w:rsidRDefault="006F1F97" w:rsidP="004E092E">
            <w:pPr>
              <w:pStyle w:val="TableHeading"/>
              <w:jc w:val="center"/>
              <w:rPr>
                <w:rFonts w:ascii="Times New Roman" w:hAnsi="Times New Roman" w:cs="Times New Roman"/>
                <w:color w:val="auto"/>
                <w:lang w:eastAsia="en-AU"/>
              </w:rPr>
            </w:pPr>
            <w:r w:rsidRPr="0021759B">
              <w:rPr>
                <w:lang w:eastAsia="en-AU"/>
              </w:rPr>
              <w:t>Agriculture</w:t>
            </w:r>
          </w:p>
        </w:tc>
        <w:tc>
          <w:tcPr>
            <w:tcW w:w="1644" w:type="dxa"/>
            <w:shd w:val="clear" w:color="auto" w:fill="auto"/>
            <w:vAlign w:val="center"/>
          </w:tcPr>
          <w:p w14:paraId="425989C9" w14:textId="77777777" w:rsidR="006F1F97" w:rsidRPr="0021759B" w:rsidRDefault="006F1F97" w:rsidP="004E092E">
            <w:pPr>
              <w:pStyle w:val="TableHeading"/>
              <w:jc w:val="center"/>
              <w:rPr>
                <w:lang w:eastAsia="en-AU"/>
              </w:rPr>
            </w:pPr>
            <w:r w:rsidRPr="0021759B">
              <w:rPr>
                <w:lang w:eastAsia="en-AU"/>
              </w:rPr>
              <w:t>Mining</w:t>
            </w:r>
          </w:p>
        </w:tc>
        <w:tc>
          <w:tcPr>
            <w:tcW w:w="1645" w:type="dxa"/>
            <w:shd w:val="clear" w:color="auto" w:fill="auto"/>
            <w:vAlign w:val="center"/>
            <w:hideMark/>
          </w:tcPr>
          <w:p w14:paraId="0007B7CB" w14:textId="77777777" w:rsidR="006F1F97" w:rsidRPr="0021759B" w:rsidRDefault="006F1F97" w:rsidP="004E092E">
            <w:pPr>
              <w:pStyle w:val="TableHeading"/>
              <w:jc w:val="center"/>
              <w:rPr>
                <w:rFonts w:ascii="Times New Roman" w:hAnsi="Times New Roman" w:cs="Times New Roman"/>
                <w:color w:val="auto"/>
                <w:lang w:eastAsia="en-AU"/>
              </w:rPr>
            </w:pPr>
            <w:r w:rsidRPr="0021759B">
              <w:rPr>
                <w:lang w:eastAsia="en-AU"/>
              </w:rPr>
              <w:t>E,G,W &amp; WS*</w:t>
            </w:r>
          </w:p>
        </w:tc>
      </w:tr>
      <w:tr w:rsidR="006F1F97" w:rsidRPr="008D5B78" w14:paraId="522EF0E4" w14:textId="77777777" w:rsidTr="004E092E">
        <w:trPr>
          <w:trHeight w:val="300"/>
        </w:trPr>
        <w:tc>
          <w:tcPr>
            <w:tcW w:w="2268" w:type="dxa"/>
            <w:shd w:val="clear" w:color="auto" w:fill="auto"/>
            <w:vAlign w:val="bottom"/>
            <w:hideMark/>
          </w:tcPr>
          <w:p w14:paraId="21F08978" w14:textId="77777777" w:rsidR="006F1F97" w:rsidRPr="0021759B" w:rsidRDefault="006F1F97" w:rsidP="004E092E">
            <w:pPr>
              <w:rPr>
                <w:rFonts w:ascii="Times New Roman" w:eastAsia="Times New Roman" w:hAnsi="Times New Roman" w:cs="Times New Roman"/>
                <w:color w:val="auto"/>
                <w:sz w:val="24"/>
                <w:szCs w:val="24"/>
                <w:lang w:eastAsia="en-AU"/>
              </w:rPr>
            </w:pPr>
            <w:r w:rsidRPr="0021759B">
              <w:rPr>
                <w:rFonts w:ascii="Calibri" w:eastAsia="Times New Roman" w:hAnsi="Calibri" w:cs="Calibri"/>
                <w:lang w:eastAsia="en-AU"/>
              </w:rPr>
              <w:t>Number of Registrations</w:t>
            </w:r>
            <w:r w:rsidRPr="0021759B">
              <w:rPr>
                <w:rFonts w:ascii="Calibri" w:eastAsia="Times New Roman" w:hAnsi="Calibri" w:cs="Calibri"/>
                <w:color w:val="auto"/>
                <w:lang w:eastAsia="en-AU"/>
              </w:rPr>
              <w:t> </w:t>
            </w:r>
          </w:p>
        </w:tc>
        <w:tc>
          <w:tcPr>
            <w:tcW w:w="1560" w:type="dxa"/>
            <w:shd w:val="clear" w:color="auto" w:fill="auto"/>
            <w:vAlign w:val="bottom"/>
            <w:hideMark/>
          </w:tcPr>
          <w:p w14:paraId="23D67E1D" w14:textId="77777777" w:rsidR="006F1F97" w:rsidRPr="0021759B" w:rsidRDefault="006F1F97" w:rsidP="004E092E">
            <w:pPr>
              <w:jc w:val="center"/>
              <w:rPr>
                <w:rFonts w:ascii="Times New Roman" w:eastAsia="Times New Roman" w:hAnsi="Times New Roman" w:cs="Times New Roman"/>
                <w:color w:val="auto"/>
                <w:sz w:val="24"/>
                <w:szCs w:val="24"/>
                <w:lang w:eastAsia="en-AU"/>
              </w:rPr>
            </w:pPr>
            <w:r w:rsidRPr="0021759B">
              <w:rPr>
                <w:rFonts w:eastAsia="Times New Roman"/>
                <w:color w:val="000000"/>
                <w:lang w:eastAsia="en-AU"/>
              </w:rPr>
              <w:t xml:space="preserve">1,283 </w:t>
            </w:r>
          </w:p>
        </w:tc>
        <w:tc>
          <w:tcPr>
            <w:tcW w:w="1842" w:type="dxa"/>
            <w:shd w:val="clear" w:color="auto" w:fill="auto"/>
            <w:vAlign w:val="bottom"/>
            <w:hideMark/>
          </w:tcPr>
          <w:p w14:paraId="76B0D6E1" w14:textId="77777777" w:rsidR="006F1F97" w:rsidRPr="003759F3" w:rsidRDefault="006F1F97" w:rsidP="004E092E">
            <w:pPr>
              <w:jc w:val="center"/>
              <w:rPr>
                <w:rFonts w:ascii="Times New Roman" w:eastAsia="Times New Roman" w:hAnsi="Times New Roman" w:cs="Times New Roman"/>
                <w:color w:val="auto"/>
                <w:sz w:val="24"/>
                <w:szCs w:val="24"/>
                <w:lang w:eastAsia="en-AU"/>
              </w:rPr>
            </w:pPr>
            <w:r w:rsidRPr="003759F3">
              <w:rPr>
                <w:rFonts w:eastAsia="Times New Roman"/>
                <w:color w:val="000000"/>
                <w:lang w:eastAsia="en-AU"/>
              </w:rPr>
              <w:t xml:space="preserve">710 </w:t>
            </w:r>
          </w:p>
        </w:tc>
        <w:tc>
          <w:tcPr>
            <w:tcW w:w="1531" w:type="dxa"/>
            <w:shd w:val="clear" w:color="auto" w:fill="auto"/>
            <w:vAlign w:val="bottom"/>
          </w:tcPr>
          <w:p w14:paraId="7930665A" w14:textId="77777777" w:rsidR="006F1F97" w:rsidRPr="003759F3" w:rsidRDefault="006F1F97" w:rsidP="004E092E">
            <w:pPr>
              <w:jc w:val="center"/>
              <w:rPr>
                <w:rFonts w:ascii="Times New Roman" w:eastAsia="Times New Roman" w:hAnsi="Times New Roman" w:cs="Times New Roman"/>
                <w:color w:val="auto"/>
                <w:sz w:val="24"/>
                <w:szCs w:val="24"/>
                <w:lang w:eastAsia="en-AU"/>
              </w:rPr>
            </w:pPr>
            <w:r w:rsidRPr="003759F3">
              <w:rPr>
                <w:rFonts w:eastAsia="Times New Roman"/>
                <w:color w:val="000000"/>
                <w:lang w:eastAsia="en-AU"/>
              </w:rPr>
              <w:t xml:space="preserve">129 </w:t>
            </w:r>
          </w:p>
        </w:tc>
        <w:tc>
          <w:tcPr>
            <w:tcW w:w="1644" w:type="dxa"/>
            <w:shd w:val="clear" w:color="auto" w:fill="auto"/>
            <w:vAlign w:val="bottom"/>
          </w:tcPr>
          <w:p w14:paraId="50D38B32" w14:textId="77777777" w:rsidR="006F1F97" w:rsidRPr="003759F3" w:rsidRDefault="006F1F97" w:rsidP="004E092E">
            <w:pPr>
              <w:jc w:val="center"/>
              <w:rPr>
                <w:rFonts w:ascii="Calibri" w:eastAsia="Times New Roman" w:hAnsi="Calibri" w:cs="Calibri"/>
                <w:lang w:eastAsia="en-AU"/>
              </w:rPr>
            </w:pPr>
            <w:r w:rsidRPr="003759F3">
              <w:rPr>
                <w:rFonts w:eastAsia="Times New Roman"/>
                <w:color w:val="000000"/>
                <w:lang w:eastAsia="en-AU"/>
              </w:rPr>
              <w:t xml:space="preserve">85 </w:t>
            </w:r>
          </w:p>
        </w:tc>
        <w:tc>
          <w:tcPr>
            <w:tcW w:w="1645" w:type="dxa"/>
            <w:shd w:val="clear" w:color="auto" w:fill="auto"/>
            <w:vAlign w:val="bottom"/>
            <w:hideMark/>
          </w:tcPr>
          <w:p w14:paraId="5E8FEAC8" w14:textId="77777777" w:rsidR="006F1F97" w:rsidRPr="003759F3" w:rsidRDefault="006F1F97" w:rsidP="004E092E">
            <w:pPr>
              <w:jc w:val="center"/>
              <w:rPr>
                <w:rFonts w:ascii="Times New Roman" w:eastAsia="Times New Roman" w:hAnsi="Times New Roman" w:cs="Times New Roman"/>
                <w:color w:val="auto"/>
                <w:sz w:val="24"/>
                <w:szCs w:val="24"/>
                <w:lang w:eastAsia="en-AU"/>
              </w:rPr>
            </w:pPr>
            <w:r w:rsidRPr="003759F3">
              <w:rPr>
                <w:rFonts w:eastAsia="Times New Roman"/>
                <w:color w:val="000000"/>
                <w:lang w:eastAsia="en-AU"/>
              </w:rPr>
              <w:t xml:space="preserve">42 </w:t>
            </w:r>
          </w:p>
        </w:tc>
      </w:tr>
      <w:tr w:rsidR="006F1F97" w:rsidRPr="008D5B78" w14:paraId="458246FA" w14:textId="77777777" w:rsidTr="004E092E">
        <w:trPr>
          <w:trHeight w:val="300"/>
        </w:trPr>
        <w:tc>
          <w:tcPr>
            <w:tcW w:w="2268" w:type="dxa"/>
            <w:tcBorders>
              <w:bottom w:val="single" w:sz="4" w:space="0" w:color="auto"/>
            </w:tcBorders>
            <w:shd w:val="clear" w:color="auto" w:fill="auto"/>
            <w:vAlign w:val="bottom"/>
            <w:hideMark/>
          </w:tcPr>
          <w:p w14:paraId="6DDC4CCB" w14:textId="77777777" w:rsidR="006F1F97" w:rsidRPr="0021759B" w:rsidRDefault="006F1F97" w:rsidP="004E092E">
            <w:pPr>
              <w:rPr>
                <w:rFonts w:ascii="Times New Roman" w:eastAsia="Times New Roman" w:hAnsi="Times New Roman" w:cs="Times New Roman"/>
                <w:color w:val="auto"/>
                <w:sz w:val="24"/>
                <w:szCs w:val="24"/>
                <w:lang w:eastAsia="en-AU"/>
              </w:rPr>
            </w:pPr>
            <w:r w:rsidRPr="0021759B">
              <w:rPr>
                <w:rFonts w:ascii="Calibri" w:eastAsia="Times New Roman" w:hAnsi="Calibri" w:cs="Calibri"/>
                <w:lang w:eastAsia="en-AU"/>
              </w:rPr>
              <w:t>R&amp;D Expenditure (</w:t>
            </w:r>
            <w:r w:rsidRPr="0021759B">
              <w:rPr>
                <w:rFonts w:ascii="Calibri" w:eastAsia="Times New Roman" w:hAnsi="Calibri" w:cs="Calibri"/>
                <w:b/>
                <w:lang w:eastAsia="en-AU"/>
              </w:rPr>
              <w:t>million</w:t>
            </w:r>
            <w:r w:rsidRPr="0021759B">
              <w:rPr>
                <w:rFonts w:ascii="Calibri" w:eastAsia="Times New Roman" w:hAnsi="Calibri" w:cs="Calibri"/>
                <w:lang w:eastAsia="en-AU"/>
              </w:rPr>
              <w:t>)</w:t>
            </w:r>
            <w:r w:rsidRPr="0021759B">
              <w:rPr>
                <w:rFonts w:ascii="Calibri" w:eastAsia="Times New Roman" w:hAnsi="Calibri" w:cs="Calibri"/>
                <w:color w:val="auto"/>
                <w:lang w:eastAsia="en-AU"/>
              </w:rPr>
              <w:t> </w:t>
            </w:r>
          </w:p>
        </w:tc>
        <w:tc>
          <w:tcPr>
            <w:tcW w:w="1560" w:type="dxa"/>
            <w:tcBorders>
              <w:bottom w:val="single" w:sz="4" w:space="0" w:color="auto"/>
            </w:tcBorders>
            <w:shd w:val="clear" w:color="auto" w:fill="auto"/>
            <w:vAlign w:val="bottom"/>
            <w:hideMark/>
          </w:tcPr>
          <w:p w14:paraId="377AEC27" w14:textId="77777777" w:rsidR="006F1F97" w:rsidRPr="0021759B" w:rsidRDefault="006F1F97" w:rsidP="004E092E">
            <w:pPr>
              <w:jc w:val="center"/>
              <w:rPr>
                <w:rFonts w:ascii="Times New Roman" w:eastAsia="Times New Roman" w:hAnsi="Times New Roman" w:cs="Times New Roman"/>
                <w:color w:val="auto"/>
                <w:sz w:val="24"/>
                <w:szCs w:val="24"/>
                <w:lang w:eastAsia="en-AU"/>
              </w:rPr>
            </w:pPr>
            <w:r w:rsidRPr="0021759B">
              <w:rPr>
                <w:rFonts w:eastAsia="Times New Roman"/>
                <w:color w:val="000000"/>
                <w:lang w:eastAsia="en-AU"/>
              </w:rPr>
              <w:t>$920</w:t>
            </w:r>
          </w:p>
        </w:tc>
        <w:tc>
          <w:tcPr>
            <w:tcW w:w="1842" w:type="dxa"/>
            <w:tcBorders>
              <w:bottom w:val="single" w:sz="4" w:space="0" w:color="auto"/>
            </w:tcBorders>
            <w:shd w:val="clear" w:color="auto" w:fill="auto"/>
            <w:vAlign w:val="bottom"/>
            <w:hideMark/>
          </w:tcPr>
          <w:p w14:paraId="01C256EF" w14:textId="77777777" w:rsidR="006F1F97" w:rsidRPr="003759F3" w:rsidRDefault="006F1F97" w:rsidP="004E092E">
            <w:pPr>
              <w:jc w:val="center"/>
              <w:rPr>
                <w:rFonts w:ascii="Times New Roman" w:eastAsia="Times New Roman" w:hAnsi="Times New Roman" w:cs="Times New Roman"/>
                <w:color w:val="auto"/>
                <w:sz w:val="24"/>
                <w:szCs w:val="24"/>
                <w:lang w:eastAsia="en-AU"/>
              </w:rPr>
            </w:pPr>
            <w:r w:rsidRPr="003759F3">
              <w:rPr>
                <w:rFonts w:eastAsia="Times New Roman"/>
                <w:color w:val="000000"/>
                <w:lang w:eastAsia="en-AU"/>
              </w:rPr>
              <w:t>$706</w:t>
            </w:r>
          </w:p>
        </w:tc>
        <w:tc>
          <w:tcPr>
            <w:tcW w:w="1531" w:type="dxa"/>
            <w:tcBorders>
              <w:bottom w:val="single" w:sz="4" w:space="0" w:color="auto"/>
            </w:tcBorders>
            <w:shd w:val="clear" w:color="auto" w:fill="auto"/>
            <w:vAlign w:val="bottom"/>
          </w:tcPr>
          <w:p w14:paraId="178DBC3C" w14:textId="77777777" w:rsidR="006F1F97" w:rsidRPr="003759F3" w:rsidRDefault="006F1F97" w:rsidP="004E092E">
            <w:pPr>
              <w:jc w:val="center"/>
              <w:rPr>
                <w:rFonts w:ascii="Times New Roman" w:eastAsia="Times New Roman" w:hAnsi="Times New Roman" w:cs="Times New Roman"/>
                <w:color w:val="auto"/>
                <w:sz w:val="24"/>
                <w:szCs w:val="24"/>
                <w:lang w:eastAsia="en-AU"/>
              </w:rPr>
            </w:pPr>
            <w:r w:rsidRPr="003759F3">
              <w:rPr>
                <w:rFonts w:eastAsia="Times New Roman"/>
                <w:color w:val="000000"/>
                <w:lang w:eastAsia="en-AU"/>
              </w:rPr>
              <w:t>$107</w:t>
            </w:r>
          </w:p>
        </w:tc>
        <w:tc>
          <w:tcPr>
            <w:tcW w:w="1644" w:type="dxa"/>
            <w:tcBorders>
              <w:bottom w:val="single" w:sz="4" w:space="0" w:color="auto"/>
            </w:tcBorders>
            <w:shd w:val="clear" w:color="auto" w:fill="auto"/>
            <w:vAlign w:val="bottom"/>
          </w:tcPr>
          <w:p w14:paraId="337B0020" w14:textId="77777777" w:rsidR="006F1F97" w:rsidRPr="003759F3" w:rsidRDefault="006F1F97" w:rsidP="004E092E">
            <w:pPr>
              <w:jc w:val="center"/>
              <w:rPr>
                <w:rFonts w:ascii="Calibri" w:eastAsia="Times New Roman" w:hAnsi="Calibri" w:cs="Calibri"/>
                <w:lang w:eastAsia="en-AU"/>
              </w:rPr>
            </w:pPr>
            <w:r w:rsidRPr="003759F3">
              <w:rPr>
                <w:rFonts w:eastAsia="Times New Roman"/>
                <w:color w:val="000000"/>
                <w:lang w:eastAsia="en-AU"/>
              </w:rPr>
              <w:t>$149</w:t>
            </w:r>
          </w:p>
        </w:tc>
        <w:tc>
          <w:tcPr>
            <w:tcW w:w="1645" w:type="dxa"/>
            <w:tcBorders>
              <w:bottom w:val="single" w:sz="4" w:space="0" w:color="auto"/>
            </w:tcBorders>
            <w:shd w:val="clear" w:color="auto" w:fill="auto"/>
            <w:vAlign w:val="bottom"/>
            <w:hideMark/>
          </w:tcPr>
          <w:p w14:paraId="10C08A31" w14:textId="77777777" w:rsidR="006F1F97" w:rsidRPr="003759F3" w:rsidRDefault="006F1F97" w:rsidP="004E092E">
            <w:pPr>
              <w:jc w:val="center"/>
              <w:rPr>
                <w:rFonts w:ascii="Times New Roman" w:eastAsia="Times New Roman" w:hAnsi="Times New Roman" w:cs="Times New Roman"/>
                <w:color w:val="auto"/>
                <w:sz w:val="24"/>
                <w:szCs w:val="24"/>
                <w:lang w:eastAsia="en-AU"/>
              </w:rPr>
            </w:pPr>
            <w:r w:rsidRPr="003759F3">
              <w:rPr>
                <w:rFonts w:eastAsia="Times New Roman"/>
                <w:color w:val="000000"/>
                <w:lang w:eastAsia="en-AU"/>
              </w:rPr>
              <w:t>$29</w:t>
            </w:r>
          </w:p>
        </w:tc>
      </w:tr>
    </w:tbl>
    <w:p w14:paraId="31E9C21B" w14:textId="77777777" w:rsidR="006F1F97" w:rsidRPr="0021759B" w:rsidRDefault="006F1F97" w:rsidP="006F1F97">
      <w:pPr>
        <w:pStyle w:val="Heading5"/>
        <w:rPr>
          <w:i w:val="0"/>
          <w:lang w:eastAsia="en-AU"/>
        </w:rPr>
      </w:pPr>
      <w:r w:rsidRPr="0021759B">
        <w:rPr>
          <w:i w:val="0"/>
          <w:lang w:eastAsia="en-AU"/>
        </w:rPr>
        <w:lastRenderedPageBreak/>
        <w:t xml:space="preserve">Table 8: Comparison by sector – WA </w:t>
      </w:r>
    </w:p>
    <w:tbl>
      <w:tblPr>
        <w:tblW w:w="10490" w:type="dxa"/>
        <w:tblLayout w:type="fixed"/>
        <w:tblCellMar>
          <w:top w:w="15" w:type="dxa"/>
          <w:left w:w="15" w:type="dxa"/>
          <w:bottom w:w="15" w:type="dxa"/>
          <w:right w:w="15" w:type="dxa"/>
        </w:tblCellMar>
        <w:tblLook w:val="04A0" w:firstRow="1" w:lastRow="0" w:firstColumn="1" w:lastColumn="0" w:noHBand="0" w:noVBand="1"/>
      </w:tblPr>
      <w:tblGrid>
        <w:gridCol w:w="2268"/>
        <w:gridCol w:w="1560"/>
        <w:gridCol w:w="1842"/>
        <w:gridCol w:w="1531"/>
        <w:gridCol w:w="1644"/>
        <w:gridCol w:w="1645"/>
      </w:tblGrid>
      <w:tr w:rsidR="006F1F97" w:rsidRPr="008D5B78" w14:paraId="0031324F" w14:textId="77777777" w:rsidTr="004E092E">
        <w:trPr>
          <w:trHeight w:val="300"/>
        </w:trPr>
        <w:tc>
          <w:tcPr>
            <w:tcW w:w="2268" w:type="dxa"/>
            <w:shd w:val="clear" w:color="auto" w:fill="auto"/>
            <w:vAlign w:val="bottom"/>
            <w:hideMark/>
          </w:tcPr>
          <w:p w14:paraId="6FC8651D" w14:textId="77777777" w:rsidR="006F1F97" w:rsidRPr="0021759B" w:rsidRDefault="006F1F97" w:rsidP="004E092E">
            <w:pPr>
              <w:pStyle w:val="TableHeading"/>
              <w:rPr>
                <w:rFonts w:ascii="Times New Roman" w:hAnsi="Times New Roman" w:cs="Times New Roman"/>
                <w:color w:val="auto"/>
                <w:lang w:eastAsia="en-AU"/>
              </w:rPr>
            </w:pPr>
            <w:r w:rsidRPr="0021759B">
              <w:rPr>
                <w:lang w:eastAsia="en-AU"/>
              </w:rPr>
              <w:t>  </w:t>
            </w:r>
            <w:r w:rsidRPr="0021759B">
              <w:rPr>
                <w:color w:val="auto"/>
                <w:lang w:eastAsia="en-AU"/>
              </w:rPr>
              <w:t> </w:t>
            </w:r>
          </w:p>
        </w:tc>
        <w:tc>
          <w:tcPr>
            <w:tcW w:w="1560" w:type="dxa"/>
            <w:shd w:val="clear" w:color="auto" w:fill="auto"/>
            <w:vAlign w:val="center"/>
            <w:hideMark/>
          </w:tcPr>
          <w:p w14:paraId="75DC0B88" w14:textId="77777777" w:rsidR="006F1F97" w:rsidRPr="0021759B" w:rsidRDefault="006F1F97" w:rsidP="004E092E">
            <w:pPr>
              <w:pStyle w:val="TableHeading"/>
              <w:jc w:val="center"/>
              <w:rPr>
                <w:rFonts w:ascii="Times New Roman" w:hAnsi="Times New Roman" w:cs="Times New Roman"/>
                <w:color w:val="auto"/>
                <w:lang w:eastAsia="en-AU"/>
              </w:rPr>
            </w:pPr>
            <w:r w:rsidRPr="0021759B">
              <w:rPr>
                <w:lang w:eastAsia="en-AU"/>
              </w:rPr>
              <w:t>Services</w:t>
            </w:r>
          </w:p>
        </w:tc>
        <w:tc>
          <w:tcPr>
            <w:tcW w:w="1842" w:type="dxa"/>
            <w:shd w:val="clear" w:color="auto" w:fill="auto"/>
            <w:vAlign w:val="center"/>
            <w:hideMark/>
          </w:tcPr>
          <w:p w14:paraId="15B3664E" w14:textId="77777777" w:rsidR="006F1F97" w:rsidRPr="0021759B" w:rsidRDefault="006F1F97" w:rsidP="004E092E">
            <w:pPr>
              <w:pStyle w:val="TableHeading"/>
              <w:jc w:val="center"/>
              <w:rPr>
                <w:rFonts w:ascii="Times New Roman" w:hAnsi="Times New Roman" w:cs="Times New Roman"/>
                <w:color w:val="auto"/>
                <w:lang w:eastAsia="en-AU"/>
              </w:rPr>
            </w:pPr>
            <w:r w:rsidRPr="0021759B">
              <w:rPr>
                <w:lang w:eastAsia="en-AU"/>
              </w:rPr>
              <w:t>Manufacturing</w:t>
            </w:r>
          </w:p>
        </w:tc>
        <w:tc>
          <w:tcPr>
            <w:tcW w:w="1531" w:type="dxa"/>
            <w:shd w:val="clear" w:color="auto" w:fill="auto"/>
            <w:vAlign w:val="center"/>
          </w:tcPr>
          <w:p w14:paraId="1E688898" w14:textId="77777777" w:rsidR="006F1F97" w:rsidRPr="0021759B" w:rsidRDefault="006F1F97" w:rsidP="004E092E">
            <w:pPr>
              <w:pStyle w:val="TableHeading"/>
              <w:jc w:val="center"/>
              <w:rPr>
                <w:rFonts w:ascii="Times New Roman" w:hAnsi="Times New Roman" w:cs="Times New Roman"/>
                <w:color w:val="auto"/>
                <w:lang w:eastAsia="en-AU"/>
              </w:rPr>
            </w:pPr>
            <w:r w:rsidRPr="0021759B">
              <w:rPr>
                <w:lang w:eastAsia="en-AU"/>
              </w:rPr>
              <w:t>Agriculture</w:t>
            </w:r>
          </w:p>
        </w:tc>
        <w:tc>
          <w:tcPr>
            <w:tcW w:w="1644" w:type="dxa"/>
            <w:shd w:val="clear" w:color="auto" w:fill="auto"/>
            <w:vAlign w:val="center"/>
          </w:tcPr>
          <w:p w14:paraId="2B4CE2EC" w14:textId="77777777" w:rsidR="006F1F97" w:rsidRPr="0021759B" w:rsidRDefault="006F1F97" w:rsidP="004E092E">
            <w:pPr>
              <w:pStyle w:val="TableHeading"/>
              <w:jc w:val="center"/>
              <w:rPr>
                <w:lang w:eastAsia="en-AU"/>
              </w:rPr>
            </w:pPr>
            <w:r w:rsidRPr="0021759B">
              <w:rPr>
                <w:lang w:eastAsia="en-AU"/>
              </w:rPr>
              <w:t>Mining</w:t>
            </w:r>
          </w:p>
        </w:tc>
        <w:tc>
          <w:tcPr>
            <w:tcW w:w="1645" w:type="dxa"/>
            <w:shd w:val="clear" w:color="auto" w:fill="auto"/>
            <w:vAlign w:val="center"/>
            <w:hideMark/>
          </w:tcPr>
          <w:p w14:paraId="3FAA37F3" w14:textId="77777777" w:rsidR="006F1F97" w:rsidRPr="0021759B" w:rsidRDefault="006F1F97" w:rsidP="004E092E">
            <w:pPr>
              <w:pStyle w:val="TableHeading"/>
              <w:jc w:val="center"/>
              <w:rPr>
                <w:rFonts w:ascii="Times New Roman" w:hAnsi="Times New Roman" w:cs="Times New Roman"/>
                <w:color w:val="auto"/>
                <w:lang w:eastAsia="en-AU"/>
              </w:rPr>
            </w:pPr>
            <w:r w:rsidRPr="0021759B">
              <w:rPr>
                <w:lang w:eastAsia="en-AU"/>
              </w:rPr>
              <w:t>E,G,W &amp; WS*</w:t>
            </w:r>
          </w:p>
        </w:tc>
      </w:tr>
      <w:tr w:rsidR="006F1F97" w:rsidRPr="008D5B78" w14:paraId="42A081BC" w14:textId="77777777" w:rsidTr="004E092E">
        <w:trPr>
          <w:trHeight w:val="300"/>
        </w:trPr>
        <w:tc>
          <w:tcPr>
            <w:tcW w:w="2268" w:type="dxa"/>
            <w:shd w:val="clear" w:color="auto" w:fill="auto"/>
            <w:vAlign w:val="bottom"/>
            <w:hideMark/>
          </w:tcPr>
          <w:p w14:paraId="7A63A9AF" w14:textId="77777777" w:rsidR="006F1F97" w:rsidRPr="0073449E" w:rsidRDefault="006F1F97" w:rsidP="004E092E">
            <w:pPr>
              <w:rPr>
                <w:rFonts w:ascii="Times New Roman" w:eastAsia="Times New Roman" w:hAnsi="Times New Roman" w:cs="Times New Roman"/>
                <w:color w:val="auto"/>
                <w:sz w:val="24"/>
                <w:szCs w:val="24"/>
                <w:lang w:eastAsia="en-AU"/>
              </w:rPr>
            </w:pPr>
            <w:r w:rsidRPr="0073449E">
              <w:rPr>
                <w:rFonts w:ascii="Calibri" w:eastAsia="Times New Roman" w:hAnsi="Calibri" w:cs="Calibri"/>
                <w:lang w:eastAsia="en-AU"/>
              </w:rPr>
              <w:t>Number of Registrations</w:t>
            </w:r>
            <w:r w:rsidRPr="0073449E">
              <w:rPr>
                <w:rFonts w:ascii="Calibri" w:eastAsia="Times New Roman" w:hAnsi="Calibri" w:cs="Calibri"/>
                <w:color w:val="auto"/>
                <w:lang w:eastAsia="en-AU"/>
              </w:rPr>
              <w:t> </w:t>
            </w:r>
          </w:p>
        </w:tc>
        <w:tc>
          <w:tcPr>
            <w:tcW w:w="1560" w:type="dxa"/>
            <w:shd w:val="clear" w:color="auto" w:fill="auto"/>
            <w:vAlign w:val="bottom"/>
            <w:hideMark/>
          </w:tcPr>
          <w:p w14:paraId="5C718620" w14:textId="77777777" w:rsidR="006F1F97" w:rsidRPr="0073449E" w:rsidRDefault="006F1F97" w:rsidP="004E092E">
            <w:pPr>
              <w:jc w:val="center"/>
              <w:rPr>
                <w:rFonts w:ascii="Times New Roman" w:eastAsia="Times New Roman" w:hAnsi="Times New Roman" w:cs="Times New Roman"/>
                <w:color w:val="auto"/>
                <w:sz w:val="24"/>
                <w:szCs w:val="24"/>
                <w:lang w:eastAsia="en-AU"/>
              </w:rPr>
            </w:pPr>
            <w:r w:rsidRPr="0073449E">
              <w:rPr>
                <w:rFonts w:eastAsia="Times New Roman"/>
                <w:color w:val="000000"/>
                <w:lang w:eastAsia="en-AU"/>
              </w:rPr>
              <w:t xml:space="preserve">684 </w:t>
            </w:r>
          </w:p>
        </w:tc>
        <w:tc>
          <w:tcPr>
            <w:tcW w:w="1842" w:type="dxa"/>
            <w:shd w:val="clear" w:color="auto" w:fill="auto"/>
            <w:vAlign w:val="bottom"/>
            <w:hideMark/>
          </w:tcPr>
          <w:p w14:paraId="0A3362E7" w14:textId="77777777" w:rsidR="006F1F97" w:rsidRPr="0073449E" w:rsidRDefault="006F1F97" w:rsidP="004E092E">
            <w:pPr>
              <w:jc w:val="center"/>
              <w:rPr>
                <w:rFonts w:ascii="Times New Roman" w:eastAsia="Times New Roman" w:hAnsi="Times New Roman" w:cs="Times New Roman"/>
                <w:color w:val="auto"/>
                <w:sz w:val="24"/>
                <w:szCs w:val="24"/>
                <w:lang w:eastAsia="en-AU"/>
              </w:rPr>
            </w:pPr>
            <w:r w:rsidRPr="0073449E">
              <w:rPr>
                <w:rFonts w:eastAsia="Times New Roman"/>
                <w:color w:val="000000"/>
                <w:lang w:eastAsia="en-AU"/>
              </w:rPr>
              <w:t xml:space="preserve">351 </w:t>
            </w:r>
          </w:p>
        </w:tc>
        <w:tc>
          <w:tcPr>
            <w:tcW w:w="1531" w:type="dxa"/>
            <w:shd w:val="clear" w:color="auto" w:fill="auto"/>
            <w:vAlign w:val="bottom"/>
          </w:tcPr>
          <w:p w14:paraId="7065F342" w14:textId="77777777" w:rsidR="006F1F97" w:rsidRPr="0073449E" w:rsidRDefault="006F1F97" w:rsidP="004E092E">
            <w:pPr>
              <w:jc w:val="center"/>
              <w:rPr>
                <w:rFonts w:ascii="Times New Roman" w:eastAsia="Times New Roman" w:hAnsi="Times New Roman" w:cs="Times New Roman"/>
                <w:color w:val="auto"/>
                <w:sz w:val="24"/>
                <w:szCs w:val="24"/>
                <w:lang w:eastAsia="en-AU"/>
              </w:rPr>
            </w:pPr>
            <w:r w:rsidRPr="0073449E">
              <w:rPr>
                <w:rFonts w:eastAsia="Times New Roman"/>
                <w:color w:val="000000"/>
                <w:lang w:eastAsia="en-AU"/>
              </w:rPr>
              <w:t xml:space="preserve">83 </w:t>
            </w:r>
          </w:p>
        </w:tc>
        <w:tc>
          <w:tcPr>
            <w:tcW w:w="1644" w:type="dxa"/>
            <w:shd w:val="clear" w:color="auto" w:fill="auto"/>
            <w:vAlign w:val="bottom"/>
          </w:tcPr>
          <w:p w14:paraId="123225CA" w14:textId="77777777" w:rsidR="006F1F97" w:rsidRPr="0073449E" w:rsidRDefault="006F1F97" w:rsidP="004E092E">
            <w:pPr>
              <w:jc w:val="center"/>
              <w:rPr>
                <w:rFonts w:ascii="Calibri" w:eastAsia="Times New Roman" w:hAnsi="Calibri" w:cs="Calibri"/>
                <w:lang w:eastAsia="en-AU"/>
              </w:rPr>
            </w:pPr>
            <w:r w:rsidRPr="0073449E">
              <w:rPr>
                <w:rFonts w:eastAsia="Times New Roman"/>
                <w:color w:val="000000"/>
                <w:lang w:eastAsia="en-AU"/>
              </w:rPr>
              <w:t xml:space="preserve">219 </w:t>
            </w:r>
          </w:p>
        </w:tc>
        <w:tc>
          <w:tcPr>
            <w:tcW w:w="1645" w:type="dxa"/>
            <w:shd w:val="clear" w:color="auto" w:fill="auto"/>
            <w:vAlign w:val="bottom"/>
            <w:hideMark/>
          </w:tcPr>
          <w:p w14:paraId="28E05EC5" w14:textId="77777777" w:rsidR="006F1F97" w:rsidRPr="0073449E" w:rsidRDefault="006F1F97" w:rsidP="004E092E">
            <w:pPr>
              <w:jc w:val="center"/>
              <w:rPr>
                <w:rFonts w:ascii="Times New Roman" w:eastAsia="Times New Roman" w:hAnsi="Times New Roman" w:cs="Times New Roman"/>
                <w:color w:val="auto"/>
                <w:sz w:val="24"/>
                <w:szCs w:val="24"/>
                <w:lang w:eastAsia="en-AU"/>
              </w:rPr>
            </w:pPr>
            <w:r w:rsidRPr="0073449E">
              <w:rPr>
                <w:rFonts w:eastAsia="Times New Roman"/>
                <w:color w:val="000000"/>
                <w:lang w:eastAsia="en-AU"/>
              </w:rPr>
              <w:t xml:space="preserve">65 </w:t>
            </w:r>
          </w:p>
        </w:tc>
      </w:tr>
      <w:tr w:rsidR="006F1F97" w:rsidRPr="008D5B78" w14:paraId="5848FD93" w14:textId="77777777" w:rsidTr="004E092E">
        <w:trPr>
          <w:trHeight w:val="300"/>
        </w:trPr>
        <w:tc>
          <w:tcPr>
            <w:tcW w:w="2268" w:type="dxa"/>
            <w:tcBorders>
              <w:bottom w:val="single" w:sz="4" w:space="0" w:color="auto"/>
            </w:tcBorders>
            <w:shd w:val="clear" w:color="auto" w:fill="auto"/>
            <w:vAlign w:val="bottom"/>
            <w:hideMark/>
          </w:tcPr>
          <w:p w14:paraId="229DDECB" w14:textId="77777777" w:rsidR="006F1F97" w:rsidRPr="0073449E" w:rsidRDefault="006F1F97" w:rsidP="004E092E">
            <w:pPr>
              <w:rPr>
                <w:rFonts w:ascii="Times New Roman" w:eastAsia="Times New Roman" w:hAnsi="Times New Roman" w:cs="Times New Roman"/>
                <w:color w:val="auto"/>
                <w:sz w:val="24"/>
                <w:szCs w:val="24"/>
                <w:lang w:eastAsia="en-AU"/>
              </w:rPr>
            </w:pPr>
            <w:r w:rsidRPr="0073449E">
              <w:rPr>
                <w:rFonts w:ascii="Calibri" w:eastAsia="Times New Roman" w:hAnsi="Calibri" w:cs="Calibri"/>
                <w:lang w:eastAsia="en-AU"/>
              </w:rPr>
              <w:t>R&amp;D Expenditure (</w:t>
            </w:r>
            <w:r w:rsidRPr="0073449E">
              <w:rPr>
                <w:rFonts w:ascii="Calibri" w:eastAsia="Times New Roman" w:hAnsi="Calibri" w:cs="Calibri"/>
                <w:b/>
                <w:lang w:eastAsia="en-AU"/>
              </w:rPr>
              <w:t>million</w:t>
            </w:r>
            <w:r w:rsidRPr="0073449E">
              <w:rPr>
                <w:rFonts w:ascii="Calibri" w:eastAsia="Times New Roman" w:hAnsi="Calibri" w:cs="Calibri"/>
                <w:lang w:eastAsia="en-AU"/>
              </w:rPr>
              <w:t>)</w:t>
            </w:r>
            <w:r w:rsidRPr="0073449E">
              <w:rPr>
                <w:rFonts w:ascii="Calibri" w:eastAsia="Times New Roman" w:hAnsi="Calibri" w:cs="Calibri"/>
                <w:color w:val="auto"/>
                <w:lang w:eastAsia="en-AU"/>
              </w:rPr>
              <w:t> </w:t>
            </w:r>
          </w:p>
        </w:tc>
        <w:tc>
          <w:tcPr>
            <w:tcW w:w="1560" w:type="dxa"/>
            <w:tcBorders>
              <w:bottom w:val="single" w:sz="4" w:space="0" w:color="auto"/>
            </w:tcBorders>
            <w:shd w:val="clear" w:color="auto" w:fill="auto"/>
            <w:vAlign w:val="bottom"/>
            <w:hideMark/>
          </w:tcPr>
          <w:p w14:paraId="1D78CEE4" w14:textId="77777777" w:rsidR="006F1F97" w:rsidRPr="0073449E" w:rsidRDefault="006F1F97" w:rsidP="004E092E">
            <w:pPr>
              <w:jc w:val="center"/>
              <w:rPr>
                <w:rFonts w:ascii="Times New Roman" w:eastAsia="Times New Roman" w:hAnsi="Times New Roman" w:cs="Times New Roman"/>
                <w:color w:val="auto"/>
                <w:sz w:val="24"/>
                <w:szCs w:val="24"/>
                <w:lang w:eastAsia="en-AU"/>
              </w:rPr>
            </w:pPr>
            <w:r w:rsidRPr="0073449E">
              <w:rPr>
                <w:rFonts w:eastAsia="Times New Roman"/>
                <w:color w:val="000000"/>
                <w:lang w:eastAsia="en-AU"/>
              </w:rPr>
              <w:t>$</w:t>
            </w:r>
            <w:r>
              <w:rPr>
                <w:rFonts w:eastAsia="Times New Roman"/>
                <w:color w:val="000000"/>
                <w:lang w:eastAsia="en-AU"/>
              </w:rPr>
              <w:t>584</w:t>
            </w:r>
          </w:p>
        </w:tc>
        <w:tc>
          <w:tcPr>
            <w:tcW w:w="1842" w:type="dxa"/>
            <w:tcBorders>
              <w:bottom w:val="single" w:sz="4" w:space="0" w:color="auto"/>
            </w:tcBorders>
            <w:shd w:val="clear" w:color="auto" w:fill="auto"/>
            <w:vAlign w:val="bottom"/>
            <w:hideMark/>
          </w:tcPr>
          <w:p w14:paraId="3EA5BCB2" w14:textId="77777777" w:rsidR="006F1F97" w:rsidRPr="0073449E" w:rsidRDefault="006F1F97" w:rsidP="004E092E">
            <w:pPr>
              <w:jc w:val="center"/>
              <w:rPr>
                <w:rFonts w:ascii="Times New Roman" w:eastAsia="Times New Roman" w:hAnsi="Times New Roman" w:cs="Times New Roman"/>
                <w:color w:val="auto"/>
                <w:sz w:val="24"/>
                <w:szCs w:val="24"/>
                <w:lang w:eastAsia="en-AU"/>
              </w:rPr>
            </w:pPr>
            <w:r w:rsidRPr="0073449E">
              <w:rPr>
                <w:rFonts w:eastAsia="Times New Roman"/>
                <w:color w:val="000000"/>
                <w:lang w:eastAsia="en-AU"/>
              </w:rPr>
              <w:t>$307</w:t>
            </w:r>
          </w:p>
        </w:tc>
        <w:tc>
          <w:tcPr>
            <w:tcW w:w="1531" w:type="dxa"/>
            <w:tcBorders>
              <w:bottom w:val="single" w:sz="4" w:space="0" w:color="auto"/>
            </w:tcBorders>
            <w:shd w:val="clear" w:color="auto" w:fill="auto"/>
            <w:vAlign w:val="bottom"/>
          </w:tcPr>
          <w:p w14:paraId="7744D785" w14:textId="77777777" w:rsidR="006F1F97" w:rsidRPr="0073449E" w:rsidRDefault="006F1F97" w:rsidP="004E092E">
            <w:pPr>
              <w:jc w:val="center"/>
              <w:rPr>
                <w:rFonts w:ascii="Times New Roman" w:eastAsia="Times New Roman" w:hAnsi="Times New Roman" w:cs="Times New Roman"/>
                <w:color w:val="auto"/>
                <w:sz w:val="24"/>
                <w:szCs w:val="24"/>
                <w:lang w:eastAsia="en-AU"/>
              </w:rPr>
            </w:pPr>
            <w:r w:rsidRPr="0073449E">
              <w:rPr>
                <w:rFonts w:eastAsia="Times New Roman"/>
                <w:color w:val="000000"/>
                <w:lang w:eastAsia="en-AU"/>
              </w:rPr>
              <w:t>$64</w:t>
            </w:r>
          </w:p>
        </w:tc>
        <w:tc>
          <w:tcPr>
            <w:tcW w:w="1644" w:type="dxa"/>
            <w:tcBorders>
              <w:bottom w:val="single" w:sz="4" w:space="0" w:color="auto"/>
            </w:tcBorders>
            <w:shd w:val="clear" w:color="auto" w:fill="auto"/>
            <w:vAlign w:val="bottom"/>
          </w:tcPr>
          <w:p w14:paraId="270D07DF" w14:textId="77777777" w:rsidR="006F1F97" w:rsidRPr="0073449E" w:rsidRDefault="006F1F97" w:rsidP="004E092E">
            <w:pPr>
              <w:jc w:val="center"/>
              <w:rPr>
                <w:rFonts w:ascii="Calibri" w:eastAsia="Times New Roman" w:hAnsi="Calibri" w:cs="Calibri"/>
                <w:lang w:eastAsia="en-AU"/>
              </w:rPr>
            </w:pPr>
            <w:r w:rsidRPr="0073449E">
              <w:rPr>
                <w:rFonts w:eastAsia="Times New Roman"/>
                <w:color w:val="000000"/>
                <w:lang w:eastAsia="en-AU"/>
              </w:rPr>
              <w:t>$658</w:t>
            </w:r>
          </w:p>
        </w:tc>
        <w:tc>
          <w:tcPr>
            <w:tcW w:w="1645" w:type="dxa"/>
            <w:tcBorders>
              <w:bottom w:val="single" w:sz="4" w:space="0" w:color="auto"/>
            </w:tcBorders>
            <w:shd w:val="clear" w:color="auto" w:fill="auto"/>
            <w:vAlign w:val="bottom"/>
            <w:hideMark/>
          </w:tcPr>
          <w:p w14:paraId="39F3C7E9" w14:textId="77777777" w:rsidR="006F1F97" w:rsidRPr="0073449E" w:rsidRDefault="006F1F97" w:rsidP="004E092E">
            <w:pPr>
              <w:jc w:val="center"/>
              <w:rPr>
                <w:rFonts w:ascii="Times New Roman" w:eastAsia="Times New Roman" w:hAnsi="Times New Roman" w:cs="Times New Roman"/>
                <w:color w:val="auto"/>
                <w:sz w:val="24"/>
                <w:szCs w:val="24"/>
                <w:lang w:eastAsia="en-AU"/>
              </w:rPr>
            </w:pPr>
            <w:r w:rsidRPr="0073449E">
              <w:rPr>
                <w:rFonts w:eastAsia="Times New Roman"/>
                <w:color w:val="000000"/>
                <w:lang w:eastAsia="en-AU"/>
              </w:rPr>
              <w:t>$48</w:t>
            </w:r>
          </w:p>
        </w:tc>
      </w:tr>
    </w:tbl>
    <w:p w14:paraId="0334D8A2" w14:textId="77777777" w:rsidR="006F1F97" w:rsidRPr="0021759B" w:rsidRDefault="006F1F97" w:rsidP="006F1F97">
      <w:pPr>
        <w:pStyle w:val="Heading5"/>
        <w:rPr>
          <w:i w:val="0"/>
          <w:lang w:eastAsia="en-AU"/>
        </w:rPr>
      </w:pPr>
      <w:r w:rsidRPr="0021759B">
        <w:rPr>
          <w:i w:val="0"/>
          <w:lang w:eastAsia="en-AU"/>
        </w:rPr>
        <w:t>Table 9: Comparison by sector – SA &amp; NT**</w:t>
      </w:r>
    </w:p>
    <w:tbl>
      <w:tblPr>
        <w:tblW w:w="10490" w:type="dxa"/>
        <w:tblLayout w:type="fixed"/>
        <w:tblCellMar>
          <w:top w:w="15" w:type="dxa"/>
          <w:left w:w="15" w:type="dxa"/>
          <w:bottom w:w="15" w:type="dxa"/>
          <w:right w:w="15" w:type="dxa"/>
        </w:tblCellMar>
        <w:tblLook w:val="04A0" w:firstRow="1" w:lastRow="0" w:firstColumn="1" w:lastColumn="0" w:noHBand="0" w:noVBand="1"/>
      </w:tblPr>
      <w:tblGrid>
        <w:gridCol w:w="2268"/>
        <w:gridCol w:w="1560"/>
        <w:gridCol w:w="1842"/>
        <w:gridCol w:w="1531"/>
        <w:gridCol w:w="1644"/>
        <w:gridCol w:w="1645"/>
      </w:tblGrid>
      <w:tr w:rsidR="006F1F97" w:rsidRPr="008D5B78" w14:paraId="3351DE03" w14:textId="77777777" w:rsidTr="004E092E">
        <w:trPr>
          <w:trHeight w:val="300"/>
        </w:trPr>
        <w:tc>
          <w:tcPr>
            <w:tcW w:w="2268" w:type="dxa"/>
            <w:shd w:val="clear" w:color="auto" w:fill="auto"/>
            <w:vAlign w:val="bottom"/>
            <w:hideMark/>
          </w:tcPr>
          <w:p w14:paraId="1D67655E" w14:textId="77777777" w:rsidR="006F1F97" w:rsidRPr="0073449E" w:rsidRDefault="006F1F97" w:rsidP="004E092E">
            <w:pPr>
              <w:pStyle w:val="TableHeading"/>
              <w:rPr>
                <w:rFonts w:ascii="Times New Roman" w:hAnsi="Times New Roman" w:cs="Times New Roman"/>
                <w:color w:val="auto"/>
                <w:lang w:eastAsia="en-AU"/>
              </w:rPr>
            </w:pPr>
            <w:r w:rsidRPr="0073449E">
              <w:rPr>
                <w:i/>
                <w:lang w:eastAsia="en-AU"/>
              </w:rPr>
              <w:t xml:space="preserve"> </w:t>
            </w:r>
            <w:r w:rsidRPr="0073449E">
              <w:rPr>
                <w:lang w:eastAsia="en-AU"/>
              </w:rPr>
              <w:t>  </w:t>
            </w:r>
            <w:r w:rsidRPr="0073449E">
              <w:rPr>
                <w:color w:val="auto"/>
                <w:lang w:eastAsia="en-AU"/>
              </w:rPr>
              <w:t> </w:t>
            </w:r>
          </w:p>
        </w:tc>
        <w:tc>
          <w:tcPr>
            <w:tcW w:w="1560" w:type="dxa"/>
            <w:shd w:val="clear" w:color="auto" w:fill="auto"/>
            <w:vAlign w:val="center"/>
            <w:hideMark/>
          </w:tcPr>
          <w:p w14:paraId="22A88891" w14:textId="77777777" w:rsidR="006F1F97" w:rsidRPr="0073449E" w:rsidRDefault="006F1F97" w:rsidP="004E092E">
            <w:pPr>
              <w:pStyle w:val="TableHeading"/>
              <w:jc w:val="center"/>
              <w:rPr>
                <w:rFonts w:ascii="Times New Roman" w:hAnsi="Times New Roman" w:cs="Times New Roman"/>
                <w:color w:val="auto"/>
                <w:lang w:eastAsia="en-AU"/>
              </w:rPr>
            </w:pPr>
            <w:r w:rsidRPr="0073449E">
              <w:rPr>
                <w:lang w:eastAsia="en-AU"/>
              </w:rPr>
              <w:t>Services</w:t>
            </w:r>
          </w:p>
        </w:tc>
        <w:tc>
          <w:tcPr>
            <w:tcW w:w="1842" w:type="dxa"/>
            <w:shd w:val="clear" w:color="auto" w:fill="auto"/>
            <w:vAlign w:val="center"/>
            <w:hideMark/>
          </w:tcPr>
          <w:p w14:paraId="368BDCBF" w14:textId="77777777" w:rsidR="006F1F97" w:rsidRPr="0073449E" w:rsidRDefault="006F1F97" w:rsidP="004E092E">
            <w:pPr>
              <w:pStyle w:val="TableHeading"/>
              <w:jc w:val="center"/>
              <w:rPr>
                <w:rFonts w:ascii="Times New Roman" w:hAnsi="Times New Roman" w:cs="Times New Roman"/>
                <w:color w:val="auto"/>
                <w:lang w:eastAsia="en-AU"/>
              </w:rPr>
            </w:pPr>
            <w:r w:rsidRPr="0073449E">
              <w:rPr>
                <w:lang w:eastAsia="en-AU"/>
              </w:rPr>
              <w:t>Manufacturing</w:t>
            </w:r>
          </w:p>
        </w:tc>
        <w:tc>
          <w:tcPr>
            <w:tcW w:w="1531" w:type="dxa"/>
            <w:shd w:val="clear" w:color="auto" w:fill="auto"/>
            <w:vAlign w:val="center"/>
          </w:tcPr>
          <w:p w14:paraId="2EA05C76" w14:textId="77777777" w:rsidR="006F1F97" w:rsidRPr="0073449E" w:rsidRDefault="006F1F97" w:rsidP="004E092E">
            <w:pPr>
              <w:pStyle w:val="TableHeading"/>
              <w:jc w:val="center"/>
              <w:rPr>
                <w:rFonts w:ascii="Times New Roman" w:hAnsi="Times New Roman" w:cs="Times New Roman"/>
                <w:color w:val="auto"/>
                <w:lang w:eastAsia="en-AU"/>
              </w:rPr>
            </w:pPr>
            <w:r w:rsidRPr="0073449E">
              <w:rPr>
                <w:lang w:eastAsia="en-AU"/>
              </w:rPr>
              <w:t>Agriculture</w:t>
            </w:r>
          </w:p>
        </w:tc>
        <w:tc>
          <w:tcPr>
            <w:tcW w:w="1644" w:type="dxa"/>
            <w:shd w:val="clear" w:color="auto" w:fill="auto"/>
            <w:vAlign w:val="center"/>
          </w:tcPr>
          <w:p w14:paraId="5907E2DF" w14:textId="77777777" w:rsidR="006F1F97" w:rsidRPr="0073449E" w:rsidRDefault="006F1F97" w:rsidP="004E092E">
            <w:pPr>
              <w:pStyle w:val="TableHeading"/>
              <w:jc w:val="center"/>
              <w:rPr>
                <w:lang w:eastAsia="en-AU"/>
              </w:rPr>
            </w:pPr>
            <w:r w:rsidRPr="0073449E">
              <w:rPr>
                <w:lang w:eastAsia="en-AU"/>
              </w:rPr>
              <w:t>Mining</w:t>
            </w:r>
          </w:p>
        </w:tc>
        <w:tc>
          <w:tcPr>
            <w:tcW w:w="1645" w:type="dxa"/>
            <w:shd w:val="clear" w:color="auto" w:fill="auto"/>
            <w:vAlign w:val="center"/>
            <w:hideMark/>
          </w:tcPr>
          <w:p w14:paraId="1E977435" w14:textId="77777777" w:rsidR="006F1F97" w:rsidRPr="0073449E" w:rsidRDefault="006F1F97" w:rsidP="004E092E">
            <w:pPr>
              <w:pStyle w:val="TableHeading"/>
              <w:jc w:val="center"/>
              <w:rPr>
                <w:rFonts w:ascii="Times New Roman" w:hAnsi="Times New Roman" w:cs="Times New Roman"/>
                <w:color w:val="auto"/>
                <w:lang w:eastAsia="en-AU"/>
              </w:rPr>
            </w:pPr>
            <w:r w:rsidRPr="0073449E">
              <w:rPr>
                <w:lang w:eastAsia="en-AU"/>
              </w:rPr>
              <w:t>E,G,W &amp; WS*</w:t>
            </w:r>
          </w:p>
        </w:tc>
      </w:tr>
      <w:tr w:rsidR="006F1F97" w:rsidRPr="008D5B78" w14:paraId="627B2FE8" w14:textId="77777777" w:rsidTr="004E092E">
        <w:trPr>
          <w:trHeight w:val="300"/>
        </w:trPr>
        <w:tc>
          <w:tcPr>
            <w:tcW w:w="2268" w:type="dxa"/>
            <w:shd w:val="clear" w:color="auto" w:fill="auto"/>
            <w:vAlign w:val="bottom"/>
            <w:hideMark/>
          </w:tcPr>
          <w:p w14:paraId="66BEDAE0" w14:textId="77777777" w:rsidR="006F1F97" w:rsidRPr="0073449E" w:rsidRDefault="006F1F97" w:rsidP="004E092E">
            <w:pPr>
              <w:rPr>
                <w:rFonts w:ascii="Times New Roman" w:eastAsia="Times New Roman" w:hAnsi="Times New Roman" w:cs="Times New Roman"/>
                <w:color w:val="auto"/>
                <w:sz w:val="24"/>
                <w:szCs w:val="24"/>
                <w:lang w:eastAsia="en-AU"/>
              </w:rPr>
            </w:pPr>
            <w:r w:rsidRPr="0073449E">
              <w:rPr>
                <w:rFonts w:ascii="Calibri" w:eastAsia="Times New Roman" w:hAnsi="Calibri" w:cs="Calibri"/>
                <w:lang w:eastAsia="en-AU"/>
              </w:rPr>
              <w:t>Number of Registrations</w:t>
            </w:r>
            <w:r w:rsidRPr="0073449E">
              <w:rPr>
                <w:rFonts w:ascii="Calibri" w:eastAsia="Times New Roman" w:hAnsi="Calibri" w:cs="Calibri"/>
                <w:color w:val="auto"/>
                <w:lang w:eastAsia="en-AU"/>
              </w:rPr>
              <w:t> </w:t>
            </w:r>
          </w:p>
        </w:tc>
        <w:tc>
          <w:tcPr>
            <w:tcW w:w="1560" w:type="dxa"/>
            <w:shd w:val="clear" w:color="auto" w:fill="auto"/>
            <w:vAlign w:val="bottom"/>
            <w:hideMark/>
          </w:tcPr>
          <w:p w14:paraId="42DFAFA6" w14:textId="77777777" w:rsidR="006F1F97" w:rsidRPr="0073449E" w:rsidRDefault="006F1F97" w:rsidP="004E092E">
            <w:pPr>
              <w:jc w:val="center"/>
              <w:rPr>
                <w:rFonts w:ascii="Times New Roman" w:eastAsia="Times New Roman" w:hAnsi="Times New Roman" w:cs="Times New Roman"/>
                <w:color w:val="auto"/>
                <w:sz w:val="24"/>
                <w:szCs w:val="24"/>
                <w:lang w:eastAsia="en-AU"/>
              </w:rPr>
            </w:pPr>
            <w:r w:rsidRPr="0073449E">
              <w:rPr>
                <w:rFonts w:eastAsia="Times New Roman"/>
                <w:color w:val="000000"/>
                <w:lang w:eastAsia="en-AU"/>
              </w:rPr>
              <w:t xml:space="preserve">367 </w:t>
            </w:r>
          </w:p>
        </w:tc>
        <w:tc>
          <w:tcPr>
            <w:tcW w:w="1842" w:type="dxa"/>
            <w:shd w:val="clear" w:color="auto" w:fill="auto"/>
            <w:vAlign w:val="bottom"/>
            <w:hideMark/>
          </w:tcPr>
          <w:p w14:paraId="1A6238D7" w14:textId="77777777" w:rsidR="006F1F97" w:rsidRPr="0073449E" w:rsidRDefault="006F1F97" w:rsidP="004E092E">
            <w:pPr>
              <w:jc w:val="center"/>
              <w:rPr>
                <w:rFonts w:ascii="Times New Roman" w:eastAsia="Times New Roman" w:hAnsi="Times New Roman" w:cs="Times New Roman"/>
                <w:color w:val="auto"/>
                <w:sz w:val="24"/>
                <w:szCs w:val="24"/>
                <w:lang w:eastAsia="en-AU"/>
              </w:rPr>
            </w:pPr>
            <w:r w:rsidRPr="0073449E">
              <w:rPr>
                <w:rFonts w:eastAsia="Times New Roman"/>
                <w:color w:val="000000"/>
                <w:lang w:eastAsia="en-AU"/>
              </w:rPr>
              <w:t xml:space="preserve">222 </w:t>
            </w:r>
          </w:p>
        </w:tc>
        <w:tc>
          <w:tcPr>
            <w:tcW w:w="1531" w:type="dxa"/>
            <w:shd w:val="clear" w:color="auto" w:fill="auto"/>
            <w:vAlign w:val="bottom"/>
          </w:tcPr>
          <w:p w14:paraId="452B5929" w14:textId="77777777" w:rsidR="006F1F97" w:rsidRPr="0073449E" w:rsidRDefault="006F1F97" w:rsidP="004E092E">
            <w:pPr>
              <w:jc w:val="center"/>
              <w:rPr>
                <w:rFonts w:ascii="Times New Roman" w:eastAsia="Times New Roman" w:hAnsi="Times New Roman" w:cs="Times New Roman"/>
                <w:color w:val="auto"/>
                <w:sz w:val="24"/>
                <w:szCs w:val="24"/>
                <w:lang w:eastAsia="en-AU"/>
              </w:rPr>
            </w:pPr>
            <w:r w:rsidRPr="0073449E">
              <w:rPr>
                <w:rFonts w:eastAsia="Times New Roman"/>
                <w:color w:val="000000"/>
                <w:lang w:eastAsia="en-AU"/>
              </w:rPr>
              <w:t xml:space="preserve">55 </w:t>
            </w:r>
          </w:p>
        </w:tc>
        <w:tc>
          <w:tcPr>
            <w:tcW w:w="1644" w:type="dxa"/>
            <w:shd w:val="clear" w:color="auto" w:fill="auto"/>
            <w:vAlign w:val="bottom"/>
          </w:tcPr>
          <w:p w14:paraId="2B08578E" w14:textId="77777777" w:rsidR="006F1F97" w:rsidRPr="0073449E" w:rsidRDefault="006F1F97" w:rsidP="004E092E">
            <w:pPr>
              <w:jc w:val="center"/>
              <w:rPr>
                <w:rFonts w:ascii="Calibri" w:eastAsia="Times New Roman" w:hAnsi="Calibri" w:cs="Calibri"/>
                <w:lang w:eastAsia="en-AU"/>
              </w:rPr>
            </w:pPr>
            <w:r w:rsidRPr="0073449E">
              <w:rPr>
                <w:rFonts w:eastAsia="Times New Roman"/>
                <w:color w:val="000000"/>
                <w:lang w:eastAsia="en-AU"/>
              </w:rPr>
              <w:t xml:space="preserve">22 </w:t>
            </w:r>
          </w:p>
        </w:tc>
        <w:tc>
          <w:tcPr>
            <w:tcW w:w="1645" w:type="dxa"/>
            <w:shd w:val="clear" w:color="auto" w:fill="auto"/>
            <w:vAlign w:val="bottom"/>
            <w:hideMark/>
          </w:tcPr>
          <w:p w14:paraId="7A13BE5F" w14:textId="77777777" w:rsidR="006F1F97" w:rsidRPr="0073449E" w:rsidRDefault="006F1F97" w:rsidP="004E092E">
            <w:pPr>
              <w:jc w:val="center"/>
              <w:rPr>
                <w:rFonts w:ascii="Times New Roman" w:eastAsia="Times New Roman" w:hAnsi="Times New Roman" w:cs="Times New Roman"/>
                <w:color w:val="auto"/>
                <w:sz w:val="24"/>
                <w:szCs w:val="24"/>
                <w:lang w:eastAsia="en-AU"/>
              </w:rPr>
            </w:pPr>
            <w:r w:rsidRPr="0073449E">
              <w:rPr>
                <w:rFonts w:eastAsia="Times New Roman"/>
                <w:color w:val="000000"/>
                <w:lang w:eastAsia="en-AU"/>
              </w:rPr>
              <w:t xml:space="preserve">15 </w:t>
            </w:r>
          </w:p>
        </w:tc>
      </w:tr>
      <w:tr w:rsidR="006F1F97" w:rsidRPr="008D5B78" w14:paraId="09C77398" w14:textId="77777777" w:rsidTr="004E092E">
        <w:trPr>
          <w:trHeight w:val="300"/>
        </w:trPr>
        <w:tc>
          <w:tcPr>
            <w:tcW w:w="2268" w:type="dxa"/>
            <w:tcBorders>
              <w:bottom w:val="single" w:sz="4" w:space="0" w:color="auto"/>
            </w:tcBorders>
            <w:shd w:val="clear" w:color="auto" w:fill="auto"/>
            <w:vAlign w:val="bottom"/>
            <w:hideMark/>
          </w:tcPr>
          <w:p w14:paraId="2AE9B89D" w14:textId="77777777" w:rsidR="006F1F97" w:rsidRPr="0073449E" w:rsidRDefault="006F1F97" w:rsidP="004E092E">
            <w:pPr>
              <w:rPr>
                <w:rFonts w:ascii="Times New Roman" w:eastAsia="Times New Roman" w:hAnsi="Times New Roman" w:cs="Times New Roman"/>
                <w:color w:val="auto"/>
                <w:sz w:val="24"/>
                <w:szCs w:val="24"/>
                <w:lang w:eastAsia="en-AU"/>
              </w:rPr>
            </w:pPr>
            <w:r w:rsidRPr="0073449E">
              <w:rPr>
                <w:rFonts w:ascii="Calibri" w:eastAsia="Times New Roman" w:hAnsi="Calibri" w:cs="Calibri"/>
                <w:lang w:eastAsia="en-AU"/>
              </w:rPr>
              <w:t>R&amp;D Expenditure (</w:t>
            </w:r>
            <w:r w:rsidRPr="0073449E">
              <w:rPr>
                <w:rFonts w:ascii="Calibri" w:eastAsia="Times New Roman" w:hAnsi="Calibri" w:cs="Calibri"/>
                <w:b/>
                <w:lang w:eastAsia="en-AU"/>
              </w:rPr>
              <w:t>million</w:t>
            </w:r>
            <w:r w:rsidRPr="0073449E">
              <w:rPr>
                <w:rFonts w:ascii="Calibri" w:eastAsia="Times New Roman" w:hAnsi="Calibri" w:cs="Calibri"/>
                <w:lang w:eastAsia="en-AU"/>
              </w:rPr>
              <w:t>)</w:t>
            </w:r>
            <w:r w:rsidRPr="0073449E">
              <w:rPr>
                <w:rFonts w:ascii="Calibri" w:eastAsia="Times New Roman" w:hAnsi="Calibri" w:cs="Calibri"/>
                <w:color w:val="auto"/>
                <w:lang w:eastAsia="en-AU"/>
              </w:rPr>
              <w:t> </w:t>
            </w:r>
          </w:p>
        </w:tc>
        <w:tc>
          <w:tcPr>
            <w:tcW w:w="1560" w:type="dxa"/>
            <w:tcBorders>
              <w:bottom w:val="single" w:sz="4" w:space="0" w:color="auto"/>
            </w:tcBorders>
            <w:shd w:val="clear" w:color="auto" w:fill="auto"/>
            <w:vAlign w:val="bottom"/>
            <w:hideMark/>
          </w:tcPr>
          <w:p w14:paraId="635C3700" w14:textId="77777777" w:rsidR="006F1F97" w:rsidRPr="0073449E" w:rsidRDefault="006F1F97" w:rsidP="004E092E">
            <w:pPr>
              <w:jc w:val="center"/>
              <w:rPr>
                <w:rFonts w:ascii="Times New Roman" w:eastAsia="Times New Roman" w:hAnsi="Times New Roman" w:cs="Times New Roman"/>
                <w:color w:val="auto"/>
                <w:sz w:val="24"/>
                <w:szCs w:val="24"/>
                <w:lang w:eastAsia="en-AU"/>
              </w:rPr>
            </w:pPr>
            <w:r w:rsidRPr="0073449E">
              <w:rPr>
                <w:rFonts w:eastAsia="Times New Roman"/>
                <w:color w:val="000000"/>
                <w:lang w:eastAsia="en-AU"/>
              </w:rPr>
              <w:t>$330</w:t>
            </w:r>
          </w:p>
        </w:tc>
        <w:tc>
          <w:tcPr>
            <w:tcW w:w="1842" w:type="dxa"/>
            <w:tcBorders>
              <w:bottom w:val="single" w:sz="4" w:space="0" w:color="auto"/>
            </w:tcBorders>
            <w:shd w:val="clear" w:color="auto" w:fill="auto"/>
            <w:vAlign w:val="bottom"/>
            <w:hideMark/>
          </w:tcPr>
          <w:p w14:paraId="63B6DE47" w14:textId="77777777" w:rsidR="006F1F97" w:rsidRPr="0073449E" w:rsidRDefault="006F1F97" w:rsidP="004E092E">
            <w:pPr>
              <w:jc w:val="center"/>
              <w:rPr>
                <w:rFonts w:ascii="Times New Roman" w:eastAsia="Times New Roman" w:hAnsi="Times New Roman" w:cs="Times New Roman"/>
                <w:color w:val="auto"/>
                <w:sz w:val="24"/>
                <w:szCs w:val="24"/>
                <w:lang w:eastAsia="en-AU"/>
              </w:rPr>
            </w:pPr>
            <w:r w:rsidRPr="0073449E">
              <w:rPr>
                <w:rFonts w:eastAsia="Times New Roman"/>
                <w:color w:val="000000"/>
                <w:lang w:eastAsia="en-AU"/>
              </w:rPr>
              <w:t>$202</w:t>
            </w:r>
          </w:p>
        </w:tc>
        <w:tc>
          <w:tcPr>
            <w:tcW w:w="1531" w:type="dxa"/>
            <w:tcBorders>
              <w:bottom w:val="single" w:sz="4" w:space="0" w:color="auto"/>
            </w:tcBorders>
            <w:shd w:val="clear" w:color="auto" w:fill="auto"/>
            <w:vAlign w:val="bottom"/>
          </w:tcPr>
          <w:p w14:paraId="797A3D7B" w14:textId="77777777" w:rsidR="006F1F97" w:rsidRPr="0073449E" w:rsidRDefault="006F1F97" w:rsidP="004E092E">
            <w:pPr>
              <w:jc w:val="center"/>
              <w:rPr>
                <w:rFonts w:ascii="Times New Roman" w:eastAsia="Times New Roman" w:hAnsi="Times New Roman" w:cs="Times New Roman"/>
                <w:color w:val="auto"/>
                <w:sz w:val="24"/>
                <w:szCs w:val="24"/>
                <w:lang w:eastAsia="en-AU"/>
              </w:rPr>
            </w:pPr>
            <w:r w:rsidRPr="0073449E">
              <w:rPr>
                <w:rFonts w:eastAsia="Times New Roman"/>
                <w:color w:val="000000"/>
                <w:lang w:eastAsia="en-AU"/>
              </w:rPr>
              <w:t>$81</w:t>
            </w:r>
          </w:p>
        </w:tc>
        <w:tc>
          <w:tcPr>
            <w:tcW w:w="1644" w:type="dxa"/>
            <w:tcBorders>
              <w:bottom w:val="single" w:sz="4" w:space="0" w:color="auto"/>
            </w:tcBorders>
            <w:shd w:val="clear" w:color="auto" w:fill="auto"/>
            <w:vAlign w:val="bottom"/>
          </w:tcPr>
          <w:p w14:paraId="619582E7" w14:textId="77777777" w:rsidR="006F1F97" w:rsidRPr="0073449E" w:rsidRDefault="006F1F97" w:rsidP="004E092E">
            <w:pPr>
              <w:jc w:val="center"/>
              <w:rPr>
                <w:rFonts w:ascii="Calibri" w:eastAsia="Times New Roman" w:hAnsi="Calibri" w:cs="Calibri"/>
                <w:lang w:eastAsia="en-AU"/>
              </w:rPr>
            </w:pPr>
            <w:r w:rsidRPr="0073449E">
              <w:rPr>
                <w:rFonts w:eastAsia="Times New Roman"/>
                <w:color w:val="000000"/>
                <w:lang w:eastAsia="en-AU"/>
              </w:rPr>
              <w:t>$103</w:t>
            </w:r>
          </w:p>
        </w:tc>
        <w:tc>
          <w:tcPr>
            <w:tcW w:w="1645" w:type="dxa"/>
            <w:tcBorders>
              <w:bottom w:val="single" w:sz="4" w:space="0" w:color="auto"/>
            </w:tcBorders>
            <w:shd w:val="clear" w:color="auto" w:fill="auto"/>
            <w:vAlign w:val="bottom"/>
            <w:hideMark/>
          </w:tcPr>
          <w:p w14:paraId="3FCBD56C" w14:textId="77777777" w:rsidR="006F1F97" w:rsidRPr="0073449E" w:rsidRDefault="006F1F97" w:rsidP="004E092E">
            <w:pPr>
              <w:jc w:val="center"/>
              <w:rPr>
                <w:rFonts w:ascii="Times New Roman" w:eastAsia="Times New Roman" w:hAnsi="Times New Roman" w:cs="Times New Roman"/>
                <w:color w:val="auto"/>
                <w:sz w:val="24"/>
                <w:szCs w:val="24"/>
                <w:lang w:eastAsia="en-AU"/>
              </w:rPr>
            </w:pPr>
            <w:r w:rsidRPr="0073449E">
              <w:rPr>
                <w:rFonts w:eastAsia="Times New Roman"/>
                <w:color w:val="000000"/>
                <w:lang w:eastAsia="en-AU"/>
              </w:rPr>
              <w:t>$13</w:t>
            </w:r>
          </w:p>
        </w:tc>
      </w:tr>
    </w:tbl>
    <w:p w14:paraId="43AA3C26" w14:textId="77777777" w:rsidR="006F1F97" w:rsidRPr="0073449E" w:rsidRDefault="006F1F97" w:rsidP="006F1F97">
      <w:pPr>
        <w:pStyle w:val="Heading5"/>
        <w:rPr>
          <w:i w:val="0"/>
          <w:lang w:eastAsia="en-AU"/>
        </w:rPr>
      </w:pPr>
      <w:r w:rsidRPr="0073449E">
        <w:rPr>
          <w:i w:val="0"/>
          <w:lang w:eastAsia="en-AU"/>
        </w:rPr>
        <w:t>Table 10: Comparison by sector – ACT  </w:t>
      </w:r>
    </w:p>
    <w:tbl>
      <w:tblPr>
        <w:tblW w:w="10348" w:type="dxa"/>
        <w:tblLayout w:type="fixed"/>
        <w:tblCellMar>
          <w:top w:w="15" w:type="dxa"/>
          <w:left w:w="15" w:type="dxa"/>
          <w:bottom w:w="15" w:type="dxa"/>
          <w:right w:w="15" w:type="dxa"/>
        </w:tblCellMar>
        <w:tblLook w:val="04A0" w:firstRow="1" w:lastRow="0" w:firstColumn="1" w:lastColumn="0" w:noHBand="0" w:noVBand="1"/>
      </w:tblPr>
      <w:tblGrid>
        <w:gridCol w:w="2268"/>
        <w:gridCol w:w="1560"/>
        <w:gridCol w:w="1842"/>
        <w:gridCol w:w="4678"/>
      </w:tblGrid>
      <w:tr w:rsidR="006F1F97" w:rsidRPr="008D5B78" w14:paraId="63EC919B" w14:textId="77777777" w:rsidTr="004E092E">
        <w:trPr>
          <w:trHeight w:val="300"/>
        </w:trPr>
        <w:tc>
          <w:tcPr>
            <w:tcW w:w="2268" w:type="dxa"/>
            <w:shd w:val="clear" w:color="auto" w:fill="auto"/>
            <w:vAlign w:val="bottom"/>
            <w:hideMark/>
          </w:tcPr>
          <w:p w14:paraId="74D264E7" w14:textId="77777777" w:rsidR="006F1F97" w:rsidRPr="0073449E" w:rsidRDefault="006F1F97" w:rsidP="004E092E">
            <w:pPr>
              <w:pStyle w:val="TableHeading"/>
              <w:rPr>
                <w:rFonts w:ascii="Times New Roman" w:hAnsi="Times New Roman" w:cs="Times New Roman"/>
                <w:color w:val="auto"/>
                <w:lang w:eastAsia="en-AU"/>
              </w:rPr>
            </w:pPr>
            <w:r w:rsidRPr="0073449E">
              <w:rPr>
                <w:lang w:eastAsia="en-AU"/>
              </w:rPr>
              <w:t>  </w:t>
            </w:r>
            <w:r w:rsidRPr="0073449E">
              <w:rPr>
                <w:color w:val="auto"/>
                <w:lang w:eastAsia="en-AU"/>
              </w:rPr>
              <w:t> </w:t>
            </w:r>
          </w:p>
        </w:tc>
        <w:tc>
          <w:tcPr>
            <w:tcW w:w="1560" w:type="dxa"/>
            <w:shd w:val="clear" w:color="auto" w:fill="auto"/>
            <w:vAlign w:val="center"/>
            <w:hideMark/>
          </w:tcPr>
          <w:p w14:paraId="4675EFB9" w14:textId="77777777" w:rsidR="006F1F97" w:rsidRPr="0073449E" w:rsidRDefault="006F1F97" w:rsidP="004E092E">
            <w:pPr>
              <w:pStyle w:val="TableHeading"/>
              <w:jc w:val="center"/>
              <w:rPr>
                <w:rFonts w:ascii="Times New Roman" w:hAnsi="Times New Roman" w:cs="Times New Roman"/>
                <w:color w:val="auto"/>
                <w:lang w:eastAsia="en-AU"/>
              </w:rPr>
            </w:pPr>
            <w:r w:rsidRPr="0073449E">
              <w:rPr>
                <w:lang w:eastAsia="en-AU"/>
              </w:rPr>
              <w:t>Services</w:t>
            </w:r>
          </w:p>
        </w:tc>
        <w:tc>
          <w:tcPr>
            <w:tcW w:w="1842" w:type="dxa"/>
            <w:shd w:val="clear" w:color="auto" w:fill="auto"/>
            <w:vAlign w:val="center"/>
            <w:hideMark/>
          </w:tcPr>
          <w:p w14:paraId="357A6526" w14:textId="77777777" w:rsidR="006F1F97" w:rsidRPr="0073449E" w:rsidRDefault="006F1F97" w:rsidP="004E092E">
            <w:pPr>
              <w:pStyle w:val="TableHeading"/>
              <w:jc w:val="center"/>
              <w:rPr>
                <w:rFonts w:ascii="Times New Roman" w:hAnsi="Times New Roman" w:cs="Times New Roman"/>
                <w:color w:val="auto"/>
                <w:lang w:eastAsia="en-AU"/>
              </w:rPr>
            </w:pPr>
            <w:r w:rsidRPr="0073449E">
              <w:rPr>
                <w:lang w:eastAsia="en-AU"/>
              </w:rPr>
              <w:t>Manufacturing</w:t>
            </w:r>
          </w:p>
        </w:tc>
        <w:tc>
          <w:tcPr>
            <w:tcW w:w="4678" w:type="dxa"/>
            <w:shd w:val="clear" w:color="auto" w:fill="auto"/>
            <w:vAlign w:val="center"/>
          </w:tcPr>
          <w:p w14:paraId="33872D96" w14:textId="77777777" w:rsidR="006F1F97" w:rsidRPr="0073449E" w:rsidRDefault="006F1F97" w:rsidP="004E092E">
            <w:pPr>
              <w:pStyle w:val="TableHeading"/>
              <w:jc w:val="center"/>
              <w:rPr>
                <w:rFonts w:ascii="Times New Roman" w:hAnsi="Times New Roman" w:cs="Times New Roman"/>
                <w:color w:val="auto"/>
                <w:lang w:eastAsia="en-AU"/>
              </w:rPr>
            </w:pPr>
            <w:r w:rsidRPr="0073449E">
              <w:rPr>
                <w:lang w:eastAsia="en-AU"/>
              </w:rPr>
              <w:t>Agriculture, MINING** and e,g,w &amp; ws*</w:t>
            </w:r>
          </w:p>
        </w:tc>
      </w:tr>
      <w:tr w:rsidR="006F1F97" w:rsidRPr="008D5B78" w14:paraId="6FBC254F" w14:textId="77777777" w:rsidTr="004E092E">
        <w:trPr>
          <w:trHeight w:val="300"/>
        </w:trPr>
        <w:tc>
          <w:tcPr>
            <w:tcW w:w="2268" w:type="dxa"/>
            <w:shd w:val="clear" w:color="auto" w:fill="auto"/>
            <w:vAlign w:val="bottom"/>
            <w:hideMark/>
          </w:tcPr>
          <w:p w14:paraId="059AD768" w14:textId="77777777" w:rsidR="006F1F97" w:rsidRPr="0073449E" w:rsidRDefault="006F1F97" w:rsidP="004E092E">
            <w:pPr>
              <w:rPr>
                <w:rFonts w:ascii="Times New Roman" w:eastAsia="Times New Roman" w:hAnsi="Times New Roman" w:cs="Times New Roman"/>
                <w:color w:val="auto"/>
                <w:sz w:val="24"/>
                <w:szCs w:val="24"/>
                <w:lang w:eastAsia="en-AU"/>
              </w:rPr>
            </w:pPr>
            <w:r w:rsidRPr="0073449E">
              <w:rPr>
                <w:rFonts w:ascii="Calibri" w:eastAsia="Times New Roman" w:hAnsi="Calibri" w:cs="Calibri"/>
                <w:lang w:eastAsia="en-AU"/>
              </w:rPr>
              <w:t>Number of Registrations</w:t>
            </w:r>
            <w:r w:rsidRPr="0073449E">
              <w:rPr>
                <w:rFonts w:ascii="Calibri" w:eastAsia="Times New Roman" w:hAnsi="Calibri" w:cs="Calibri"/>
                <w:color w:val="auto"/>
                <w:lang w:eastAsia="en-AU"/>
              </w:rPr>
              <w:t> </w:t>
            </w:r>
          </w:p>
        </w:tc>
        <w:tc>
          <w:tcPr>
            <w:tcW w:w="1560" w:type="dxa"/>
            <w:shd w:val="clear" w:color="auto" w:fill="auto"/>
            <w:vAlign w:val="bottom"/>
            <w:hideMark/>
          </w:tcPr>
          <w:p w14:paraId="20465A12" w14:textId="77777777" w:rsidR="006F1F97" w:rsidRPr="0073449E" w:rsidRDefault="006F1F97" w:rsidP="004E092E">
            <w:pPr>
              <w:jc w:val="center"/>
              <w:rPr>
                <w:rFonts w:ascii="Times New Roman" w:eastAsia="Times New Roman" w:hAnsi="Times New Roman" w:cs="Times New Roman"/>
                <w:color w:val="auto"/>
                <w:sz w:val="24"/>
                <w:szCs w:val="24"/>
                <w:lang w:eastAsia="en-AU"/>
              </w:rPr>
            </w:pPr>
            <w:r w:rsidRPr="0073449E">
              <w:rPr>
                <w:rFonts w:eastAsia="Times New Roman"/>
                <w:color w:val="000000"/>
                <w:lang w:eastAsia="en-AU"/>
              </w:rPr>
              <w:t xml:space="preserve">143 </w:t>
            </w:r>
          </w:p>
        </w:tc>
        <w:tc>
          <w:tcPr>
            <w:tcW w:w="1842" w:type="dxa"/>
            <w:shd w:val="clear" w:color="auto" w:fill="auto"/>
            <w:vAlign w:val="bottom"/>
            <w:hideMark/>
          </w:tcPr>
          <w:p w14:paraId="45FA1B3D" w14:textId="77777777" w:rsidR="006F1F97" w:rsidRPr="0073449E" w:rsidRDefault="006F1F97" w:rsidP="004E092E">
            <w:pPr>
              <w:jc w:val="center"/>
              <w:rPr>
                <w:rFonts w:ascii="Times New Roman" w:eastAsia="Times New Roman" w:hAnsi="Times New Roman" w:cs="Times New Roman"/>
                <w:color w:val="auto"/>
                <w:sz w:val="24"/>
                <w:szCs w:val="24"/>
                <w:lang w:eastAsia="en-AU"/>
              </w:rPr>
            </w:pPr>
            <w:r w:rsidRPr="0073449E">
              <w:rPr>
                <w:rFonts w:eastAsia="Times New Roman"/>
                <w:color w:val="000000"/>
                <w:lang w:eastAsia="en-AU"/>
              </w:rPr>
              <w:t xml:space="preserve">20 </w:t>
            </w:r>
          </w:p>
        </w:tc>
        <w:tc>
          <w:tcPr>
            <w:tcW w:w="4678" w:type="dxa"/>
            <w:shd w:val="clear" w:color="auto" w:fill="auto"/>
            <w:vAlign w:val="bottom"/>
          </w:tcPr>
          <w:p w14:paraId="26F3BD91" w14:textId="77777777" w:rsidR="006F1F97" w:rsidRPr="0073449E" w:rsidRDefault="006F1F97" w:rsidP="004E092E">
            <w:pPr>
              <w:jc w:val="center"/>
              <w:rPr>
                <w:rFonts w:ascii="Times New Roman" w:eastAsia="Times New Roman" w:hAnsi="Times New Roman" w:cs="Times New Roman"/>
                <w:color w:val="auto"/>
                <w:sz w:val="24"/>
                <w:szCs w:val="24"/>
                <w:lang w:eastAsia="en-AU"/>
              </w:rPr>
            </w:pPr>
            <w:r w:rsidRPr="0073449E">
              <w:rPr>
                <w:rFonts w:eastAsia="Times New Roman"/>
                <w:color w:val="000000"/>
                <w:lang w:eastAsia="en-AU"/>
              </w:rPr>
              <w:t xml:space="preserve">8 </w:t>
            </w:r>
          </w:p>
        </w:tc>
      </w:tr>
      <w:tr w:rsidR="006F1F97" w:rsidRPr="008D5B78" w14:paraId="09CBBDA2" w14:textId="77777777" w:rsidTr="004E092E">
        <w:trPr>
          <w:trHeight w:val="300"/>
        </w:trPr>
        <w:tc>
          <w:tcPr>
            <w:tcW w:w="2268" w:type="dxa"/>
            <w:tcBorders>
              <w:bottom w:val="single" w:sz="4" w:space="0" w:color="auto"/>
            </w:tcBorders>
            <w:shd w:val="clear" w:color="auto" w:fill="auto"/>
            <w:vAlign w:val="bottom"/>
            <w:hideMark/>
          </w:tcPr>
          <w:p w14:paraId="1FF04C66" w14:textId="77777777" w:rsidR="006F1F97" w:rsidRPr="0073449E" w:rsidRDefault="006F1F97" w:rsidP="004E092E">
            <w:pPr>
              <w:rPr>
                <w:rFonts w:ascii="Times New Roman" w:eastAsia="Times New Roman" w:hAnsi="Times New Roman" w:cs="Times New Roman"/>
                <w:color w:val="auto"/>
                <w:sz w:val="24"/>
                <w:szCs w:val="24"/>
                <w:lang w:eastAsia="en-AU"/>
              </w:rPr>
            </w:pPr>
            <w:r w:rsidRPr="0073449E">
              <w:rPr>
                <w:rFonts w:ascii="Calibri" w:eastAsia="Times New Roman" w:hAnsi="Calibri" w:cs="Calibri"/>
                <w:lang w:eastAsia="en-AU"/>
              </w:rPr>
              <w:t>R&amp;D Expenditure (</w:t>
            </w:r>
            <w:r w:rsidRPr="0073449E">
              <w:rPr>
                <w:rFonts w:ascii="Calibri" w:eastAsia="Times New Roman" w:hAnsi="Calibri" w:cs="Calibri"/>
                <w:b/>
                <w:lang w:eastAsia="en-AU"/>
              </w:rPr>
              <w:t>million</w:t>
            </w:r>
            <w:r w:rsidRPr="0073449E">
              <w:rPr>
                <w:rFonts w:ascii="Calibri" w:eastAsia="Times New Roman" w:hAnsi="Calibri" w:cs="Calibri"/>
                <w:lang w:eastAsia="en-AU"/>
              </w:rPr>
              <w:t>)</w:t>
            </w:r>
            <w:r w:rsidRPr="0073449E">
              <w:rPr>
                <w:rFonts w:ascii="Calibri" w:eastAsia="Times New Roman" w:hAnsi="Calibri" w:cs="Calibri"/>
                <w:color w:val="auto"/>
                <w:lang w:eastAsia="en-AU"/>
              </w:rPr>
              <w:t> </w:t>
            </w:r>
          </w:p>
        </w:tc>
        <w:tc>
          <w:tcPr>
            <w:tcW w:w="1560" w:type="dxa"/>
            <w:tcBorders>
              <w:bottom w:val="single" w:sz="4" w:space="0" w:color="auto"/>
            </w:tcBorders>
            <w:shd w:val="clear" w:color="auto" w:fill="auto"/>
            <w:vAlign w:val="bottom"/>
            <w:hideMark/>
          </w:tcPr>
          <w:p w14:paraId="60AFB2E7" w14:textId="77777777" w:rsidR="006F1F97" w:rsidRPr="0073449E" w:rsidRDefault="006F1F97" w:rsidP="004E092E">
            <w:pPr>
              <w:jc w:val="center"/>
              <w:rPr>
                <w:rFonts w:ascii="Times New Roman" w:eastAsia="Times New Roman" w:hAnsi="Times New Roman" w:cs="Times New Roman"/>
                <w:color w:val="auto"/>
                <w:sz w:val="24"/>
                <w:szCs w:val="24"/>
                <w:lang w:eastAsia="en-AU"/>
              </w:rPr>
            </w:pPr>
            <w:r w:rsidRPr="0073449E">
              <w:rPr>
                <w:rFonts w:eastAsia="Times New Roman"/>
                <w:color w:val="000000"/>
                <w:lang w:eastAsia="en-AU"/>
              </w:rPr>
              <w:t>$147</w:t>
            </w:r>
          </w:p>
        </w:tc>
        <w:tc>
          <w:tcPr>
            <w:tcW w:w="1842" w:type="dxa"/>
            <w:tcBorders>
              <w:bottom w:val="single" w:sz="4" w:space="0" w:color="auto"/>
            </w:tcBorders>
            <w:shd w:val="clear" w:color="auto" w:fill="auto"/>
            <w:vAlign w:val="bottom"/>
            <w:hideMark/>
          </w:tcPr>
          <w:p w14:paraId="4F6F3D8E" w14:textId="77777777" w:rsidR="006F1F97" w:rsidRPr="0073449E" w:rsidRDefault="006F1F97" w:rsidP="004E092E">
            <w:pPr>
              <w:jc w:val="center"/>
              <w:rPr>
                <w:rFonts w:ascii="Times New Roman" w:eastAsia="Times New Roman" w:hAnsi="Times New Roman" w:cs="Times New Roman"/>
                <w:color w:val="auto"/>
                <w:sz w:val="24"/>
                <w:szCs w:val="24"/>
                <w:lang w:eastAsia="en-AU"/>
              </w:rPr>
            </w:pPr>
            <w:r w:rsidRPr="0073449E">
              <w:rPr>
                <w:rFonts w:eastAsia="Times New Roman"/>
                <w:color w:val="000000"/>
                <w:lang w:eastAsia="en-AU"/>
              </w:rPr>
              <w:t>$34</w:t>
            </w:r>
          </w:p>
        </w:tc>
        <w:tc>
          <w:tcPr>
            <w:tcW w:w="4678" w:type="dxa"/>
            <w:tcBorders>
              <w:bottom w:val="single" w:sz="4" w:space="0" w:color="auto"/>
            </w:tcBorders>
            <w:shd w:val="clear" w:color="auto" w:fill="auto"/>
            <w:vAlign w:val="bottom"/>
          </w:tcPr>
          <w:p w14:paraId="7999512A" w14:textId="77777777" w:rsidR="006F1F97" w:rsidRPr="0073449E" w:rsidRDefault="006F1F97" w:rsidP="004E092E">
            <w:pPr>
              <w:jc w:val="center"/>
              <w:rPr>
                <w:rFonts w:ascii="Times New Roman" w:eastAsia="Times New Roman" w:hAnsi="Times New Roman" w:cs="Times New Roman"/>
                <w:color w:val="auto"/>
                <w:sz w:val="24"/>
                <w:szCs w:val="24"/>
                <w:lang w:eastAsia="en-AU"/>
              </w:rPr>
            </w:pPr>
            <w:r w:rsidRPr="0073449E">
              <w:rPr>
                <w:rFonts w:eastAsia="Times New Roman"/>
                <w:color w:val="000000"/>
                <w:lang w:eastAsia="en-AU"/>
              </w:rPr>
              <w:t>$6</w:t>
            </w:r>
          </w:p>
        </w:tc>
      </w:tr>
    </w:tbl>
    <w:p w14:paraId="6836AF9D" w14:textId="77777777" w:rsidR="006F1F97" w:rsidRPr="0073449E" w:rsidRDefault="006F1F97" w:rsidP="006F1F97">
      <w:pPr>
        <w:pStyle w:val="Heading5"/>
        <w:rPr>
          <w:i w:val="0"/>
          <w:lang w:eastAsia="en-AU"/>
        </w:rPr>
      </w:pPr>
      <w:r w:rsidRPr="0073449E">
        <w:rPr>
          <w:i w:val="0"/>
          <w:lang w:eastAsia="en-AU"/>
        </w:rPr>
        <w:t xml:space="preserve">Table 11: Comparison by sector – TAS </w:t>
      </w:r>
    </w:p>
    <w:tbl>
      <w:tblPr>
        <w:tblW w:w="10348" w:type="dxa"/>
        <w:tblLayout w:type="fixed"/>
        <w:tblCellMar>
          <w:top w:w="15" w:type="dxa"/>
          <w:left w:w="15" w:type="dxa"/>
          <w:bottom w:w="15" w:type="dxa"/>
          <w:right w:w="15" w:type="dxa"/>
        </w:tblCellMar>
        <w:tblLook w:val="04A0" w:firstRow="1" w:lastRow="0" w:firstColumn="1" w:lastColumn="0" w:noHBand="0" w:noVBand="1"/>
      </w:tblPr>
      <w:tblGrid>
        <w:gridCol w:w="2268"/>
        <w:gridCol w:w="1560"/>
        <w:gridCol w:w="1842"/>
        <w:gridCol w:w="1531"/>
        <w:gridCol w:w="3147"/>
      </w:tblGrid>
      <w:tr w:rsidR="006F1F97" w:rsidRPr="008D5B78" w14:paraId="61CC54C7" w14:textId="77777777" w:rsidTr="004E092E">
        <w:trPr>
          <w:trHeight w:val="300"/>
        </w:trPr>
        <w:tc>
          <w:tcPr>
            <w:tcW w:w="2268" w:type="dxa"/>
            <w:shd w:val="clear" w:color="auto" w:fill="auto"/>
            <w:vAlign w:val="bottom"/>
            <w:hideMark/>
          </w:tcPr>
          <w:p w14:paraId="14FC09FB" w14:textId="77777777" w:rsidR="006F1F97" w:rsidRPr="0073449E" w:rsidRDefault="006F1F97" w:rsidP="004E092E">
            <w:pPr>
              <w:pStyle w:val="TableHeading"/>
              <w:rPr>
                <w:rFonts w:ascii="Times New Roman" w:hAnsi="Times New Roman" w:cs="Times New Roman"/>
                <w:color w:val="auto"/>
                <w:lang w:eastAsia="en-AU"/>
              </w:rPr>
            </w:pPr>
            <w:r w:rsidRPr="0073449E">
              <w:rPr>
                <w:lang w:eastAsia="en-AU"/>
              </w:rPr>
              <w:t>  </w:t>
            </w:r>
            <w:r w:rsidRPr="0073449E">
              <w:rPr>
                <w:color w:val="auto"/>
                <w:lang w:eastAsia="en-AU"/>
              </w:rPr>
              <w:t> </w:t>
            </w:r>
          </w:p>
        </w:tc>
        <w:tc>
          <w:tcPr>
            <w:tcW w:w="1560" w:type="dxa"/>
            <w:shd w:val="clear" w:color="auto" w:fill="auto"/>
            <w:vAlign w:val="center"/>
            <w:hideMark/>
          </w:tcPr>
          <w:p w14:paraId="2417A3E6" w14:textId="77777777" w:rsidR="006F1F97" w:rsidRPr="0073449E" w:rsidRDefault="006F1F97" w:rsidP="004E092E">
            <w:pPr>
              <w:pStyle w:val="TableHeading"/>
              <w:jc w:val="center"/>
              <w:rPr>
                <w:rFonts w:ascii="Times New Roman" w:hAnsi="Times New Roman" w:cs="Times New Roman"/>
                <w:color w:val="auto"/>
                <w:lang w:eastAsia="en-AU"/>
              </w:rPr>
            </w:pPr>
            <w:r w:rsidRPr="0073449E">
              <w:rPr>
                <w:lang w:eastAsia="en-AU"/>
              </w:rPr>
              <w:t>Services</w:t>
            </w:r>
          </w:p>
        </w:tc>
        <w:tc>
          <w:tcPr>
            <w:tcW w:w="1842" w:type="dxa"/>
            <w:shd w:val="clear" w:color="auto" w:fill="auto"/>
            <w:vAlign w:val="center"/>
            <w:hideMark/>
          </w:tcPr>
          <w:p w14:paraId="39F76D7F" w14:textId="77777777" w:rsidR="006F1F97" w:rsidRPr="0073449E" w:rsidRDefault="006F1F97" w:rsidP="004E092E">
            <w:pPr>
              <w:pStyle w:val="TableHeading"/>
              <w:jc w:val="center"/>
              <w:rPr>
                <w:rFonts w:ascii="Times New Roman" w:hAnsi="Times New Roman" w:cs="Times New Roman"/>
                <w:color w:val="auto"/>
                <w:lang w:eastAsia="en-AU"/>
              </w:rPr>
            </w:pPr>
            <w:r w:rsidRPr="0073449E">
              <w:rPr>
                <w:lang w:eastAsia="en-AU"/>
              </w:rPr>
              <w:t>Manufacturing</w:t>
            </w:r>
          </w:p>
        </w:tc>
        <w:tc>
          <w:tcPr>
            <w:tcW w:w="1531" w:type="dxa"/>
            <w:shd w:val="clear" w:color="auto" w:fill="auto"/>
            <w:vAlign w:val="center"/>
          </w:tcPr>
          <w:p w14:paraId="64306ACA" w14:textId="77777777" w:rsidR="006F1F97" w:rsidRPr="0073449E" w:rsidRDefault="006F1F97" w:rsidP="004E092E">
            <w:pPr>
              <w:pStyle w:val="TableHeading"/>
              <w:jc w:val="center"/>
              <w:rPr>
                <w:rFonts w:ascii="Times New Roman" w:hAnsi="Times New Roman" w:cs="Times New Roman"/>
                <w:color w:val="auto"/>
                <w:lang w:eastAsia="en-AU"/>
              </w:rPr>
            </w:pPr>
            <w:r w:rsidRPr="0073449E">
              <w:rPr>
                <w:lang w:eastAsia="en-AU"/>
              </w:rPr>
              <w:t>Agriculture</w:t>
            </w:r>
          </w:p>
        </w:tc>
        <w:tc>
          <w:tcPr>
            <w:tcW w:w="3147" w:type="dxa"/>
            <w:shd w:val="clear" w:color="auto" w:fill="auto"/>
            <w:vAlign w:val="center"/>
          </w:tcPr>
          <w:p w14:paraId="307DB66E" w14:textId="77777777" w:rsidR="006F1F97" w:rsidRPr="0073449E" w:rsidRDefault="006F1F97" w:rsidP="004E092E">
            <w:pPr>
              <w:pStyle w:val="TableHeading"/>
              <w:jc w:val="center"/>
              <w:rPr>
                <w:lang w:eastAsia="en-AU"/>
              </w:rPr>
            </w:pPr>
            <w:r w:rsidRPr="0073449E">
              <w:rPr>
                <w:lang w:eastAsia="en-AU"/>
              </w:rPr>
              <w:t>Mining** and e,g,w &amp; ws*</w:t>
            </w:r>
          </w:p>
        </w:tc>
      </w:tr>
      <w:tr w:rsidR="006F1F97" w:rsidRPr="008D5B78" w14:paraId="541F7786" w14:textId="77777777" w:rsidTr="004E092E">
        <w:trPr>
          <w:trHeight w:val="300"/>
        </w:trPr>
        <w:tc>
          <w:tcPr>
            <w:tcW w:w="2268" w:type="dxa"/>
            <w:shd w:val="clear" w:color="auto" w:fill="auto"/>
            <w:vAlign w:val="bottom"/>
            <w:hideMark/>
          </w:tcPr>
          <w:p w14:paraId="76DD46AF" w14:textId="77777777" w:rsidR="006F1F97" w:rsidRPr="00E91884" w:rsidRDefault="006F1F97" w:rsidP="004E092E">
            <w:pPr>
              <w:rPr>
                <w:rFonts w:ascii="Times New Roman" w:eastAsia="Times New Roman" w:hAnsi="Times New Roman" w:cs="Times New Roman"/>
                <w:color w:val="auto"/>
                <w:sz w:val="24"/>
                <w:szCs w:val="24"/>
                <w:lang w:eastAsia="en-AU"/>
              </w:rPr>
            </w:pPr>
            <w:r w:rsidRPr="00E91884">
              <w:rPr>
                <w:rFonts w:ascii="Calibri" w:eastAsia="Times New Roman" w:hAnsi="Calibri" w:cs="Calibri"/>
                <w:lang w:eastAsia="en-AU"/>
              </w:rPr>
              <w:t>Number of Registrations</w:t>
            </w:r>
            <w:r w:rsidRPr="00E91884">
              <w:rPr>
                <w:rFonts w:ascii="Calibri" w:eastAsia="Times New Roman" w:hAnsi="Calibri" w:cs="Calibri"/>
                <w:color w:val="auto"/>
                <w:lang w:eastAsia="en-AU"/>
              </w:rPr>
              <w:t> </w:t>
            </w:r>
          </w:p>
        </w:tc>
        <w:tc>
          <w:tcPr>
            <w:tcW w:w="1560" w:type="dxa"/>
            <w:shd w:val="clear" w:color="auto" w:fill="auto"/>
            <w:vAlign w:val="bottom"/>
            <w:hideMark/>
          </w:tcPr>
          <w:p w14:paraId="21ED9319" w14:textId="77777777" w:rsidR="006F1F97" w:rsidRPr="0073449E" w:rsidRDefault="006F1F97" w:rsidP="004E092E">
            <w:pPr>
              <w:jc w:val="center"/>
              <w:rPr>
                <w:rFonts w:ascii="Times New Roman" w:eastAsia="Times New Roman" w:hAnsi="Times New Roman" w:cs="Times New Roman"/>
                <w:color w:val="auto"/>
                <w:sz w:val="24"/>
                <w:szCs w:val="24"/>
                <w:lang w:eastAsia="en-AU"/>
              </w:rPr>
            </w:pPr>
            <w:r w:rsidRPr="0073449E">
              <w:rPr>
                <w:rFonts w:eastAsia="Times New Roman"/>
                <w:color w:val="000000"/>
                <w:lang w:eastAsia="en-AU"/>
              </w:rPr>
              <w:t>41</w:t>
            </w:r>
          </w:p>
        </w:tc>
        <w:tc>
          <w:tcPr>
            <w:tcW w:w="1842" w:type="dxa"/>
            <w:shd w:val="clear" w:color="auto" w:fill="auto"/>
            <w:vAlign w:val="bottom"/>
            <w:hideMark/>
          </w:tcPr>
          <w:p w14:paraId="3230F2BC" w14:textId="77777777" w:rsidR="006F1F97" w:rsidRPr="00E91884" w:rsidRDefault="006F1F97" w:rsidP="004E092E">
            <w:pPr>
              <w:jc w:val="center"/>
              <w:rPr>
                <w:rFonts w:ascii="Times New Roman" w:eastAsia="Times New Roman" w:hAnsi="Times New Roman" w:cs="Times New Roman"/>
                <w:color w:val="auto"/>
                <w:sz w:val="24"/>
                <w:szCs w:val="24"/>
                <w:lang w:eastAsia="en-AU"/>
              </w:rPr>
            </w:pPr>
            <w:r w:rsidRPr="00E91884">
              <w:rPr>
                <w:rFonts w:eastAsia="Times New Roman"/>
                <w:color w:val="000000"/>
                <w:lang w:eastAsia="en-AU"/>
              </w:rPr>
              <w:t xml:space="preserve">41 </w:t>
            </w:r>
          </w:p>
        </w:tc>
        <w:tc>
          <w:tcPr>
            <w:tcW w:w="1531" w:type="dxa"/>
            <w:shd w:val="clear" w:color="auto" w:fill="auto"/>
            <w:vAlign w:val="bottom"/>
          </w:tcPr>
          <w:p w14:paraId="1ADCE92C" w14:textId="77777777" w:rsidR="006F1F97" w:rsidRPr="00E91884" w:rsidRDefault="006F1F97" w:rsidP="004E092E">
            <w:pPr>
              <w:jc w:val="center"/>
              <w:rPr>
                <w:rFonts w:ascii="Times New Roman" w:eastAsia="Times New Roman" w:hAnsi="Times New Roman" w:cs="Times New Roman"/>
                <w:color w:val="auto"/>
                <w:sz w:val="24"/>
                <w:szCs w:val="24"/>
                <w:lang w:eastAsia="en-AU"/>
              </w:rPr>
            </w:pPr>
            <w:r w:rsidRPr="00E91884">
              <w:rPr>
                <w:rFonts w:eastAsia="Times New Roman"/>
                <w:color w:val="000000"/>
                <w:lang w:eastAsia="en-AU"/>
              </w:rPr>
              <w:t xml:space="preserve">32 </w:t>
            </w:r>
          </w:p>
        </w:tc>
        <w:tc>
          <w:tcPr>
            <w:tcW w:w="3147" w:type="dxa"/>
            <w:shd w:val="clear" w:color="auto" w:fill="auto"/>
            <w:vAlign w:val="bottom"/>
          </w:tcPr>
          <w:p w14:paraId="27E9EC6A" w14:textId="77777777" w:rsidR="006F1F97" w:rsidRPr="00E91884" w:rsidRDefault="006F1F97" w:rsidP="004E092E">
            <w:pPr>
              <w:jc w:val="center"/>
              <w:rPr>
                <w:rFonts w:ascii="Calibri" w:eastAsia="Times New Roman" w:hAnsi="Calibri" w:cs="Calibri"/>
                <w:lang w:eastAsia="en-AU"/>
              </w:rPr>
            </w:pPr>
            <w:r w:rsidRPr="00E91884">
              <w:rPr>
                <w:rFonts w:eastAsia="Times New Roman"/>
                <w:color w:val="000000"/>
                <w:lang w:eastAsia="en-AU"/>
              </w:rPr>
              <w:t xml:space="preserve">8 </w:t>
            </w:r>
          </w:p>
        </w:tc>
      </w:tr>
      <w:tr w:rsidR="006F1F97" w:rsidRPr="008D5B78" w14:paraId="1D06D73E" w14:textId="77777777" w:rsidTr="004E092E">
        <w:trPr>
          <w:trHeight w:val="300"/>
        </w:trPr>
        <w:tc>
          <w:tcPr>
            <w:tcW w:w="2268" w:type="dxa"/>
            <w:tcBorders>
              <w:bottom w:val="single" w:sz="4" w:space="0" w:color="auto"/>
            </w:tcBorders>
            <w:shd w:val="clear" w:color="auto" w:fill="auto"/>
            <w:vAlign w:val="bottom"/>
            <w:hideMark/>
          </w:tcPr>
          <w:p w14:paraId="5639216D" w14:textId="77777777" w:rsidR="006F1F97" w:rsidRPr="00E91884" w:rsidRDefault="006F1F97" w:rsidP="004E092E">
            <w:pPr>
              <w:rPr>
                <w:rFonts w:ascii="Times New Roman" w:eastAsia="Times New Roman" w:hAnsi="Times New Roman" w:cs="Times New Roman"/>
                <w:color w:val="auto"/>
                <w:sz w:val="24"/>
                <w:szCs w:val="24"/>
                <w:lang w:eastAsia="en-AU"/>
              </w:rPr>
            </w:pPr>
            <w:r w:rsidRPr="00E91884">
              <w:rPr>
                <w:rFonts w:ascii="Calibri" w:eastAsia="Times New Roman" w:hAnsi="Calibri" w:cs="Calibri"/>
                <w:lang w:eastAsia="en-AU"/>
              </w:rPr>
              <w:t>R&amp;D Expenditure (</w:t>
            </w:r>
            <w:r w:rsidRPr="00E91884">
              <w:rPr>
                <w:rFonts w:ascii="Calibri" w:eastAsia="Times New Roman" w:hAnsi="Calibri" w:cs="Calibri"/>
                <w:b/>
                <w:lang w:eastAsia="en-AU"/>
              </w:rPr>
              <w:t>million</w:t>
            </w:r>
            <w:r w:rsidRPr="00E91884">
              <w:rPr>
                <w:rFonts w:ascii="Calibri" w:eastAsia="Times New Roman" w:hAnsi="Calibri" w:cs="Calibri"/>
                <w:lang w:eastAsia="en-AU"/>
              </w:rPr>
              <w:t>)</w:t>
            </w:r>
            <w:r w:rsidRPr="00E91884">
              <w:rPr>
                <w:rFonts w:ascii="Calibri" w:eastAsia="Times New Roman" w:hAnsi="Calibri" w:cs="Calibri"/>
                <w:color w:val="auto"/>
                <w:lang w:eastAsia="en-AU"/>
              </w:rPr>
              <w:t> </w:t>
            </w:r>
          </w:p>
        </w:tc>
        <w:tc>
          <w:tcPr>
            <w:tcW w:w="1560" w:type="dxa"/>
            <w:tcBorders>
              <w:bottom w:val="single" w:sz="4" w:space="0" w:color="auto"/>
            </w:tcBorders>
            <w:shd w:val="clear" w:color="auto" w:fill="auto"/>
            <w:vAlign w:val="bottom"/>
            <w:hideMark/>
          </w:tcPr>
          <w:p w14:paraId="68C432F4" w14:textId="77777777" w:rsidR="006F1F97" w:rsidRPr="0073449E" w:rsidRDefault="006F1F97" w:rsidP="004E092E">
            <w:pPr>
              <w:jc w:val="center"/>
              <w:rPr>
                <w:rFonts w:ascii="Times New Roman" w:eastAsia="Times New Roman" w:hAnsi="Times New Roman" w:cs="Times New Roman"/>
                <w:color w:val="auto"/>
                <w:sz w:val="24"/>
                <w:szCs w:val="24"/>
                <w:lang w:eastAsia="en-AU"/>
              </w:rPr>
            </w:pPr>
            <w:r w:rsidRPr="0073449E">
              <w:rPr>
                <w:rFonts w:eastAsia="Times New Roman"/>
                <w:color w:val="000000"/>
                <w:lang w:eastAsia="en-AU"/>
              </w:rPr>
              <w:t>$19</w:t>
            </w:r>
          </w:p>
        </w:tc>
        <w:tc>
          <w:tcPr>
            <w:tcW w:w="1842" w:type="dxa"/>
            <w:tcBorders>
              <w:bottom w:val="single" w:sz="4" w:space="0" w:color="auto"/>
            </w:tcBorders>
            <w:shd w:val="clear" w:color="auto" w:fill="auto"/>
            <w:vAlign w:val="bottom"/>
            <w:hideMark/>
          </w:tcPr>
          <w:p w14:paraId="49E3AB1C" w14:textId="77777777" w:rsidR="006F1F97" w:rsidRPr="00E91884" w:rsidRDefault="006F1F97" w:rsidP="004E092E">
            <w:pPr>
              <w:jc w:val="center"/>
              <w:rPr>
                <w:rFonts w:ascii="Times New Roman" w:eastAsia="Times New Roman" w:hAnsi="Times New Roman" w:cs="Times New Roman"/>
                <w:color w:val="auto"/>
                <w:sz w:val="24"/>
                <w:szCs w:val="24"/>
                <w:lang w:eastAsia="en-AU"/>
              </w:rPr>
            </w:pPr>
            <w:r w:rsidRPr="00E91884">
              <w:rPr>
                <w:rFonts w:eastAsia="Times New Roman"/>
                <w:color w:val="000000"/>
                <w:lang w:eastAsia="en-AU"/>
              </w:rPr>
              <w:t>$30</w:t>
            </w:r>
          </w:p>
        </w:tc>
        <w:tc>
          <w:tcPr>
            <w:tcW w:w="1531" w:type="dxa"/>
            <w:tcBorders>
              <w:bottom w:val="single" w:sz="4" w:space="0" w:color="auto"/>
            </w:tcBorders>
            <w:shd w:val="clear" w:color="auto" w:fill="auto"/>
            <w:vAlign w:val="bottom"/>
          </w:tcPr>
          <w:p w14:paraId="3E281D4D" w14:textId="77777777" w:rsidR="006F1F97" w:rsidRPr="00E91884" w:rsidRDefault="006F1F97" w:rsidP="004E092E">
            <w:pPr>
              <w:jc w:val="center"/>
              <w:rPr>
                <w:rFonts w:ascii="Times New Roman" w:eastAsia="Times New Roman" w:hAnsi="Times New Roman" w:cs="Times New Roman"/>
                <w:color w:val="auto"/>
                <w:sz w:val="24"/>
                <w:szCs w:val="24"/>
                <w:lang w:eastAsia="en-AU"/>
              </w:rPr>
            </w:pPr>
            <w:r w:rsidRPr="00E91884">
              <w:rPr>
                <w:rFonts w:eastAsia="Times New Roman"/>
                <w:color w:val="000000"/>
                <w:lang w:eastAsia="en-AU"/>
              </w:rPr>
              <w:t>$84</w:t>
            </w:r>
          </w:p>
        </w:tc>
        <w:tc>
          <w:tcPr>
            <w:tcW w:w="3147" w:type="dxa"/>
            <w:tcBorders>
              <w:bottom w:val="single" w:sz="4" w:space="0" w:color="auto"/>
            </w:tcBorders>
            <w:shd w:val="clear" w:color="auto" w:fill="auto"/>
            <w:vAlign w:val="bottom"/>
          </w:tcPr>
          <w:p w14:paraId="23F8DB6E" w14:textId="77777777" w:rsidR="006F1F97" w:rsidRPr="00E91884" w:rsidRDefault="006F1F97" w:rsidP="004E092E">
            <w:pPr>
              <w:jc w:val="center"/>
              <w:rPr>
                <w:rFonts w:ascii="Calibri" w:eastAsia="Times New Roman" w:hAnsi="Calibri" w:cs="Calibri"/>
                <w:lang w:eastAsia="en-AU"/>
              </w:rPr>
            </w:pPr>
            <w:r w:rsidRPr="00E91884">
              <w:rPr>
                <w:rFonts w:eastAsia="Times New Roman"/>
                <w:color w:val="000000"/>
                <w:lang w:eastAsia="en-AU"/>
              </w:rPr>
              <w:t>$6</w:t>
            </w:r>
          </w:p>
        </w:tc>
      </w:tr>
    </w:tbl>
    <w:p w14:paraId="2A7C158E" w14:textId="77777777" w:rsidR="006F1F97" w:rsidRPr="002926AF" w:rsidRDefault="006F1F97" w:rsidP="006F1F97">
      <w:pPr>
        <w:rPr>
          <w:rStyle w:val="Emphasis"/>
        </w:rPr>
      </w:pPr>
      <w:r w:rsidRPr="0021759B">
        <w:rPr>
          <w:lang w:val="en-US" w:eastAsia="en-AU"/>
        </w:rPr>
        <w:t>* Electricity, Gas, Water &amp; Waste Services</w:t>
      </w:r>
      <w:r w:rsidRPr="0021759B">
        <w:rPr>
          <w:lang w:val="en-US" w:eastAsia="en-AU"/>
        </w:rPr>
        <w:br/>
      </w:r>
      <w:r w:rsidRPr="0021759B">
        <w:rPr>
          <w:rFonts w:ascii="Calibri" w:hAnsi="Calibri" w:cs="Calibri"/>
          <w:lang w:eastAsia="en-AU"/>
        </w:rPr>
        <w:t>** Combined for confidentiality reasons.</w:t>
      </w:r>
      <w:r w:rsidRPr="008D5B78">
        <w:rPr>
          <w:rFonts w:ascii="Calibri" w:eastAsia="Times New Roman" w:hAnsi="Calibri" w:cs="Calibri"/>
          <w:noProof/>
          <w:color w:val="auto"/>
          <w:sz w:val="22"/>
          <w:szCs w:val="22"/>
          <w:highlight w:val="yellow"/>
          <w:lang w:eastAsia="en-AU"/>
        </w:rPr>
        <mc:AlternateContent>
          <mc:Choice Requires="wps">
            <w:drawing>
              <wp:anchor distT="45720" distB="45720" distL="114300" distR="114300" simplePos="0" relativeHeight="251658240" behindDoc="0" locked="0" layoutInCell="1" allowOverlap="1" wp14:anchorId="73E375A1" wp14:editId="30B2CFCE">
                <wp:simplePos x="0" y="0"/>
                <wp:positionH relativeFrom="column">
                  <wp:posOffset>3625215</wp:posOffset>
                </wp:positionH>
                <wp:positionV relativeFrom="paragraph">
                  <wp:posOffset>165100</wp:posOffset>
                </wp:positionV>
                <wp:extent cx="480695" cy="598805"/>
                <wp:effectExtent l="0" t="0" r="0" b="0"/>
                <wp:wrapSquare wrapText="bothSides"/>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598805"/>
                        </a:xfrm>
                        <a:prstGeom prst="rect">
                          <a:avLst/>
                        </a:prstGeom>
                        <a:noFill/>
                        <a:ln w="9525">
                          <a:noFill/>
                          <a:miter lim="800000"/>
                          <a:headEnd/>
                          <a:tailEnd/>
                        </a:ln>
                      </wps:spPr>
                      <wps:txbx>
                        <w:txbxContent>
                          <w:p w14:paraId="1C8CB3AD" w14:textId="77777777" w:rsidR="006F1F97" w:rsidRDefault="006F1F97" w:rsidP="006F1F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375A1" id="Text Box 16" o:spid="_x0000_s1036" type="#_x0000_t202" alt="&quot;&quot;" style="position:absolute;margin-left:285.45pt;margin-top:13pt;width:37.85pt;height:47.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" filled="f" stroked="f">
                <v:textbox>
                  <w:txbxContent>
                    <w:p w14:paraId="1C8CB3AD" w14:textId="77777777" w:rsidR="006F1F97" w:rsidRDefault="006F1F97" w:rsidP="006F1F97"/>
                  </w:txbxContent>
                </v:textbox>
                <w10:wrap type="square"/>
              </v:shape>
            </w:pict>
          </mc:Fallback>
        </mc:AlternateContent>
      </w:r>
    </w:p>
    <w:p w14:paraId="7553AC9E" w14:textId="77777777" w:rsidR="006F1F97" w:rsidRDefault="006F1F97" w:rsidP="006F1F97">
      <w:pPr>
        <w:pStyle w:val="NormalWeb"/>
        <w:spacing w:before="0" w:beforeAutospacing="0" w:after="0" w:afterAutospacing="0"/>
        <w:rPr>
          <w:rFonts w:asciiTheme="minorHAnsi" w:eastAsiaTheme="minorEastAsia" w:hAnsiTheme="minorHAnsi" w:cstheme="minorBidi"/>
          <w:color w:val="000000" w:themeColor="text1"/>
          <w:sz w:val="20"/>
          <w:szCs w:val="20"/>
          <w:lang w:eastAsia="zh-CN"/>
        </w:rPr>
      </w:pPr>
    </w:p>
    <w:p w14:paraId="261226E8" w14:textId="77777777" w:rsidR="006F1F97" w:rsidRDefault="006F1F97" w:rsidP="006F1F97">
      <w:pPr>
        <w:pStyle w:val="NormalWeb"/>
        <w:spacing w:before="0" w:beforeAutospacing="0" w:after="0" w:afterAutospacing="0"/>
        <w:rPr>
          <w:rFonts w:asciiTheme="minorHAnsi" w:eastAsiaTheme="minorEastAsia" w:hAnsiTheme="minorHAnsi" w:cstheme="minorBidi"/>
          <w:color w:val="000000" w:themeColor="text1"/>
          <w:sz w:val="20"/>
          <w:szCs w:val="20"/>
          <w:lang w:eastAsia="zh-CN"/>
        </w:rPr>
      </w:pPr>
    </w:p>
    <w:p w14:paraId="7FE2B26E" w14:textId="2E2C2EDF" w:rsidR="006F1F97" w:rsidRDefault="006F1F97" w:rsidP="006F1F97">
      <w:pPr>
        <w:pStyle w:val="Heading2"/>
      </w:pPr>
      <w:r>
        <w:br w:type="page"/>
      </w:r>
    </w:p>
    <w:p w14:paraId="1631A031" w14:textId="56DD4CD0" w:rsidR="006F1F97" w:rsidRDefault="006F1F97" w:rsidP="00272C66">
      <w:pPr>
        <w:spacing w:after="480"/>
      </w:pPr>
      <w:r>
        <w:rPr>
          <w:noProof/>
          <w:lang w:eastAsia="en-AU"/>
        </w:rPr>
        <w:lastRenderedPageBreak/>
        <w:drawing>
          <wp:anchor distT="0" distB="0" distL="114300" distR="114300" simplePos="0" relativeHeight="251658244" behindDoc="1" locked="0" layoutInCell="1" allowOverlap="1" wp14:anchorId="47EF2DE8" wp14:editId="27382A13">
            <wp:simplePos x="0" y="0"/>
            <wp:positionH relativeFrom="page">
              <wp:posOffset>66675</wp:posOffset>
            </wp:positionH>
            <wp:positionV relativeFrom="paragraph">
              <wp:posOffset>-885825</wp:posOffset>
            </wp:positionV>
            <wp:extent cx="7293498" cy="1519167"/>
            <wp:effectExtent l="0" t="0" r="3175" b="508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93498" cy="1519167"/>
                    </a:xfrm>
                    <a:prstGeom prst="rect">
                      <a:avLst/>
                    </a:prstGeom>
                  </pic:spPr>
                </pic:pic>
              </a:graphicData>
            </a:graphic>
            <wp14:sizeRelH relativeFrom="page">
              <wp14:pctWidth>0</wp14:pctWidth>
            </wp14:sizeRelH>
            <wp14:sizeRelV relativeFrom="page">
              <wp14:pctHeight>0</wp14:pctHeight>
            </wp14:sizeRelV>
          </wp:anchor>
        </w:drawing>
      </w:r>
      <w:r>
        <w:tab/>
      </w:r>
    </w:p>
    <w:p w14:paraId="3E6FB11F" w14:textId="77777777" w:rsidR="006F1F97" w:rsidRPr="006F1F97" w:rsidRDefault="006F1F97" w:rsidP="00272C66"/>
    <w:p w14:paraId="26BFD4A7" w14:textId="77777777" w:rsidR="00851E7C" w:rsidRDefault="00851E7C" w:rsidP="006F1F97">
      <w:pPr>
        <w:pStyle w:val="Title"/>
        <w:jc w:val="center"/>
        <w:rPr>
          <w:sz w:val="52"/>
          <w:szCs w:val="52"/>
        </w:rPr>
      </w:pPr>
      <w:r>
        <w:rPr>
          <w:sz w:val="52"/>
          <w:szCs w:val="52"/>
        </w:rPr>
        <w:t>Attachment 2</w:t>
      </w:r>
    </w:p>
    <w:p w14:paraId="4CF6BAF6" w14:textId="551521D5" w:rsidR="006F1F97" w:rsidRDefault="006F1F97" w:rsidP="006F1F97">
      <w:pPr>
        <w:pStyle w:val="Title"/>
        <w:jc w:val="center"/>
        <w:rPr>
          <w:sz w:val="52"/>
          <w:szCs w:val="52"/>
        </w:rPr>
      </w:pPr>
      <w:r w:rsidRPr="3220171F">
        <w:rPr>
          <w:sz w:val="52"/>
          <w:szCs w:val="52"/>
        </w:rPr>
        <w:t>R&amp;D Tax Incentive</w:t>
      </w:r>
      <w:r>
        <w:rPr>
          <w:sz w:val="52"/>
          <w:szCs w:val="52"/>
        </w:rPr>
        <w:t xml:space="preserve"> - </w:t>
      </w:r>
      <w:r w:rsidRPr="3220171F">
        <w:rPr>
          <w:sz w:val="52"/>
          <w:szCs w:val="52"/>
        </w:rPr>
        <w:t>Determinations</w:t>
      </w:r>
    </w:p>
    <w:p w14:paraId="3A077487" w14:textId="08B627C4" w:rsidR="006F1F97" w:rsidRDefault="006F1F97" w:rsidP="006F1F97">
      <w:r>
        <w:rPr>
          <w:rFonts w:ascii="Calibri" w:eastAsia="Times New Roman" w:hAnsi="Calibri" w:cs="Calibri"/>
          <w:lang w:eastAsia="en-AU"/>
        </w:rPr>
        <w:t xml:space="preserve">The Department of Industry, Science and Resources (the department) is currently reviewing potential topics for future determinations and is eager to receive input from key stakeholders on where they believe this instrument could be most beneficial. </w:t>
      </w:r>
      <w:r w:rsidRPr="3220171F">
        <w:rPr>
          <w:rFonts w:ascii="Calibri" w:eastAsia="Times New Roman" w:hAnsi="Calibri" w:cs="Calibri"/>
          <w:lang w:eastAsia="en-AU"/>
        </w:rPr>
        <w:t>Th</w:t>
      </w:r>
      <w:r>
        <w:rPr>
          <w:rFonts w:ascii="Calibri" w:eastAsia="Times New Roman" w:hAnsi="Calibri" w:cs="Calibri"/>
          <w:lang w:eastAsia="en-AU"/>
        </w:rPr>
        <w:t>e</w:t>
      </w:r>
      <w:r w:rsidRPr="3220171F">
        <w:rPr>
          <w:rFonts w:ascii="Calibri" w:eastAsia="Times New Roman" w:hAnsi="Calibri" w:cs="Calibri"/>
          <w:lang w:eastAsia="en-AU"/>
        </w:rPr>
        <w:t xml:space="preserve"> S</w:t>
      </w:r>
      <w:r>
        <w:rPr>
          <w:rFonts w:ascii="Calibri" w:eastAsia="Times New Roman" w:hAnsi="Calibri" w:cs="Calibri"/>
          <w:lang w:eastAsia="en-AU"/>
        </w:rPr>
        <w:t xml:space="preserve">takeholder Reference </w:t>
      </w:r>
      <w:r w:rsidRPr="3220171F">
        <w:rPr>
          <w:rFonts w:ascii="Calibri" w:eastAsia="Times New Roman" w:hAnsi="Calibri" w:cs="Calibri"/>
          <w:lang w:eastAsia="en-AU"/>
        </w:rPr>
        <w:t>G</w:t>
      </w:r>
      <w:r>
        <w:rPr>
          <w:rFonts w:ascii="Calibri" w:eastAsia="Times New Roman" w:hAnsi="Calibri" w:cs="Calibri"/>
          <w:lang w:eastAsia="en-AU"/>
        </w:rPr>
        <w:t>roup</w:t>
      </w:r>
      <w:r w:rsidRPr="3220171F">
        <w:rPr>
          <w:rFonts w:ascii="Calibri" w:eastAsia="Times New Roman" w:hAnsi="Calibri" w:cs="Calibri"/>
          <w:lang w:eastAsia="en-AU"/>
        </w:rPr>
        <w:t xml:space="preserve"> is a key </w:t>
      </w:r>
      <w:r>
        <w:rPr>
          <w:rFonts w:ascii="Calibri" w:eastAsia="Times New Roman" w:hAnsi="Calibri" w:cs="Calibri"/>
          <w:lang w:eastAsia="en-AU"/>
        </w:rPr>
        <w:t>forum for discussing potential future topics and receiving valuable feedback. We</w:t>
      </w:r>
      <w:r w:rsidRPr="00517677">
        <w:rPr>
          <w:rFonts w:ascii="Calibri" w:eastAsia="Times New Roman" w:hAnsi="Calibri" w:cs="Calibri"/>
          <w:lang w:eastAsia="en-AU"/>
        </w:rPr>
        <w:t xml:space="preserve"> kindly ask </w:t>
      </w:r>
      <w:r>
        <w:rPr>
          <w:rFonts w:ascii="Calibri" w:eastAsia="Times New Roman" w:hAnsi="Calibri" w:cs="Calibri"/>
          <w:lang w:eastAsia="en-AU"/>
        </w:rPr>
        <w:t xml:space="preserve">for </w:t>
      </w:r>
      <w:r w:rsidRPr="00517677">
        <w:rPr>
          <w:rFonts w:ascii="Calibri" w:eastAsia="Times New Roman" w:hAnsi="Calibri" w:cs="Calibri"/>
          <w:lang w:eastAsia="en-AU"/>
        </w:rPr>
        <w:t xml:space="preserve">you to consider your response </w:t>
      </w:r>
      <w:r>
        <w:rPr>
          <w:rFonts w:ascii="Calibri" w:eastAsia="Times New Roman" w:hAnsi="Calibri" w:cs="Calibri"/>
          <w:lang w:eastAsia="en-AU"/>
        </w:rPr>
        <w:t xml:space="preserve">in advance of the session. </w:t>
      </w:r>
    </w:p>
    <w:p w14:paraId="4B0E3416" w14:textId="77777777" w:rsidR="006F1F97" w:rsidRPr="00BD20B0" w:rsidRDefault="006F1F97" w:rsidP="006F1F97">
      <w:pPr>
        <w:pStyle w:val="Heading2"/>
      </w:pPr>
      <w:r>
        <w:t>Background</w:t>
      </w:r>
    </w:p>
    <w:p w14:paraId="7AF1100C" w14:textId="77777777" w:rsidR="006F1F97" w:rsidRPr="00BD20B0" w:rsidRDefault="006F1F97" w:rsidP="006F1F97">
      <w:pPr>
        <w:rPr>
          <w:rFonts w:ascii="Calibri" w:eastAsia="Times New Roman" w:hAnsi="Calibri" w:cs="Calibri"/>
          <w:lang w:eastAsia="en-AU"/>
        </w:rPr>
      </w:pPr>
      <w:r w:rsidRPr="3220171F">
        <w:rPr>
          <w:rFonts w:ascii="Calibri" w:eastAsia="Times New Roman" w:hAnsi="Calibri" w:cs="Calibri"/>
          <w:lang w:eastAsia="en-AU"/>
        </w:rPr>
        <w:t xml:space="preserve">Under section 31D of the </w:t>
      </w:r>
      <w:r w:rsidRPr="3220171F">
        <w:rPr>
          <w:rFonts w:ascii="Calibri" w:eastAsia="Times New Roman" w:hAnsi="Calibri" w:cs="Calibri"/>
          <w:i/>
          <w:iCs/>
          <w:lang w:eastAsia="en-AU"/>
        </w:rPr>
        <w:t xml:space="preserve">Industry Research and Development Act 1986 </w:t>
      </w:r>
      <w:r w:rsidRPr="3220171F">
        <w:rPr>
          <w:rFonts w:ascii="Calibri" w:eastAsia="Times New Roman" w:hAnsi="Calibri" w:cs="Calibri"/>
          <w:lang w:eastAsia="en-AU"/>
        </w:rPr>
        <w:t>(IR&amp;D Act), Industry Innovation and Science Australia (the Board) can, through a notifiable instrument, make a determination that sets out how it will exercise its powers and perform its functions and duties under Part III of the IR&amp;D Act.</w:t>
      </w:r>
    </w:p>
    <w:p w14:paraId="0D019752" w14:textId="77777777" w:rsidR="006F1F97" w:rsidRDefault="006F1F97" w:rsidP="006F1F97">
      <w:pPr>
        <w:rPr>
          <w:rFonts w:ascii="Calibri" w:eastAsia="Times New Roman" w:hAnsi="Calibri" w:cs="Calibri"/>
          <w:lang w:eastAsia="en-AU"/>
        </w:rPr>
      </w:pPr>
      <w:r>
        <w:rPr>
          <w:rFonts w:ascii="Calibri" w:eastAsia="Times New Roman" w:hAnsi="Calibri" w:cs="Calibri"/>
          <w:lang w:eastAsia="en-AU"/>
        </w:rPr>
        <w:t>D</w:t>
      </w:r>
      <w:r w:rsidRPr="3220171F">
        <w:rPr>
          <w:rFonts w:ascii="Calibri" w:eastAsia="Times New Roman" w:hAnsi="Calibri" w:cs="Calibri"/>
          <w:lang w:eastAsia="en-AU"/>
        </w:rPr>
        <w:t xml:space="preserve">eterminations supplement </w:t>
      </w:r>
      <w:r>
        <w:rPr>
          <w:rFonts w:ascii="Calibri" w:eastAsia="Times New Roman" w:hAnsi="Calibri" w:cs="Calibri"/>
          <w:lang w:eastAsia="en-AU"/>
        </w:rPr>
        <w:t>the department’s</w:t>
      </w:r>
      <w:r w:rsidRPr="3220171F">
        <w:rPr>
          <w:rFonts w:ascii="Calibri" w:eastAsia="Times New Roman" w:hAnsi="Calibri" w:cs="Calibri"/>
          <w:lang w:eastAsia="en-AU"/>
        </w:rPr>
        <w:t xml:space="preserve"> guidance</w:t>
      </w:r>
      <w:r>
        <w:rPr>
          <w:rFonts w:ascii="Calibri" w:eastAsia="Times New Roman" w:hAnsi="Calibri" w:cs="Calibri"/>
          <w:lang w:eastAsia="en-AU"/>
        </w:rPr>
        <w:t xml:space="preserve"> products</w:t>
      </w:r>
      <w:r w:rsidRPr="3220171F">
        <w:rPr>
          <w:rFonts w:ascii="Calibri" w:eastAsia="Times New Roman" w:hAnsi="Calibri" w:cs="Calibri"/>
          <w:lang w:eastAsia="en-AU"/>
        </w:rPr>
        <w:t xml:space="preserve"> by publicly stating how the Board will perform its functions</w:t>
      </w:r>
      <w:r>
        <w:rPr>
          <w:rFonts w:ascii="Calibri" w:eastAsia="Times New Roman" w:hAnsi="Calibri" w:cs="Calibri"/>
          <w:lang w:eastAsia="en-AU"/>
        </w:rPr>
        <w:t xml:space="preserve"> and</w:t>
      </w:r>
      <w:r w:rsidRPr="3220171F">
        <w:rPr>
          <w:rFonts w:ascii="Calibri" w:eastAsia="Times New Roman" w:hAnsi="Calibri" w:cs="Calibri"/>
          <w:lang w:eastAsia="en-AU"/>
        </w:rPr>
        <w:t xml:space="preserve"> duties</w:t>
      </w:r>
      <w:r>
        <w:rPr>
          <w:rFonts w:ascii="Calibri" w:eastAsia="Times New Roman" w:hAnsi="Calibri" w:cs="Calibri"/>
          <w:lang w:eastAsia="en-AU"/>
        </w:rPr>
        <w:t>,</w:t>
      </w:r>
      <w:r w:rsidRPr="3220171F">
        <w:rPr>
          <w:rFonts w:ascii="Calibri" w:eastAsia="Times New Roman" w:hAnsi="Calibri" w:cs="Calibri"/>
          <w:lang w:eastAsia="en-AU"/>
        </w:rPr>
        <w:t xml:space="preserve"> or interpret</w:t>
      </w:r>
      <w:r>
        <w:rPr>
          <w:rFonts w:ascii="Calibri" w:eastAsia="Times New Roman" w:hAnsi="Calibri" w:cs="Calibri"/>
          <w:lang w:eastAsia="en-AU"/>
        </w:rPr>
        <w:t xml:space="preserve"> the</w:t>
      </w:r>
      <w:r w:rsidRPr="3220171F">
        <w:rPr>
          <w:rFonts w:ascii="Calibri" w:eastAsia="Times New Roman" w:hAnsi="Calibri" w:cs="Calibri"/>
          <w:lang w:eastAsia="en-AU"/>
        </w:rPr>
        <w:t xml:space="preserve"> legislation. The overall objective of </w:t>
      </w:r>
      <w:r>
        <w:rPr>
          <w:rFonts w:ascii="Calibri" w:eastAsia="Times New Roman" w:hAnsi="Calibri" w:cs="Calibri"/>
          <w:lang w:eastAsia="en-AU"/>
        </w:rPr>
        <w:t>d</w:t>
      </w:r>
      <w:r w:rsidRPr="3220171F">
        <w:rPr>
          <w:rFonts w:ascii="Calibri" w:eastAsia="Times New Roman" w:hAnsi="Calibri" w:cs="Calibri"/>
          <w:lang w:eastAsia="en-AU"/>
        </w:rPr>
        <w:t>etermination</w:t>
      </w:r>
      <w:r>
        <w:rPr>
          <w:rFonts w:ascii="Calibri" w:eastAsia="Times New Roman" w:hAnsi="Calibri" w:cs="Calibri"/>
          <w:lang w:eastAsia="en-AU"/>
        </w:rPr>
        <w:t xml:space="preserve">s </w:t>
      </w:r>
      <w:r w:rsidRPr="3220171F">
        <w:rPr>
          <w:rFonts w:ascii="Calibri" w:eastAsia="Times New Roman" w:hAnsi="Calibri" w:cs="Calibri"/>
          <w:lang w:eastAsia="en-AU"/>
        </w:rPr>
        <w:t>is to enhance the efficiency</w:t>
      </w:r>
      <w:r>
        <w:rPr>
          <w:rFonts w:ascii="Calibri" w:eastAsia="Times New Roman" w:hAnsi="Calibri" w:cs="Calibri"/>
          <w:lang w:eastAsia="en-AU"/>
        </w:rPr>
        <w:t xml:space="preserve"> and</w:t>
      </w:r>
      <w:r w:rsidRPr="3220171F">
        <w:rPr>
          <w:rFonts w:ascii="Calibri" w:eastAsia="Times New Roman" w:hAnsi="Calibri" w:cs="Calibri"/>
          <w:lang w:eastAsia="en-AU"/>
        </w:rPr>
        <w:t xml:space="preserve"> effectiveness of</w:t>
      </w:r>
      <w:r>
        <w:rPr>
          <w:rFonts w:ascii="Calibri" w:eastAsia="Times New Roman" w:hAnsi="Calibri" w:cs="Calibri"/>
          <w:lang w:eastAsia="en-AU"/>
        </w:rPr>
        <w:t xml:space="preserve"> </w:t>
      </w:r>
      <w:r w:rsidRPr="3220171F">
        <w:rPr>
          <w:rFonts w:ascii="Calibri" w:eastAsia="Times New Roman" w:hAnsi="Calibri" w:cs="Calibri"/>
          <w:lang w:eastAsia="en-AU"/>
        </w:rPr>
        <w:t xml:space="preserve">the </w:t>
      </w:r>
      <w:r>
        <w:rPr>
          <w:rFonts w:ascii="Calibri" w:eastAsia="Times New Roman" w:hAnsi="Calibri" w:cs="Calibri"/>
          <w:lang w:eastAsia="en-AU"/>
        </w:rPr>
        <w:t xml:space="preserve">R&amp;D Tax Incentive (R&amp;DTI) </w:t>
      </w:r>
      <w:r w:rsidRPr="3220171F">
        <w:rPr>
          <w:rFonts w:ascii="Calibri" w:eastAsia="Times New Roman" w:hAnsi="Calibri" w:cs="Calibri"/>
          <w:lang w:eastAsia="en-AU"/>
        </w:rPr>
        <w:t>program</w:t>
      </w:r>
      <w:r>
        <w:rPr>
          <w:rFonts w:ascii="Calibri" w:eastAsia="Times New Roman" w:hAnsi="Calibri" w:cs="Calibri"/>
          <w:lang w:eastAsia="en-AU"/>
        </w:rPr>
        <w:t xml:space="preserve"> while providing clarity and certainty for program users. </w:t>
      </w:r>
      <w:r w:rsidRPr="3220171F">
        <w:rPr>
          <w:rFonts w:ascii="Calibri" w:eastAsia="Times New Roman" w:hAnsi="Calibri" w:cs="Calibri"/>
          <w:lang w:eastAsia="en-AU"/>
        </w:rPr>
        <w:t>This is tested by measuring the effectiveness of issued determinations.</w:t>
      </w:r>
    </w:p>
    <w:p w14:paraId="1116DB1E" w14:textId="77777777" w:rsidR="006F1F97" w:rsidRPr="00BD20B0" w:rsidRDefault="006F1F97" w:rsidP="006F1F97">
      <w:pPr>
        <w:pStyle w:val="Heading2"/>
      </w:pPr>
      <w:r>
        <w:t>Future Determinations Topics</w:t>
      </w:r>
    </w:p>
    <w:p w14:paraId="2B9E461C" w14:textId="4724D893" w:rsidR="006F1F97" w:rsidRDefault="006F1F97" w:rsidP="006F1F97">
      <w:pPr>
        <w:spacing w:before="240"/>
        <w:rPr>
          <w:rFonts w:ascii="Calibri" w:eastAsia="Times New Roman" w:hAnsi="Calibri" w:cs="Calibri"/>
          <w:lang w:eastAsia="en-AU"/>
        </w:rPr>
      </w:pPr>
      <w:r>
        <w:rPr>
          <w:rFonts w:ascii="Calibri" w:eastAsia="Times New Roman" w:hAnsi="Calibri" w:cs="Calibri"/>
          <w:lang w:eastAsia="en-AU"/>
        </w:rPr>
        <w:t>In addition to feedback from key stakeholders, o</w:t>
      </w:r>
      <w:r w:rsidRPr="00596F51">
        <w:rPr>
          <w:rFonts w:ascii="Calibri" w:eastAsia="Times New Roman" w:hAnsi="Calibri" w:cs="Calibri"/>
          <w:lang w:eastAsia="en-AU"/>
        </w:rPr>
        <w:t>ther activities being undertaken across the</w:t>
      </w:r>
      <w:r>
        <w:rPr>
          <w:rFonts w:ascii="Calibri" w:eastAsia="Times New Roman" w:hAnsi="Calibri" w:cs="Calibri"/>
          <w:lang w:eastAsia="en-AU"/>
        </w:rPr>
        <w:t xml:space="preserve"> R&amp;DTI</w:t>
      </w:r>
      <w:r w:rsidRPr="00596F51">
        <w:rPr>
          <w:rFonts w:ascii="Calibri" w:eastAsia="Times New Roman" w:hAnsi="Calibri" w:cs="Calibri"/>
          <w:lang w:eastAsia="en-AU"/>
        </w:rPr>
        <w:t xml:space="preserve"> branch will feed into this development process for future determinations topic</w:t>
      </w:r>
      <w:r>
        <w:rPr>
          <w:rFonts w:ascii="Calibri" w:eastAsia="Times New Roman" w:hAnsi="Calibri" w:cs="Calibri"/>
          <w:lang w:eastAsia="en-AU"/>
        </w:rPr>
        <w:t>s</w:t>
      </w:r>
      <w:r>
        <w:t xml:space="preserve"> </w:t>
      </w:r>
      <w:r w:rsidRPr="00412964">
        <w:rPr>
          <w:rFonts w:ascii="Calibri" w:eastAsia="Times New Roman" w:hAnsi="Calibri" w:cs="Calibri"/>
          <w:lang w:eastAsia="en-AU"/>
        </w:rPr>
        <w:t xml:space="preserve">including the Advanced Findings Strategy and Software Project. </w:t>
      </w:r>
      <w:r w:rsidRPr="3220171F">
        <w:rPr>
          <w:rFonts w:ascii="Calibri" w:eastAsia="Times New Roman" w:hAnsi="Calibri" w:cs="Calibri"/>
          <w:lang w:eastAsia="en-AU"/>
        </w:rPr>
        <w:t>Potential synergies with the National Reconstruction Fund (NRF) are currently being explored via ongoing discussions with the NRF team, specifically in relation to priority sectors and opportunities for future determinations.</w:t>
      </w:r>
    </w:p>
    <w:p w14:paraId="71F47CA1" w14:textId="77777777" w:rsidR="006F1F97" w:rsidRPr="00944BF3" w:rsidRDefault="006F1F97" w:rsidP="006F1F97">
      <w:pPr>
        <w:pStyle w:val="Heading2"/>
      </w:pPr>
      <w:r w:rsidRPr="00944BF3">
        <w:t>Clinical Trials Determination</w:t>
      </w:r>
    </w:p>
    <w:p w14:paraId="4B5E323C" w14:textId="77777777" w:rsidR="006F1F97" w:rsidRDefault="006F1F97" w:rsidP="006F1F97">
      <w:pPr>
        <w:spacing w:before="240"/>
        <w:rPr>
          <w:rFonts w:ascii="Calibri" w:eastAsia="Times New Roman" w:hAnsi="Calibri" w:cs="Calibri"/>
          <w:lang w:eastAsia="en-AU"/>
        </w:rPr>
      </w:pPr>
      <w:r w:rsidRPr="3220171F">
        <w:rPr>
          <w:rFonts w:ascii="Calibri" w:eastAsia="Times New Roman" w:hAnsi="Calibri" w:cs="Calibri"/>
          <w:lang w:eastAsia="en-AU"/>
        </w:rPr>
        <w:t xml:space="preserve">The </w:t>
      </w:r>
      <w:r w:rsidRPr="0020542C">
        <w:rPr>
          <w:rFonts w:ascii="Calibri" w:eastAsia="Times New Roman" w:hAnsi="Calibri" w:cs="Calibri"/>
          <w:i/>
          <w:iCs/>
          <w:lang w:eastAsia="en-AU"/>
        </w:rPr>
        <w:t>Industry Research and Development (Clinical Trials) Determination 2022</w:t>
      </w:r>
      <w:r w:rsidRPr="3220171F">
        <w:rPr>
          <w:rFonts w:ascii="Calibri" w:eastAsia="Times New Roman" w:hAnsi="Calibri" w:cs="Calibri"/>
          <w:lang w:eastAsia="en-AU"/>
        </w:rPr>
        <w:t xml:space="preserve"> </w:t>
      </w:r>
      <w:r>
        <w:rPr>
          <w:rFonts w:ascii="Calibri" w:eastAsia="Times New Roman" w:hAnsi="Calibri" w:cs="Calibri"/>
          <w:lang w:eastAsia="en-AU"/>
        </w:rPr>
        <w:t xml:space="preserve">(the Clinical Trials determination) came </w:t>
      </w:r>
      <w:r w:rsidRPr="3220171F">
        <w:rPr>
          <w:rFonts w:ascii="Calibri" w:eastAsia="Times New Roman" w:hAnsi="Calibri" w:cs="Calibri"/>
          <w:lang w:eastAsia="en-AU"/>
        </w:rPr>
        <w:t>into effect on 1 April 2022. The aim of th</w:t>
      </w:r>
      <w:r>
        <w:rPr>
          <w:rFonts w:ascii="Calibri" w:eastAsia="Times New Roman" w:hAnsi="Calibri" w:cs="Calibri"/>
          <w:lang w:eastAsia="en-AU"/>
        </w:rPr>
        <w:t>e Clinical Trials</w:t>
      </w:r>
      <w:r w:rsidRPr="3220171F">
        <w:rPr>
          <w:rFonts w:ascii="Calibri" w:eastAsia="Times New Roman" w:hAnsi="Calibri" w:cs="Calibri"/>
          <w:lang w:eastAsia="en-AU"/>
        </w:rPr>
        <w:t xml:space="preserve"> determination is to simplify applications to the </w:t>
      </w:r>
      <w:r>
        <w:rPr>
          <w:rFonts w:ascii="Calibri" w:eastAsia="Times New Roman" w:hAnsi="Calibri" w:cs="Calibri"/>
          <w:lang w:eastAsia="en-AU"/>
        </w:rPr>
        <w:t xml:space="preserve">R&amp;DTI </w:t>
      </w:r>
      <w:r w:rsidRPr="3220171F">
        <w:rPr>
          <w:rFonts w:ascii="Calibri" w:eastAsia="Times New Roman" w:hAnsi="Calibri" w:cs="Calibri"/>
          <w:lang w:eastAsia="en-AU"/>
        </w:rPr>
        <w:t>program and provide certainty for companies whose activities fall within the scope of the determination.</w:t>
      </w:r>
    </w:p>
    <w:p w14:paraId="77BA0A79" w14:textId="77777777" w:rsidR="006F1F97" w:rsidRPr="00C96C2B" w:rsidRDefault="006F1F97" w:rsidP="006F1F97">
      <w:pPr>
        <w:spacing w:before="240"/>
        <w:rPr>
          <w:rFonts w:ascii="Calibri" w:eastAsia="Times New Roman" w:hAnsi="Calibri" w:cs="Calibri"/>
          <w:lang w:eastAsia="en-AU"/>
        </w:rPr>
      </w:pPr>
      <w:r>
        <w:rPr>
          <w:rFonts w:ascii="Calibri" w:eastAsia="Times New Roman" w:hAnsi="Calibri" w:cs="Calibri"/>
          <w:lang w:eastAsia="en-AU"/>
        </w:rPr>
        <w:t>The department’s</w:t>
      </w:r>
      <w:r w:rsidRPr="00C96C2B">
        <w:rPr>
          <w:rFonts w:ascii="Calibri" w:eastAsia="Times New Roman" w:hAnsi="Calibri" w:cs="Calibri"/>
          <w:lang w:eastAsia="en-AU"/>
        </w:rPr>
        <w:t xml:space="preserve"> internal data has provided insights into the usage and performance of the </w:t>
      </w:r>
      <w:r>
        <w:rPr>
          <w:rFonts w:ascii="Calibri" w:eastAsia="Times New Roman" w:hAnsi="Calibri" w:cs="Calibri"/>
          <w:lang w:eastAsia="en-AU"/>
        </w:rPr>
        <w:t>C</w:t>
      </w:r>
      <w:r w:rsidRPr="00C96C2B">
        <w:rPr>
          <w:rFonts w:ascii="Calibri" w:eastAsia="Times New Roman" w:hAnsi="Calibri" w:cs="Calibri"/>
          <w:lang w:eastAsia="en-AU"/>
        </w:rPr>
        <w:t xml:space="preserve">linical </w:t>
      </w:r>
      <w:r>
        <w:rPr>
          <w:rFonts w:ascii="Calibri" w:eastAsia="Times New Roman" w:hAnsi="Calibri" w:cs="Calibri"/>
          <w:lang w:eastAsia="en-AU"/>
        </w:rPr>
        <w:t>T</w:t>
      </w:r>
      <w:r w:rsidRPr="00C96C2B">
        <w:rPr>
          <w:rFonts w:ascii="Calibri" w:eastAsia="Times New Roman" w:hAnsi="Calibri" w:cs="Calibri"/>
          <w:lang w:eastAsia="en-AU"/>
        </w:rPr>
        <w:t xml:space="preserve">rials determination. This data has been analysed to quantify the impact of the determination, plan data-driven stakeholder engagement activities and inform the development of future determinations. Initial insights include: </w:t>
      </w:r>
    </w:p>
    <w:p w14:paraId="3730CCA1" w14:textId="77777777" w:rsidR="006F1F97" w:rsidRDefault="006F1F97" w:rsidP="006F1F97">
      <w:pPr>
        <w:pStyle w:val="ListParagraph"/>
        <w:numPr>
          <w:ilvl w:val="0"/>
          <w:numId w:val="16"/>
        </w:numPr>
        <w:spacing w:before="240"/>
        <w:rPr>
          <w:rFonts w:ascii="Calibri" w:eastAsia="Times New Roman" w:hAnsi="Calibri" w:cs="Calibri"/>
          <w:lang w:eastAsia="en-AU"/>
        </w:rPr>
      </w:pPr>
      <w:r w:rsidRPr="00C96C2B">
        <w:rPr>
          <w:rFonts w:ascii="Calibri" w:eastAsia="Times New Roman" w:hAnsi="Calibri" w:cs="Calibri"/>
          <w:lang w:eastAsia="en-AU"/>
        </w:rPr>
        <w:t xml:space="preserve">The majority of clinical trials </w:t>
      </w:r>
      <w:r>
        <w:rPr>
          <w:rFonts w:ascii="Calibri" w:eastAsia="Times New Roman" w:hAnsi="Calibri" w:cs="Calibri"/>
          <w:lang w:eastAsia="en-AU"/>
        </w:rPr>
        <w:t>applicants</w:t>
      </w:r>
      <w:r w:rsidRPr="00C96C2B">
        <w:rPr>
          <w:rFonts w:ascii="Calibri" w:eastAsia="Times New Roman" w:hAnsi="Calibri" w:cs="Calibri"/>
          <w:lang w:eastAsia="en-AU"/>
        </w:rPr>
        <w:t xml:space="preserve"> (&gt;95%) relied on </w:t>
      </w:r>
      <w:r>
        <w:rPr>
          <w:rFonts w:ascii="Calibri" w:eastAsia="Times New Roman" w:hAnsi="Calibri" w:cs="Calibri"/>
          <w:lang w:eastAsia="en-AU"/>
        </w:rPr>
        <w:t xml:space="preserve">the support of a tax agent or consultant in submitting an R&amp;DTI registration.  </w:t>
      </w:r>
      <w:r w:rsidRPr="00C96C2B">
        <w:rPr>
          <w:rFonts w:ascii="Calibri" w:eastAsia="Times New Roman" w:hAnsi="Calibri" w:cs="Calibri"/>
          <w:lang w:eastAsia="en-AU"/>
        </w:rPr>
        <w:t xml:space="preserve"> </w:t>
      </w:r>
    </w:p>
    <w:p w14:paraId="3A442A3C" w14:textId="77777777" w:rsidR="00851E7C" w:rsidRPr="00851E7C" w:rsidRDefault="006F1F97" w:rsidP="006369A9">
      <w:pPr>
        <w:pStyle w:val="ListParagraph"/>
        <w:numPr>
          <w:ilvl w:val="0"/>
          <w:numId w:val="16"/>
        </w:numPr>
        <w:spacing w:before="240"/>
        <w:rPr>
          <w:lang w:eastAsia="en-US"/>
        </w:rPr>
      </w:pPr>
      <w:r w:rsidRPr="00851E7C">
        <w:rPr>
          <w:rFonts w:ascii="Calibri" w:eastAsia="Times New Roman" w:hAnsi="Calibri" w:cs="Calibri"/>
          <w:lang w:eastAsia="en-AU"/>
        </w:rPr>
        <w:t>59% (300 out of 511) of clinical trials applications (received after release of the determination on 1 April 2022) relied on the determination</w:t>
      </w:r>
    </w:p>
    <w:p w14:paraId="6A574A5C" w14:textId="1779E49D" w:rsidR="0073319D" w:rsidRPr="00C937FA" w:rsidRDefault="006F1F97" w:rsidP="00851E7C">
      <w:pPr>
        <w:spacing w:before="240"/>
        <w:rPr>
          <w:lang w:eastAsia="en-US"/>
        </w:rPr>
      </w:pPr>
      <w:r w:rsidRPr="00851E7C">
        <w:rPr>
          <w:rFonts w:ascii="Calibri" w:eastAsia="Times New Roman" w:hAnsi="Calibri" w:cs="Calibri"/>
          <w:lang w:eastAsia="en-AU"/>
        </w:rPr>
        <w:t>We are currently undertaking feedback sessions with users of the Clinical Trials determination to measure its effectiveness.</w:t>
      </w:r>
    </w:p>
    <w:sectPr w:rsidR="0073319D" w:rsidRPr="00C937FA" w:rsidSect="00F627E6">
      <w:footerReference w:type="default" r:id="rId17"/>
      <w:headerReference w:type="first" r:id="rId18"/>
      <w:footerReference w:type="first" r:id="rId19"/>
      <w:pgSz w:w="11906" w:h="16838" w:code="9"/>
      <w:pgMar w:top="1440" w:right="1080" w:bottom="1440" w:left="1080" w:header="73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C9138" w14:textId="77777777" w:rsidR="00D236D7" w:rsidRDefault="00D236D7" w:rsidP="00D560DC">
      <w:pPr>
        <w:spacing w:before="0" w:after="0" w:line="240" w:lineRule="auto"/>
      </w:pPr>
      <w:r>
        <w:separator/>
      </w:r>
    </w:p>
  </w:endnote>
  <w:endnote w:type="continuationSeparator" w:id="0">
    <w:p w14:paraId="593B450E" w14:textId="77777777" w:rsidR="00D236D7" w:rsidRDefault="00D236D7" w:rsidP="00D560DC">
      <w:pPr>
        <w:spacing w:before="0" w:after="0" w:line="240" w:lineRule="auto"/>
      </w:pPr>
      <w:r>
        <w:continuationSeparator/>
      </w:r>
    </w:p>
  </w:endnote>
  <w:endnote w:type="continuationNotice" w:id="1">
    <w:p w14:paraId="7831BCA8" w14:textId="77777777" w:rsidR="00D236D7" w:rsidRDefault="00D236D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533B" w14:textId="77777777" w:rsidR="00D236D7" w:rsidRDefault="00D236D7" w:rsidP="0039793D">
    <w:pPr>
      <w:pStyle w:val="Footer"/>
    </w:pPr>
    <w:r>
      <w:rPr>
        <w:noProof/>
        <w:lang w:eastAsia="en-AU"/>
      </w:rPr>
      <mc:AlternateContent>
        <mc:Choice Requires="wps">
          <w:drawing>
            <wp:anchor distT="0" distB="0" distL="114300" distR="114300" simplePos="0" relativeHeight="251658240" behindDoc="0" locked="0" layoutInCell="1" allowOverlap="1" wp14:anchorId="5700352D" wp14:editId="3E04EFE4">
              <wp:simplePos x="0" y="0"/>
              <wp:positionH relativeFrom="page">
                <wp:align>right</wp:align>
              </wp:positionH>
              <wp:positionV relativeFrom="page">
                <wp:align>bottom</wp:align>
              </wp:positionV>
              <wp:extent cx="1080000" cy="468000"/>
              <wp:effectExtent l="0" t="0" r="0" b="0"/>
              <wp:wrapNone/>
              <wp:docPr id="21" name="Text Box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7A1500D2" w14:textId="77777777" w:rsidR="00D236D7" w:rsidRDefault="00D236D7" w:rsidP="0039793D">
                          <w:pPr>
                            <w:jc w:val="right"/>
                          </w:pPr>
                          <w:r>
                            <w:fldChar w:fldCharType="begin"/>
                          </w:r>
                          <w:r>
                            <w:instrText xml:space="preserve"> PAGE   \* MERGEFORMAT </w:instrText>
                          </w:r>
                          <w:r>
                            <w:fldChar w:fldCharType="separate"/>
                          </w:r>
                          <w:r w:rsidR="004705EE">
                            <w:rPr>
                              <w:noProof/>
                            </w:rPr>
                            <w:t>14</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0352D" id="_x0000_t202" coordsize="21600,21600" o:spt="202" path="m,l,21600r21600,l21600,xe">
              <v:stroke joinstyle="miter"/>
              <v:path gradientshapeok="t" o:connecttype="rect"/>
            </v:shapetype>
            <v:shape id="Text Box 21" o:spid="_x0000_s1037" type="#_x0000_t202" alt="&quot;&quot;" style="position:absolute;margin-left:33.85pt;margin-top:0;width:85.05pt;height:36.85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" filled="f" stroked="f" strokeweight=".5pt">
              <v:textbox inset="0,0,18mm,5mm">
                <w:txbxContent>
                  <w:p w14:paraId="7A1500D2" w14:textId="77777777" w:rsidR="00D236D7" w:rsidRDefault="00D236D7" w:rsidP="0039793D">
                    <w:pPr>
                      <w:jc w:val="right"/>
                    </w:pPr>
                    <w:r>
                      <w:fldChar w:fldCharType="begin"/>
                    </w:r>
                    <w:r>
                      <w:instrText xml:space="preserve"> PAGE   \* MERGEFORMAT </w:instrText>
                    </w:r>
                    <w:r>
                      <w:fldChar w:fldCharType="separate"/>
                    </w:r>
                    <w:r w:rsidR="004705EE">
                      <w:rPr>
                        <w:noProof/>
                      </w:rPr>
                      <w:t>14</w:t>
                    </w:r>
                    <w:r>
                      <w:rPr>
                        <w:noProof/>
                      </w:rPr>
                      <w:fldChar w:fldCharType="end"/>
                    </w:r>
                  </w:p>
                </w:txbxContent>
              </v:textbox>
              <w10:wrap anchorx="page" anchory="page"/>
            </v:shape>
          </w:pict>
        </mc:Fallback>
      </mc:AlternateContent>
    </w:r>
    <w:r>
      <w:rPr>
        <w:noProof/>
        <w:lang w:eastAsia="en-AU"/>
      </w:rPr>
      <w:drawing>
        <wp:inline distT="0" distB="0" distL="0" distR="0" wp14:anchorId="5E73D0EC" wp14:editId="1C22D86F">
          <wp:extent cx="6912000" cy="110015"/>
          <wp:effectExtent l="0" t="0" r="0" b="444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Gs-12.jpg"/>
                  <pic:cNvPicPr/>
                </pic:nvPicPr>
                <pic:blipFill>
                  <a:blip r:embed="rId1">
                    <a:extLst>
                      <a:ext uri="{28A0092B-C50C-407E-A947-70E740481C1C}">
                        <a14:useLocalDpi xmlns:a14="http://schemas.microsoft.com/office/drawing/2010/main" val="0"/>
                      </a:ext>
                    </a:extLst>
                  </a:blip>
                  <a:stretch>
                    <a:fillRect/>
                  </a:stretch>
                </pic:blipFill>
                <pic:spPr>
                  <a:xfrm>
                    <a:off x="0" y="0"/>
                    <a:ext cx="6912000" cy="110015"/>
                  </a:xfrm>
                  <a:prstGeom prst="rect">
                    <a:avLst/>
                  </a:prstGeom>
                </pic:spPr>
              </pic:pic>
            </a:graphicData>
          </a:graphic>
        </wp:inline>
      </w:drawing>
    </w:r>
  </w:p>
  <w:p w14:paraId="4E71EF0D" w14:textId="252C6A9C" w:rsidR="00D236D7" w:rsidRPr="0039793D" w:rsidRDefault="005B1356" w:rsidP="0039793D">
    <w:pPr>
      <w:pStyle w:val="Footer"/>
      <w:rPr>
        <w:color w:val="264F90" w:themeColor="accent2"/>
      </w:rPr>
    </w:pPr>
    <w:sdt>
      <w:sdtPr>
        <w:rPr>
          <w:color w:val="264F90" w:themeColor="accent2"/>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D236D7">
          <w:rPr>
            <w:color w:val="264F90" w:themeColor="accent2"/>
          </w:rPr>
          <w:t>Sta</w:t>
        </w:r>
        <w:r w:rsidR="003C14D4">
          <w:rPr>
            <w:color w:val="264F90" w:themeColor="accent2"/>
          </w:rPr>
          <w:t>keholder</w:t>
        </w:r>
        <w:r w:rsidR="00D236D7">
          <w:rPr>
            <w:color w:val="264F90" w:themeColor="accent2"/>
          </w:rPr>
          <w:t xml:space="preserve"> Reference Group</w:t>
        </w:r>
      </w:sdtContent>
    </w:sdt>
    <w:r w:rsidR="00901E94">
      <w:rPr>
        <w:color w:val="264F90" w:themeColor="accent2"/>
      </w:rPr>
      <w:t xml:space="preserve"> – November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A9FED" w14:textId="77777777" w:rsidR="00D236D7" w:rsidRDefault="00D236D7" w:rsidP="00F627E6">
    <w:pPr>
      <w:pStyle w:val="Footer"/>
    </w:pPr>
    <w:r>
      <w:rPr>
        <w:noProof/>
        <w:lang w:eastAsia="en-AU"/>
      </w:rPr>
      <mc:AlternateContent>
        <mc:Choice Requires="wps">
          <w:drawing>
            <wp:anchor distT="0" distB="0" distL="114300" distR="114300" simplePos="0" relativeHeight="251658241" behindDoc="0" locked="0" layoutInCell="1" allowOverlap="1" wp14:anchorId="4F430879" wp14:editId="59A8D6FB">
              <wp:simplePos x="0" y="0"/>
              <wp:positionH relativeFrom="page">
                <wp:align>right</wp:align>
              </wp:positionH>
              <wp:positionV relativeFrom="page">
                <wp:align>bottom</wp:align>
              </wp:positionV>
              <wp:extent cx="1080000" cy="4680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CBEF99C" w14:textId="77777777" w:rsidR="00D236D7" w:rsidRDefault="00D236D7" w:rsidP="00F627E6">
                          <w:pPr>
                            <w:jc w:val="right"/>
                          </w:pPr>
                          <w:r>
                            <w:fldChar w:fldCharType="begin"/>
                          </w:r>
                          <w:r>
                            <w:instrText xml:space="preserve"> PAGE   \* MERGEFORMAT </w:instrText>
                          </w:r>
                          <w:r>
                            <w:fldChar w:fldCharType="separate"/>
                          </w:r>
                          <w:r w:rsidR="004705EE">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30879" id="_x0000_t202" coordsize="21600,21600" o:spt="202" path="m,l,21600r21600,l21600,xe">
              <v:stroke joinstyle="miter"/>
              <v:path gradientshapeok="t" o:connecttype="rect"/>
            </v:shapetype>
            <v:shape id="Text Box 4" o:spid="_x0000_s1038" type="#_x0000_t202" alt="&quot;&quot;" style="position:absolute;margin-left:33.85pt;margin-top:0;width:85.05pt;height:36.85pt;z-index:251658241;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j9iFAIAAC0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" filled="f" stroked="f" strokeweight=".5pt">
              <v:textbox inset="0,0,18mm,5mm">
                <w:txbxContent>
                  <w:p w14:paraId="2CBEF99C" w14:textId="77777777" w:rsidR="00D236D7" w:rsidRDefault="00D236D7" w:rsidP="00F627E6">
                    <w:pPr>
                      <w:jc w:val="right"/>
                    </w:pPr>
                    <w:r>
                      <w:fldChar w:fldCharType="begin"/>
                    </w:r>
                    <w:r>
                      <w:instrText xml:space="preserve"> PAGE   \* MERGEFORMAT </w:instrText>
                    </w:r>
                    <w:r>
                      <w:fldChar w:fldCharType="separate"/>
                    </w:r>
                    <w:r w:rsidR="004705EE">
                      <w:rPr>
                        <w:noProof/>
                      </w:rPr>
                      <w:t>1</w:t>
                    </w:r>
                    <w:r>
                      <w:rPr>
                        <w:noProof/>
                      </w:rPr>
                      <w:fldChar w:fldCharType="end"/>
                    </w:r>
                  </w:p>
                </w:txbxContent>
              </v:textbox>
              <w10:wrap anchorx="page" anchory="page"/>
            </v:shape>
          </w:pict>
        </mc:Fallback>
      </mc:AlternateContent>
    </w:r>
    <w:r>
      <w:rPr>
        <w:noProof/>
        <w:lang w:eastAsia="en-AU"/>
      </w:rPr>
      <w:drawing>
        <wp:inline distT="0" distB="0" distL="0" distR="0" wp14:anchorId="3D4C50E5" wp14:editId="33C848BE">
          <wp:extent cx="6912000" cy="110015"/>
          <wp:effectExtent l="0" t="0" r="0" b="444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Gs-12.jpg"/>
                  <pic:cNvPicPr/>
                </pic:nvPicPr>
                <pic:blipFill>
                  <a:blip r:embed="rId1">
                    <a:extLst>
                      <a:ext uri="{28A0092B-C50C-407E-A947-70E740481C1C}">
                        <a14:useLocalDpi xmlns:a14="http://schemas.microsoft.com/office/drawing/2010/main" val="0"/>
                      </a:ext>
                    </a:extLst>
                  </a:blip>
                  <a:stretch>
                    <a:fillRect/>
                  </a:stretch>
                </pic:blipFill>
                <pic:spPr>
                  <a:xfrm>
                    <a:off x="0" y="0"/>
                    <a:ext cx="6912000" cy="110015"/>
                  </a:xfrm>
                  <a:prstGeom prst="rect">
                    <a:avLst/>
                  </a:prstGeom>
                </pic:spPr>
              </pic:pic>
            </a:graphicData>
          </a:graphic>
        </wp:inline>
      </w:drawing>
    </w:r>
  </w:p>
  <w:p w14:paraId="3C562129" w14:textId="499CB2C3" w:rsidR="00D236D7" w:rsidRPr="0039793D" w:rsidRDefault="005B1356" w:rsidP="00F627E6">
    <w:pPr>
      <w:pStyle w:val="Footer"/>
      <w:rPr>
        <w:color w:val="264F90" w:themeColor="accent2"/>
      </w:rPr>
    </w:pPr>
    <w:sdt>
      <w:sdtPr>
        <w:rPr>
          <w:color w:val="264F90" w:themeColor="accent2"/>
        </w:rPr>
        <w:alias w:val="Title"/>
        <w:tag w:val=""/>
        <w:id w:val="-1492333149"/>
        <w:dataBinding w:prefixMappings="xmlns:ns0='http://purl.org/dc/elements/1.1/' xmlns:ns1='http://schemas.openxmlformats.org/package/2006/metadata/core-properties' " w:xpath="/ns1:coreProperties[1]/ns0:title[1]" w:storeItemID="{6C3C8BC8-F283-45AE-878A-BAB7291924A1}"/>
        <w:text/>
      </w:sdtPr>
      <w:sdtEndPr/>
      <w:sdtContent>
        <w:r w:rsidR="003C14D4">
          <w:rPr>
            <w:color w:val="264F90" w:themeColor="accent2"/>
          </w:rPr>
          <w:t>Stakeholder Reference Group</w:t>
        </w:r>
      </w:sdtContent>
    </w:sdt>
    <w:r w:rsidR="00901E94">
      <w:rPr>
        <w:color w:val="264F90" w:themeColor="accent2"/>
      </w:rPr>
      <w:t xml:space="preserve"> – 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686A9" w14:textId="77777777" w:rsidR="00D236D7" w:rsidRDefault="00D236D7" w:rsidP="00D560DC">
      <w:pPr>
        <w:spacing w:before="0" w:after="0" w:line="240" w:lineRule="auto"/>
      </w:pPr>
      <w:r>
        <w:separator/>
      </w:r>
    </w:p>
  </w:footnote>
  <w:footnote w:type="continuationSeparator" w:id="0">
    <w:p w14:paraId="65B8088E" w14:textId="77777777" w:rsidR="00D236D7" w:rsidRDefault="00D236D7" w:rsidP="00D560DC">
      <w:pPr>
        <w:spacing w:before="0" w:after="0" w:line="240" w:lineRule="auto"/>
      </w:pPr>
      <w:r>
        <w:continuationSeparator/>
      </w:r>
    </w:p>
  </w:footnote>
  <w:footnote w:type="continuationNotice" w:id="1">
    <w:p w14:paraId="400AF001" w14:textId="77777777" w:rsidR="00D236D7" w:rsidRDefault="00D236D7">
      <w:pPr>
        <w:spacing w:before="0" w:after="0" w:line="240" w:lineRule="auto"/>
      </w:pPr>
    </w:p>
  </w:footnote>
  <w:footnote w:id="2">
    <w:p w14:paraId="74183701" w14:textId="77777777" w:rsidR="00FE6C99" w:rsidRDefault="00FE6C99" w:rsidP="00FE6C99">
      <w:pPr>
        <w:pStyle w:val="FootnoteText"/>
      </w:pPr>
      <w:r>
        <w:rPr>
          <w:rStyle w:val="FootnoteReference"/>
        </w:rPr>
        <w:footnoteRef/>
      </w:r>
      <w:r>
        <w:t xml:space="preserve"> T</w:t>
      </w:r>
      <w:r w:rsidRPr="00217BD4">
        <w:t>he program charter is now due for publication in early 2024</w:t>
      </w:r>
      <w:r>
        <w:t>.</w:t>
      </w:r>
    </w:p>
  </w:footnote>
  <w:footnote w:id="3">
    <w:p w14:paraId="4B1A942F" w14:textId="58357818" w:rsidR="00217BD4" w:rsidRPr="00217BD4" w:rsidRDefault="00217BD4">
      <w:pPr>
        <w:pStyle w:val="FootnoteText"/>
      </w:pPr>
      <w:r>
        <w:rPr>
          <w:rStyle w:val="FootnoteReference"/>
        </w:rPr>
        <w:footnoteRef/>
      </w:r>
      <w:r>
        <w:t xml:space="preserve"> The first edition of the </w:t>
      </w:r>
      <w:r>
        <w:rPr>
          <w:i/>
          <w:iCs/>
        </w:rPr>
        <w:t>R&amp;D Tax Incentive Insider Plus</w:t>
      </w:r>
      <w:r>
        <w:t xml:space="preserve"> was launched in November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5C8A" w14:textId="1DE38034" w:rsidR="00D236D7" w:rsidRDefault="00D236D7" w:rsidP="00E55C27">
    <w:pPr>
      <w:pStyle w:val="Header"/>
      <w:rPr>
        <w:noProof/>
        <w:lang w:eastAsia="en-AU"/>
      </w:rPr>
    </w:pPr>
    <w:r>
      <w:rPr>
        <w:noProof/>
        <w:lang w:eastAsia="en-AU"/>
      </w:rPr>
      <w:drawing>
        <wp:anchor distT="0" distB="0" distL="114300" distR="114300" simplePos="0" relativeHeight="251658242" behindDoc="1" locked="0" layoutInCell="1" allowOverlap="1" wp14:anchorId="301B884F" wp14:editId="232F0FF5">
          <wp:simplePos x="0" y="0"/>
          <wp:positionH relativeFrom="margin">
            <wp:align>center</wp:align>
          </wp:positionH>
          <wp:positionV relativeFrom="paragraph">
            <wp:posOffset>-312665</wp:posOffset>
          </wp:positionV>
          <wp:extent cx="7186888" cy="1496961"/>
          <wp:effectExtent l="0" t="0" r="0" b="825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6888" cy="1496961"/>
                  </a:xfrm>
                  <a:prstGeom prst="rect">
                    <a:avLst/>
                  </a:prstGeom>
                </pic:spPr>
              </pic:pic>
            </a:graphicData>
          </a:graphic>
          <wp14:sizeRelH relativeFrom="page">
            <wp14:pctWidth>0</wp14:pctWidth>
          </wp14:sizeRelH>
          <wp14:sizeRelV relativeFrom="page">
            <wp14:pctHeight>0</wp14:pctHeight>
          </wp14:sizeRelV>
        </wp:anchor>
      </w:drawing>
    </w:r>
  </w:p>
  <w:p w14:paraId="31F4CC80" w14:textId="4F63A674" w:rsidR="00D236D7" w:rsidRPr="00D560DC" w:rsidRDefault="00D236D7" w:rsidP="00E55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910"/>
    <w:multiLevelType w:val="multilevel"/>
    <w:tmpl w:val="56D45B4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B22584"/>
    <w:multiLevelType w:val="hybridMultilevel"/>
    <w:tmpl w:val="F146D410"/>
    <w:lvl w:ilvl="0" w:tplc="E6140D5C">
      <w:start w:val="1"/>
      <w:numFmt w:val="bullet"/>
      <w:pStyle w:val="IconBox1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2" w15:restartNumberingAfterBreak="0">
    <w:nsid w:val="144D11F4"/>
    <w:multiLevelType w:val="hybridMultilevel"/>
    <w:tmpl w:val="DE90C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9F03C0"/>
    <w:multiLevelType w:val="hybridMultilevel"/>
    <w:tmpl w:val="4AC4BA8E"/>
    <w:lvl w:ilvl="0" w:tplc="2796168C">
      <w:numFmt w:val="bullet"/>
      <w:lvlText w:val=""/>
      <w:lvlJc w:val="left"/>
      <w:pPr>
        <w:ind w:left="360" w:hanging="360"/>
      </w:pPr>
      <w:rPr>
        <w:rFonts w:ascii="Symbol" w:eastAsia="Times New Roman" w:hAnsi="Symbol"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CC15D9"/>
    <w:multiLevelType w:val="hybridMultilevel"/>
    <w:tmpl w:val="AB2E8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595372"/>
    <w:multiLevelType w:val="hybridMultilevel"/>
    <w:tmpl w:val="1B248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5B11D9"/>
    <w:multiLevelType w:val="hybridMultilevel"/>
    <w:tmpl w:val="A90EF66E"/>
    <w:lvl w:ilvl="0" w:tplc="621E83FA">
      <w:start w:val="1"/>
      <w:numFmt w:val="bullet"/>
      <w:pStyle w:val="IconBox2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7" w15:restartNumberingAfterBreak="0">
    <w:nsid w:val="2E605E66"/>
    <w:multiLevelType w:val="multilevel"/>
    <w:tmpl w:val="7A48930E"/>
    <w:numStyleLink w:val="BulletListStyle"/>
  </w:abstractNum>
  <w:abstractNum w:abstractNumId="8" w15:restartNumberingAfterBreak="0">
    <w:nsid w:val="46B30825"/>
    <w:multiLevelType w:val="multilevel"/>
    <w:tmpl w:val="2682CBB6"/>
    <w:lvl w:ilvl="0">
      <w:start w:val="1"/>
      <w:numFmt w:val="decimal"/>
      <w:lvlText w:val="%1."/>
      <w:lvlJc w:val="left"/>
      <w:pPr>
        <w:ind w:left="360" w:hanging="360"/>
      </w:pPr>
      <w:rPr>
        <w:rFonts w:hint="default"/>
        <w:b/>
        <w:color w:val="auto"/>
        <w:sz w:val="20"/>
        <w:szCs w:val="20"/>
      </w:rPr>
    </w:lvl>
    <w:lvl w:ilvl="1">
      <w:start w:val="1"/>
      <w:numFmt w:val="decimal"/>
      <w:lvlText w:val="%1.%2."/>
      <w:lvlJc w:val="left"/>
      <w:pPr>
        <w:ind w:left="510" w:hanging="170"/>
      </w:pPr>
      <w:rPr>
        <w:rFonts w:asciiTheme="minorHAnsi" w:hAnsiTheme="minorHAnsi" w:cstheme="minorHAnsi" w:hint="default"/>
        <w:b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DF4616E"/>
    <w:multiLevelType w:val="multilevel"/>
    <w:tmpl w:val="8228D1A8"/>
    <w:lvl w:ilvl="0">
      <w:start w:val="1"/>
      <w:numFmt w:val="decimal"/>
      <w:lvlText w:val="%1."/>
      <w:lvlJc w:val="left"/>
      <w:pPr>
        <w:ind w:left="360" w:hanging="360"/>
      </w:p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4E3B6718"/>
    <w:multiLevelType w:val="hybridMultilevel"/>
    <w:tmpl w:val="7C8228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DA1E04"/>
    <w:multiLevelType w:val="multilevel"/>
    <w:tmpl w:val="63565E8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3E6E16"/>
    <w:multiLevelType w:val="multilevel"/>
    <w:tmpl w:val="3586A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7424E5"/>
    <w:multiLevelType w:val="hybridMultilevel"/>
    <w:tmpl w:val="4120F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E02532"/>
    <w:multiLevelType w:val="multilevel"/>
    <w:tmpl w:val="E8DE46F6"/>
    <w:styleLink w:val="NumberedListStyle"/>
    <w:lvl w:ilvl="0">
      <w:start w:val="1"/>
      <w:numFmt w:val="decimal"/>
      <w:pStyle w:val="NumberedList1"/>
      <w:lvlText w:val="%1."/>
      <w:lvlJc w:val="left"/>
      <w:pPr>
        <w:ind w:left="284" w:hanging="284"/>
      </w:pPr>
      <w:rPr>
        <w:rFonts w:hint="default"/>
        <w:color w:val="264F90" w:themeColor="accent2"/>
      </w:rPr>
    </w:lvl>
    <w:lvl w:ilvl="1">
      <w:start w:val="1"/>
      <w:numFmt w:val="lowerLetter"/>
      <w:pStyle w:val="NumberedList2"/>
      <w:lvlText w:val="%2."/>
      <w:lvlJc w:val="left"/>
      <w:pPr>
        <w:ind w:left="568" w:hanging="284"/>
      </w:pPr>
      <w:rPr>
        <w:rFonts w:hint="default"/>
        <w:color w:val="264F90" w:themeColor="accent2"/>
      </w:rPr>
    </w:lvl>
    <w:lvl w:ilvl="2">
      <w:start w:val="1"/>
      <w:numFmt w:val="lowerRoman"/>
      <w:pStyle w:val="NumberedList3"/>
      <w:lvlText w:val="%3."/>
      <w:lvlJc w:val="left"/>
      <w:pPr>
        <w:ind w:left="852" w:hanging="284"/>
      </w:pPr>
      <w:rPr>
        <w:rFonts w:hint="default"/>
        <w:color w:val="264F90" w:themeColor="accen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63975855"/>
    <w:multiLevelType w:val="hybridMultilevel"/>
    <w:tmpl w:val="47365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B53D23"/>
    <w:multiLevelType w:val="hybridMultilevel"/>
    <w:tmpl w:val="2E1A2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24506"/>
    <w:multiLevelType w:val="hybridMultilevel"/>
    <w:tmpl w:val="9E6294D0"/>
    <w:lvl w:ilvl="0" w:tplc="0C09000F">
      <w:start w:val="1"/>
      <w:numFmt w:val="decimal"/>
      <w:lvlText w:val="%1."/>
      <w:lvlJc w:val="left"/>
      <w:pPr>
        <w:ind w:left="3763" w:hanging="360"/>
      </w:pPr>
      <w:rPr>
        <w:rFonts w:hint="default"/>
      </w:rPr>
    </w:lvl>
    <w:lvl w:ilvl="1" w:tplc="0C090019" w:tentative="1">
      <w:start w:val="1"/>
      <w:numFmt w:val="lowerLetter"/>
      <w:lvlText w:val="%2."/>
      <w:lvlJc w:val="left"/>
      <w:pPr>
        <w:ind w:left="4843" w:hanging="360"/>
      </w:pPr>
    </w:lvl>
    <w:lvl w:ilvl="2" w:tplc="0C09001B" w:tentative="1">
      <w:start w:val="1"/>
      <w:numFmt w:val="lowerRoman"/>
      <w:lvlText w:val="%3."/>
      <w:lvlJc w:val="right"/>
      <w:pPr>
        <w:ind w:left="5563" w:hanging="180"/>
      </w:pPr>
    </w:lvl>
    <w:lvl w:ilvl="3" w:tplc="0C09000F" w:tentative="1">
      <w:start w:val="1"/>
      <w:numFmt w:val="decimal"/>
      <w:lvlText w:val="%4."/>
      <w:lvlJc w:val="left"/>
      <w:pPr>
        <w:ind w:left="6283" w:hanging="360"/>
      </w:pPr>
    </w:lvl>
    <w:lvl w:ilvl="4" w:tplc="0C090019" w:tentative="1">
      <w:start w:val="1"/>
      <w:numFmt w:val="lowerLetter"/>
      <w:lvlText w:val="%5."/>
      <w:lvlJc w:val="left"/>
      <w:pPr>
        <w:ind w:left="7003" w:hanging="360"/>
      </w:pPr>
    </w:lvl>
    <w:lvl w:ilvl="5" w:tplc="0C09001B" w:tentative="1">
      <w:start w:val="1"/>
      <w:numFmt w:val="lowerRoman"/>
      <w:lvlText w:val="%6."/>
      <w:lvlJc w:val="right"/>
      <w:pPr>
        <w:ind w:left="7723" w:hanging="180"/>
      </w:pPr>
    </w:lvl>
    <w:lvl w:ilvl="6" w:tplc="0C09000F" w:tentative="1">
      <w:start w:val="1"/>
      <w:numFmt w:val="decimal"/>
      <w:lvlText w:val="%7."/>
      <w:lvlJc w:val="left"/>
      <w:pPr>
        <w:ind w:left="8443" w:hanging="360"/>
      </w:pPr>
    </w:lvl>
    <w:lvl w:ilvl="7" w:tplc="0C090019" w:tentative="1">
      <w:start w:val="1"/>
      <w:numFmt w:val="lowerLetter"/>
      <w:lvlText w:val="%8."/>
      <w:lvlJc w:val="left"/>
      <w:pPr>
        <w:ind w:left="9163" w:hanging="360"/>
      </w:pPr>
    </w:lvl>
    <w:lvl w:ilvl="8" w:tplc="0C09001B" w:tentative="1">
      <w:start w:val="1"/>
      <w:numFmt w:val="lowerRoman"/>
      <w:lvlText w:val="%9."/>
      <w:lvlJc w:val="right"/>
      <w:pPr>
        <w:ind w:left="9883" w:hanging="180"/>
      </w:pPr>
    </w:lvl>
  </w:abstractNum>
  <w:abstractNum w:abstractNumId="18" w15:restartNumberingAfterBreak="0">
    <w:nsid w:val="6CBD6BB3"/>
    <w:multiLevelType w:val="hybridMultilevel"/>
    <w:tmpl w:val="095C6A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8187031"/>
    <w:multiLevelType w:val="hybridMultilevel"/>
    <w:tmpl w:val="7722C996"/>
    <w:lvl w:ilvl="0" w:tplc="FFFFFFFF">
      <w:start w:val="1"/>
      <w:numFmt w:val="decimal"/>
      <w:lvlText w:val="%1."/>
      <w:lvlJc w:val="left"/>
      <w:pPr>
        <w:ind w:left="720" w:hanging="360"/>
      </w:pPr>
      <w:rPr>
        <w:rFonts w:hint="default"/>
      </w:rPr>
    </w:lvl>
    <w:lvl w:ilvl="1" w:tplc="C01A1FBC">
      <w:numFmt w:val="bullet"/>
      <w:lvlText w:val="-"/>
      <w:lvlJc w:val="left"/>
      <w:pPr>
        <w:ind w:left="1440" w:hanging="360"/>
      </w:pPr>
      <w:rPr>
        <w:rFonts w:ascii="Calibri" w:eastAsiaTheme="minorEastAsia"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DE7B99"/>
    <w:multiLevelType w:val="multilevel"/>
    <w:tmpl w:val="BE84637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997228227">
    <w:abstractNumId w:val="21"/>
  </w:num>
  <w:num w:numId="2" w16cid:durableId="836458674">
    <w:abstractNumId w:val="14"/>
  </w:num>
  <w:num w:numId="3" w16cid:durableId="2095860512">
    <w:abstractNumId w:val="1"/>
  </w:num>
  <w:num w:numId="4" w16cid:durableId="805388558">
    <w:abstractNumId w:val="6"/>
  </w:num>
  <w:num w:numId="5" w16cid:durableId="118888059">
    <w:abstractNumId w:val="8"/>
  </w:num>
  <w:num w:numId="6" w16cid:durableId="1857038876">
    <w:abstractNumId w:val="7"/>
  </w:num>
  <w:num w:numId="7" w16cid:durableId="322242990">
    <w:abstractNumId w:val="20"/>
  </w:num>
  <w:num w:numId="8" w16cid:durableId="433943368">
    <w:abstractNumId w:val="9"/>
  </w:num>
  <w:num w:numId="9" w16cid:durableId="1178425028">
    <w:abstractNumId w:val="10"/>
  </w:num>
  <w:num w:numId="10" w16cid:durableId="1898662685">
    <w:abstractNumId w:val="16"/>
  </w:num>
  <w:num w:numId="11" w16cid:durableId="1580166371">
    <w:abstractNumId w:val="19"/>
  </w:num>
  <w:num w:numId="12" w16cid:durableId="227738681">
    <w:abstractNumId w:val="17"/>
  </w:num>
  <w:num w:numId="13" w16cid:durableId="1010568956">
    <w:abstractNumId w:val="13"/>
  </w:num>
  <w:num w:numId="14" w16cid:durableId="424809149">
    <w:abstractNumId w:val="18"/>
  </w:num>
  <w:num w:numId="15" w16cid:durableId="527378908">
    <w:abstractNumId w:val="15"/>
  </w:num>
  <w:num w:numId="16" w16cid:durableId="1247153179">
    <w:abstractNumId w:val="3"/>
  </w:num>
  <w:num w:numId="17" w16cid:durableId="757822279">
    <w:abstractNumId w:val="5"/>
  </w:num>
  <w:num w:numId="18" w16cid:durableId="452752485">
    <w:abstractNumId w:val="2"/>
  </w:num>
  <w:num w:numId="19" w16cid:durableId="222714549">
    <w:abstractNumId w:val="4"/>
  </w:num>
  <w:num w:numId="20" w16cid:durableId="1849176663">
    <w:abstractNumId w:val="7"/>
  </w:num>
  <w:num w:numId="21" w16cid:durableId="822621256">
    <w:abstractNumId w:val="7"/>
  </w:num>
  <w:num w:numId="22" w16cid:durableId="836920031">
    <w:abstractNumId w:val="7"/>
  </w:num>
  <w:num w:numId="23" w16cid:durableId="1387098854">
    <w:abstractNumId w:val="7"/>
  </w:num>
  <w:num w:numId="24" w16cid:durableId="1154564410">
    <w:abstractNumId w:val="7"/>
  </w:num>
  <w:num w:numId="25" w16cid:durableId="1478186135">
    <w:abstractNumId w:val="11"/>
  </w:num>
  <w:num w:numId="26" w16cid:durableId="514929749">
    <w:abstractNumId w:val="0"/>
  </w:num>
  <w:num w:numId="27" w16cid:durableId="1401245271">
    <w:abstractNumId w:val="12"/>
  </w:num>
  <w:num w:numId="28" w16cid:durableId="203125161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133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A68"/>
    <w:rsid w:val="00001F05"/>
    <w:rsid w:val="000046B1"/>
    <w:rsid w:val="0000743A"/>
    <w:rsid w:val="00014096"/>
    <w:rsid w:val="00015CE2"/>
    <w:rsid w:val="00015DC0"/>
    <w:rsid w:val="00017597"/>
    <w:rsid w:val="00017788"/>
    <w:rsid w:val="000205C2"/>
    <w:rsid w:val="00022205"/>
    <w:rsid w:val="00027E66"/>
    <w:rsid w:val="00032F9A"/>
    <w:rsid w:val="0003434C"/>
    <w:rsid w:val="0003664B"/>
    <w:rsid w:val="00037A66"/>
    <w:rsid w:val="0004008E"/>
    <w:rsid w:val="00050E82"/>
    <w:rsid w:val="00051BEA"/>
    <w:rsid w:val="000532E5"/>
    <w:rsid w:val="00054504"/>
    <w:rsid w:val="000570CA"/>
    <w:rsid w:val="00061D6A"/>
    <w:rsid w:val="00061FBE"/>
    <w:rsid w:val="00066C22"/>
    <w:rsid w:val="00067477"/>
    <w:rsid w:val="000747EE"/>
    <w:rsid w:val="00075B69"/>
    <w:rsid w:val="000800A2"/>
    <w:rsid w:val="0008064F"/>
    <w:rsid w:val="000811DF"/>
    <w:rsid w:val="00081307"/>
    <w:rsid w:val="00083C99"/>
    <w:rsid w:val="00083D39"/>
    <w:rsid w:val="00087AC6"/>
    <w:rsid w:val="000910B4"/>
    <w:rsid w:val="00091CF6"/>
    <w:rsid w:val="00091DCD"/>
    <w:rsid w:val="00093842"/>
    <w:rsid w:val="00097F39"/>
    <w:rsid w:val="000A023A"/>
    <w:rsid w:val="000A0E9A"/>
    <w:rsid w:val="000A3122"/>
    <w:rsid w:val="000A36EA"/>
    <w:rsid w:val="000A3FA8"/>
    <w:rsid w:val="000A5937"/>
    <w:rsid w:val="000B0884"/>
    <w:rsid w:val="000B4546"/>
    <w:rsid w:val="000B4D2F"/>
    <w:rsid w:val="000B5365"/>
    <w:rsid w:val="000B5478"/>
    <w:rsid w:val="000B7A11"/>
    <w:rsid w:val="000C33C6"/>
    <w:rsid w:val="000C566C"/>
    <w:rsid w:val="000D3790"/>
    <w:rsid w:val="000D4802"/>
    <w:rsid w:val="000D6F9E"/>
    <w:rsid w:val="000D7255"/>
    <w:rsid w:val="000E2187"/>
    <w:rsid w:val="000E2B61"/>
    <w:rsid w:val="000E3A39"/>
    <w:rsid w:val="000E4511"/>
    <w:rsid w:val="000E649F"/>
    <w:rsid w:val="000F054F"/>
    <w:rsid w:val="000F185D"/>
    <w:rsid w:val="000F1D45"/>
    <w:rsid w:val="000F2999"/>
    <w:rsid w:val="000F579F"/>
    <w:rsid w:val="000F5A4F"/>
    <w:rsid w:val="000F5F67"/>
    <w:rsid w:val="000F63FA"/>
    <w:rsid w:val="000F6F23"/>
    <w:rsid w:val="00100007"/>
    <w:rsid w:val="001032F5"/>
    <w:rsid w:val="0010408B"/>
    <w:rsid w:val="001120FE"/>
    <w:rsid w:val="0011308B"/>
    <w:rsid w:val="00115B32"/>
    <w:rsid w:val="00116D56"/>
    <w:rsid w:val="00117761"/>
    <w:rsid w:val="001216E8"/>
    <w:rsid w:val="00121799"/>
    <w:rsid w:val="00140438"/>
    <w:rsid w:val="00142E0E"/>
    <w:rsid w:val="0014662D"/>
    <w:rsid w:val="00150EFE"/>
    <w:rsid w:val="00153383"/>
    <w:rsid w:val="001570EC"/>
    <w:rsid w:val="00157EFE"/>
    <w:rsid w:val="0016241F"/>
    <w:rsid w:val="00163226"/>
    <w:rsid w:val="0016358E"/>
    <w:rsid w:val="0016544E"/>
    <w:rsid w:val="001656C8"/>
    <w:rsid w:val="00166FBD"/>
    <w:rsid w:val="00167035"/>
    <w:rsid w:val="00167915"/>
    <w:rsid w:val="00170894"/>
    <w:rsid w:val="001713FB"/>
    <w:rsid w:val="00176047"/>
    <w:rsid w:val="00177F3E"/>
    <w:rsid w:val="00181645"/>
    <w:rsid w:val="001819BF"/>
    <w:rsid w:val="00182590"/>
    <w:rsid w:val="0018351C"/>
    <w:rsid w:val="00183807"/>
    <w:rsid w:val="00184C0A"/>
    <w:rsid w:val="00186C3D"/>
    <w:rsid w:val="00187F47"/>
    <w:rsid w:val="0019068A"/>
    <w:rsid w:val="001921B2"/>
    <w:rsid w:val="00192B69"/>
    <w:rsid w:val="00193412"/>
    <w:rsid w:val="0019510B"/>
    <w:rsid w:val="001A1B76"/>
    <w:rsid w:val="001B036F"/>
    <w:rsid w:val="001B105D"/>
    <w:rsid w:val="001B3D92"/>
    <w:rsid w:val="001B66B6"/>
    <w:rsid w:val="001C0B2E"/>
    <w:rsid w:val="001C7CEE"/>
    <w:rsid w:val="001E2C06"/>
    <w:rsid w:val="001E687E"/>
    <w:rsid w:val="001E7271"/>
    <w:rsid w:val="001F115D"/>
    <w:rsid w:val="001F2577"/>
    <w:rsid w:val="001F334F"/>
    <w:rsid w:val="001F63D6"/>
    <w:rsid w:val="001F77E0"/>
    <w:rsid w:val="00200DC9"/>
    <w:rsid w:val="002105F1"/>
    <w:rsid w:val="002166DE"/>
    <w:rsid w:val="002175CC"/>
    <w:rsid w:val="00217BD4"/>
    <w:rsid w:val="00223068"/>
    <w:rsid w:val="0022309A"/>
    <w:rsid w:val="00224CCA"/>
    <w:rsid w:val="00224CE7"/>
    <w:rsid w:val="00231BA9"/>
    <w:rsid w:val="00232A03"/>
    <w:rsid w:val="002332DF"/>
    <w:rsid w:val="002435E3"/>
    <w:rsid w:val="00245A44"/>
    <w:rsid w:val="00246570"/>
    <w:rsid w:val="002478E7"/>
    <w:rsid w:val="00253E37"/>
    <w:rsid w:val="00270963"/>
    <w:rsid w:val="00272C66"/>
    <w:rsid w:val="00274133"/>
    <w:rsid w:val="00275C98"/>
    <w:rsid w:val="00275F0C"/>
    <w:rsid w:val="002779AF"/>
    <w:rsid w:val="002818E6"/>
    <w:rsid w:val="002856F5"/>
    <w:rsid w:val="00286EEE"/>
    <w:rsid w:val="002947CB"/>
    <w:rsid w:val="00295953"/>
    <w:rsid w:val="0029785B"/>
    <w:rsid w:val="002A2BA5"/>
    <w:rsid w:val="002A301C"/>
    <w:rsid w:val="002A42CE"/>
    <w:rsid w:val="002A5B1C"/>
    <w:rsid w:val="002A77A4"/>
    <w:rsid w:val="002B028C"/>
    <w:rsid w:val="002B220A"/>
    <w:rsid w:val="002B5E7A"/>
    <w:rsid w:val="002D04E6"/>
    <w:rsid w:val="002D122A"/>
    <w:rsid w:val="002D1791"/>
    <w:rsid w:val="002D5836"/>
    <w:rsid w:val="002D5985"/>
    <w:rsid w:val="002D7B46"/>
    <w:rsid w:val="002E3A23"/>
    <w:rsid w:val="002E79AC"/>
    <w:rsid w:val="002F3C34"/>
    <w:rsid w:val="00302A61"/>
    <w:rsid w:val="00304F70"/>
    <w:rsid w:val="003050CB"/>
    <w:rsid w:val="00306C45"/>
    <w:rsid w:val="00307CA4"/>
    <w:rsid w:val="00312D42"/>
    <w:rsid w:val="00313ABA"/>
    <w:rsid w:val="00316778"/>
    <w:rsid w:val="0032402F"/>
    <w:rsid w:val="00325202"/>
    <w:rsid w:val="00332A4B"/>
    <w:rsid w:val="00342C65"/>
    <w:rsid w:val="00343379"/>
    <w:rsid w:val="003567C8"/>
    <w:rsid w:val="00357245"/>
    <w:rsid w:val="003601CE"/>
    <w:rsid w:val="00361B40"/>
    <w:rsid w:val="003661ED"/>
    <w:rsid w:val="003769D7"/>
    <w:rsid w:val="00380736"/>
    <w:rsid w:val="00381CD0"/>
    <w:rsid w:val="00381F04"/>
    <w:rsid w:val="0038240C"/>
    <w:rsid w:val="00382D2C"/>
    <w:rsid w:val="0038307C"/>
    <w:rsid w:val="003841EF"/>
    <w:rsid w:val="003852A7"/>
    <w:rsid w:val="0038670E"/>
    <w:rsid w:val="003932FC"/>
    <w:rsid w:val="0039793D"/>
    <w:rsid w:val="00397BD5"/>
    <w:rsid w:val="003A02E3"/>
    <w:rsid w:val="003A1BA1"/>
    <w:rsid w:val="003A2994"/>
    <w:rsid w:val="003A34B9"/>
    <w:rsid w:val="003A3D43"/>
    <w:rsid w:val="003B1B09"/>
    <w:rsid w:val="003B2FF0"/>
    <w:rsid w:val="003B5EC2"/>
    <w:rsid w:val="003B772B"/>
    <w:rsid w:val="003C14D4"/>
    <w:rsid w:val="003C20A1"/>
    <w:rsid w:val="003C3C35"/>
    <w:rsid w:val="003C4A69"/>
    <w:rsid w:val="003C4FB5"/>
    <w:rsid w:val="003C6C26"/>
    <w:rsid w:val="003C7670"/>
    <w:rsid w:val="003C7D2C"/>
    <w:rsid w:val="003D1990"/>
    <w:rsid w:val="003D1AFA"/>
    <w:rsid w:val="003D5225"/>
    <w:rsid w:val="003D7320"/>
    <w:rsid w:val="003E072A"/>
    <w:rsid w:val="003E1141"/>
    <w:rsid w:val="003E38FA"/>
    <w:rsid w:val="003E54E6"/>
    <w:rsid w:val="003E6164"/>
    <w:rsid w:val="003F0812"/>
    <w:rsid w:val="003F1DEF"/>
    <w:rsid w:val="003F5661"/>
    <w:rsid w:val="00401109"/>
    <w:rsid w:val="00401A01"/>
    <w:rsid w:val="004056C3"/>
    <w:rsid w:val="004063CA"/>
    <w:rsid w:val="0041233C"/>
    <w:rsid w:val="00420046"/>
    <w:rsid w:val="00421B9F"/>
    <w:rsid w:val="00431E7B"/>
    <w:rsid w:val="004327DC"/>
    <w:rsid w:val="00432A99"/>
    <w:rsid w:val="004335C1"/>
    <w:rsid w:val="004371BC"/>
    <w:rsid w:val="00437A45"/>
    <w:rsid w:val="00444C6B"/>
    <w:rsid w:val="004479E7"/>
    <w:rsid w:val="00453DEF"/>
    <w:rsid w:val="004635A5"/>
    <w:rsid w:val="00463ED0"/>
    <w:rsid w:val="004705EE"/>
    <w:rsid w:val="00470BDD"/>
    <w:rsid w:val="0047297D"/>
    <w:rsid w:val="0047400E"/>
    <w:rsid w:val="004764B8"/>
    <w:rsid w:val="00480378"/>
    <w:rsid w:val="0048137A"/>
    <w:rsid w:val="00483D48"/>
    <w:rsid w:val="004852EF"/>
    <w:rsid w:val="004874FF"/>
    <w:rsid w:val="00490B8E"/>
    <w:rsid w:val="004978F6"/>
    <w:rsid w:val="004A00EC"/>
    <w:rsid w:val="004A149E"/>
    <w:rsid w:val="004A1648"/>
    <w:rsid w:val="004A2CDB"/>
    <w:rsid w:val="004A380E"/>
    <w:rsid w:val="004A40C9"/>
    <w:rsid w:val="004A51CE"/>
    <w:rsid w:val="004B01CE"/>
    <w:rsid w:val="004B3726"/>
    <w:rsid w:val="004B3D3F"/>
    <w:rsid w:val="004C5594"/>
    <w:rsid w:val="004C5BD1"/>
    <w:rsid w:val="004D09C9"/>
    <w:rsid w:val="004D0C8D"/>
    <w:rsid w:val="004D0FB8"/>
    <w:rsid w:val="004E1663"/>
    <w:rsid w:val="004E29B3"/>
    <w:rsid w:val="004E2CB5"/>
    <w:rsid w:val="004F09D3"/>
    <w:rsid w:val="004F14ED"/>
    <w:rsid w:val="0050480A"/>
    <w:rsid w:val="00510C7D"/>
    <w:rsid w:val="00511DDF"/>
    <w:rsid w:val="00513117"/>
    <w:rsid w:val="00513F4A"/>
    <w:rsid w:val="0052144A"/>
    <w:rsid w:val="0052397A"/>
    <w:rsid w:val="00523F88"/>
    <w:rsid w:val="005266BA"/>
    <w:rsid w:val="00527D37"/>
    <w:rsid w:val="00530D32"/>
    <w:rsid w:val="005316F5"/>
    <w:rsid w:val="00535C06"/>
    <w:rsid w:val="00536AA5"/>
    <w:rsid w:val="005372C3"/>
    <w:rsid w:val="005425D7"/>
    <w:rsid w:val="00544674"/>
    <w:rsid w:val="00562500"/>
    <w:rsid w:val="00571E4C"/>
    <w:rsid w:val="0057297A"/>
    <w:rsid w:val="00573E7D"/>
    <w:rsid w:val="0057734E"/>
    <w:rsid w:val="00577C08"/>
    <w:rsid w:val="00591FD7"/>
    <w:rsid w:val="00597A5F"/>
    <w:rsid w:val="005A2441"/>
    <w:rsid w:val="005A2827"/>
    <w:rsid w:val="005A2AF4"/>
    <w:rsid w:val="005A4689"/>
    <w:rsid w:val="005A52AE"/>
    <w:rsid w:val="005A557D"/>
    <w:rsid w:val="005A74AD"/>
    <w:rsid w:val="005A79D4"/>
    <w:rsid w:val="005A7A6E"/>
    <w:rsid w:val="005B04B1"/>
    <w:rsid w:val="005B1356"/>
    <w:rsid w:val="005B2841"/>
    <w:rsid w:val="005B33A0"/>
    <w:rsid w:val="005C1F16"/>
    <w:rsid w:val="005C4FBC"/>
    <w:rsid w:val="005C4FD5"/>
    <w:rsid w:val="005C68A1"/>
    <w:rsid w:val="005D3233"/>
    <w:rsid w:val="005D6C09"/>
    <w:rsid w:val="005E1E55"/>
    <w:rsid w:val="005E35DC"/>
    <w:rsid w:val="005E5FF2"/>
    <w:rsid w:val="005E6DDA"/>
    <w:rsid w:val="005E76FB"/>
    <w:rsid w:val="005F3EBE"/>
    <w:rsid w:val="005F692E"/>
    <w:rsid w:val="005F6E53"/>
    <w:rsid w:val="00602240"/>
    <w:rsid w:val="006038B1"/>
    <w:rsid w:val="006042F1"/>
    <w:rsid w:val="00607A07"/>
    <w:rsid w:val="00610C0F"/>
    <w:rsid w:val="006154B6"/>
    <w:rsid w:val="00616154"/>
    <w:rsid w:val="0061697E"/>
    <w:rsid w:val="0061775E"/>
    <w:rsid w:val="00620DF9"/>
    <w:rsid w:val="00621E7A"/>
    <w:rsid w:val="006228F0"/>
    <w:rsid w:val="006319F1"/>
    <w:rsid w:val="006336D5"/>
    <w:rsid w:val="00640274"/>
    <w:rsid w:val="00643BF1"/>
    <w:rsid w:val="0064539A"/>
    <w:rsid w:val="00646344"/>
    <w:rsid w:val="00647201"/>
    <w:rsid w:val="0065387E"/>
    <w:rsid w:val="00662BD1"/>
    <w:rsid w:val="0067304B"/>
    <w:rsid w:val="00677313"/>
    <w:rsid w:val="00682F78"/>
    <w:rsid w:val="0068698A"/>
    <w:rsid w:val="006947DA"/>
    <w:rsid w:val="006954DB"/>
    <w:rsid w:val="006A26F0"/>
    <w:rsid w:val="006B3365"/>
    <w:rsid w:val="006B5A3D"/>
    <w:rsid w:val="006B5E65"/>
    <w:rsid w:val="006C216F"/>
    <w:rsid w:val="006C4996"/>
    <w:rsid w:val="006E0581"/>
    <w:rsid w:val="006E1FE4"/>
    <w:rsid w:val="006E3673"/>
    <w:rsid w:val="006E5A68"/>
    <w:rsid w:val="006E5E94"/>
    <w:rsid w:val="006E5FF8"/>
    <w:rsid w:val="006E7875"/>
    <w:rsid w:val="006F11DA"/>
    <w:rsid w:val="006F1F97"/>
    <w:rsid w:val="006F29EA"/>
    <w:rsid w:val="006F2B2D"/>
    <w:rsid w:val="00701098"/>
    <w:rsid w:val="0071374C"/>
    <w:rsid w:val="007154D1"/>
    <w:rsid w:val="00722AE2"/>
    <w:rsid w:val="00730167"/>
    <w:rsid w:val="00732823"/>
    <w:rsid w:val="00732CEA"/>
    <w:rsid w:val="0073319D"/>
    <w:rsid w:val="00733D83"/>
    <w:rsid w:val="007352AF"/>
    <w:rsid w:val="00735F37"/>
    <w:rsid w:val="00735FBB"/>
    <w:rsid w:val="00743B3D"/>
    <w:rsid w:val="0075252D"/>
    <w:rsid w:val="007526E1"/>
    <w:rsid w:val="00755BF6"/>
    <w:rsid w:val="00760773"/>
    <w:rsid w:val="007642F9"/>
    <w:rsid w:val="007645DF"/>
    <w:rsid w:val="00764DA6"/>
    <w:rsid w:val="007661CA"/>
    <w:rsid w:val="00767098"/>
    <w:rsid w:val="00770124"/>
    <w:rsid w:val="00781026"/>
    <w:rsid w:val="00782335"/>
    <w:rsid w:val="0078483B"/>
    <w:rsid w:val="0078509C"/>
    <w:rsid w:val="00790F53"/>
    <w:rsid w:val="0079356F"/>
    <w:rsid w:val="00794815"/>
    <w:rsid w:val="007A1FAE"/>
    <w:rsid w:val="007A52C1"/>
    <w:rsid w:val="007A6487"/>
    <w:rsid w:val="007A75E0"/>
    <w:rsid w:val="007A7885"/>
    <w:rsid w:val="007B53C7"/>
    <w:rsid w:val="007B65F8"/>
    <w:rsid w:val="007B7A87"/>
    <w:rsid w:val="007D1988"/>
    <w:rsid w:val="007D3A0A"/>
    <w:rsid w:val="007D713C"/>
    <w:rsid w:val="007D7E31"/>
    <w:rsid w:val="007E0C76"/>
    <w:rsid w:val="007E29A2"/>
    <w:rsid w:val="007E2BEE"/>
    <w:rsid w:val="007F0760"/>
    <w:rsid w:val="007F139A"/>
    <w:rsid w:val="007F18EB"/>
    <w:rsid w:val="007F1C3C"/>
    <w:rsid w:val="007F2A9A"/>
    <w:rsid w:val="007F2CA1"/>
    <w:rsid w:val="007F655C"/>
    <w:rsid w:val="008003C4"/>
    <w:rsid w:val="0080053F"/>
    <w:rsid w:val="00800817"/>
    <w:rsid w:val="008019D0"/>
    <w:rsid w:val="00801B7B"/>
    <w:rsid w:val="00803F4E"/>
    <w:rsid w:val="00804340"/>
    <w:rsid w:val="00806A7B"/>
    <w:rsid w:val="00807D94"/>
    <w:rsid w:val="00814BFA"/>
    <w:rsid w:val="008175B0"/>
    <w:rsid w:val="00820886"/>
    <w:rsid w:val="00821001"/>
    <w:rsid w:val="00821715"/>
    <w:rsid w:val="0082464C"/>
    <w:rsid w:val="008312E9"/>
    <w:rsid w:val="008318CC"/>
    <w:rsid w:val="00833809"/>
    <w:rsid w:val="0083399F"/>
    <w:rsid w:val="008436E0"/>
    <w:rsid w:val="008437CC"/>
    <w:rsid w:val="00851E7C"/>
    <w:rsid w:val="00853B77"/>
    <w:rsid w:val="0085511B"/>
    <w:rsid w:val="00856628"/>
    <w:rsid w:val="00864526"/>
    <w:rsid w:val="008725E9"/>
    <w:rsid w:val="00872A10"/>
    <w:rsid w:val="00873E95"/>
    <w:rsid w:val="008828C0"/>
    <w:rsid w:val="00882CF9"/>
    <w:rsid w:val="00887A56"/>
    <w:rsid w:val="00887DEA"/>
    <w:rsid w:val="00890032"/>
    <w:rsid w:val="008905D5"/>
    <w:rsid w:val="00892A2C"/>
    <w:rsid w:val="008931D3"/>
    <w:rsid w:val="00896F4E"/>
    <w:rsid w:val="008A1D8F"/>
    <w:rsid w:val="008A3298"/>
    <w:rsid w:val="008A340B"/>
    <w:rsid w:val="008A75B4"/>
    <w:rsid w:val="008B0C68"/>
    <w:rsid w:val="008B5D47"/>
    <w:rsid w:val="008C1573"/>
    <w:rsid w:val="008C3D66"/>
    <w:rsid w:val="008C6749"/>
    <w:rsid w:val="008C68DD"/>
    <w:rsid w:val="008C7356"/>
    <w:rsid w:val="008D05AB"/>
    <w:rsid w:val="008D308B"/>
    <w:rsid w:val="008D314F"/>
    <w:rsid w:val="008D5A8F"/>
    <w:rsid w:val="008D67E6"/>
    <w:rsid w:val="008D78DF"/>
    <w:rsid w:val="008E0F50"/>
    <w:rsid w:val="008E1066"/>
    <w:rsid w:val="008E390A"/>
    <w:rsid w:val="008E3AB2"/>
    <w:rsid w:val="008F0021"/>
    <w:rsid w:val="008F49E1"/>
    <w:rsid w:val="00901119"/>
    <w:rsid w:val="00901E94"/>
    <w:rsid w:val="00903172"/>
    <w:rsid w:val="00903BC4"/>
    <w:rsid w:val="009052AB"/>
    <w:rsid w:val="00916D42"/>
    <w:rsid w:val="009208BD"/>
    <w:rsid w:val="00921BB7"/>
    <w:rsid w:val="00934946"/>
    <w:rsid w:val="00936768"/>
    <w:rsid w:val="00940558"/>
    <w:rsid w:val="00941790"/>
    <w:rsid w:val="00945B40"/>
    <w:rsid w:val="00945FAD"/>
    <w:rsid w:val="00950011"/>
    <w:rsid w:val="009539AF"/>
    <w:rsid w:val="009541DF"/>
    <w:rsid w:val="009552C3"/>
    <w:rsid w:val="00966DDC"/>
    <w:rsid w:val="00967845"/>
    <w:rsid w:val="00973E37"/>
    <w:rsid w:val="009805A4"/>
    <w:rsid w:val="00984583"/>
    <w:rsid w:val="00984AB1"/>
    <w:rsid w:val="00987D74"/>
    <w:rsid w:val="009913FC"/>
    <w:rsid w:val="009945AE"/>
    <w:rsid w:val="00995402"/>
    <w:rsid w:val="009A32AC"/>
    <w:rsid w:val="009A35D7"/>
    <w:rsid w:val="009A374F"/>
    <w:rsid w:val="009A3E7D"/>
    <w:rsid w:val="009A50FF"/>
    <w:rsid w:val="009A657B"/>
    <w:rsid w:val="009B02F7"/>
    <w:rsid w:val="009B0DDF"/>
    <w:rsid w:val="009B11B0"/>
    <w:rsid w:val="009B29C1"/>
    <w:rsid w:val="009C42F9"/>
    <w:rsid w:val="009C4578"/>
    <w:rsid w:val="009C7EED"/>
    <w:rsid w:val="009D0147"/>
    <w:rsid w:val="009D6681"/>
    <w:rsid w:val="009D7104"/>
    <w:rsid w:val="009E29FB"/>
    <w:rsid w:val="009E6689"/>
    <w:rsid w:val="009E7F30"/>
    <w:rsid w:val="009F228F"/>
    <w:rsid w:val="009F2CC9"/>
    <w:rsid w:val="009F4DB6"/>
    <w:rsid w:val="009F6F25"/>
    <w:rsid w:val="00A014CE"/>
    <w:rsid w:val="00A01617"/>
    <w:rsid w:val="00A01656"/>
    <w:rsid w:val="00A02E7C"/>
    <w:rsid w:val="00A02FB7"/>
    <w:rsid w:val="00A03BF2"/>
    <w:rsid w:val="00A0562C"/>
    <w:rsid w:val="00A0675B"/>
    <w:rsid w:val="00A114D2"/>
    <w:rsid w:val="00A14824"/>
    <w:rsid w:val="00A148EC"/>
    <w:rsid w:val="00A20CD8"/>
    <w:rsid w:val="00A21934"/>
    <w:rsid w:val="00A2564F"/>
    <w:rsid w:val="00A271F8"/>
    <w:rsid w:val="00A40F44"/>
    <w:rsid w:val="00A454B2"/>
    <w:rsid w:val="00A50743"/>
    <w:rsid w:val="00A5130F"/>
    <w:rsid w:val="00A55F21"/>
    <w:rsid w:val="00A5621B"/>
    <w:rsid w:val="00A62573"/>
    <w:rsid w:val="00A657EB"/>
    <w:rsid w:val="00A72F87"/>
    <w:rsid w:val="00A74A04"/>
    <w:rsid w:val="00A81744"/>
    <w:rsid w:val="00A81754"/>
    <w:rsid w:val="00A82E27"/>
    <w:rsid w:val="00A86A92"/>
    <w:rsid w:val="00A97AB8"/>
    <w:rsid w:val="00AA30C5"/>
    <w:rsid w:val="00AB30BA"/>
    <w:rsid w:val="00AB6D62"/>
    <w:rsid w:val="00AB76A4"/>
    <w:rsid w:val="00AC34E6"/>
    <w:rsid w:val="00AC74C7"/>
    <w:rsid w:val="00AC78CD"/>
    <w:rsid w:val="00AD11F2"/>
    <w:rsid w:val="00AD557F"/>
    <w:rsid w:val="00AD77DB"/>
    <w:rsid w:val="00AD797E"/>
    <w:rsid w:val="00AD7B89"/>
    <w:rsid w:val="00AE14F4"/>
    <w:rsid w:val="00AE1508"/>
    <w:rsid w:val="00AE61B5"/>
    <w:rsid w:val="00AE7685"/>
    <w:rsid w:val="00AF40CD"/>
    <w:rsid w:val="00AF480F"/>
    <w:rsid w:val="00AF6B9F"/>
    <w:rsid w:val="00AF6F68"/>
    <w:rsid w:val="00AF71F9"/>
    <w:rsid w:val="00B01D1B"/>
    <w:rsid w:val="00B0221B"/>
    <w:rsid w:val="00B07993"/>
    <w:rsid w:val="00B11406"/>
    <w:rsid w:val="00B13CAE"/>
    <w:rsid w:val="00B14340"/>
    <w:rsid w:val="00B157F3"/>
    <w:rsid w:val="00B15E2D"/>
    <w:rsid w:val="00B2287A"/>
    <w:rsid w:val="00B2346C"/>
    <w:rsid w:val="00B24A59"/>
    <w:rsid w:val="00B304FB"/>
    <w:rsid w:val="00B321B5"/>
    <w:rsid w:val="00B322BA"/>
    <w:rsid w:val="00B34833"/>
    <w:rsid w:val="00B41E14"/>
    <w:rsid w:val="00B45FB7"/>
    <w:rsid w:val="00B465EB"/>
    <w:rsid w:val="00B46D29"/>
    <w:rsid w:val="00B56FAA"/>
    <w:rsid w:val="00B60EF0"/>
    <w:rsid w:val="00B612DA"/>
    <w:rsid w:val="00B64ABB"/>
    <w:rsid w:val="00B7072D"/>
    <w:rsid w:val="00B73318"/>
    <w:rsid w:val="00B745C1"/>
    <w:rsid w:val="00B750EF"/>
    <w:rsid w:val="00B75533"/>
    <w:rsid w:val="00B81476"/>
    <w:rsid w:val="00B81502"/>
    <w:rsid w:val="00B84800"/>
    <w:rsid w:val="00B906A1"/>
    <w:rsid w:val="00B908E8"/>
    <w:rsid w:val="00B946A2"/>
    <w:rsid w:val="00B95D99"/>
    <w:rsid w:val="00B9688D"/>
    <w:rsid w:val="00BA1166"/>
    <w:rsid w:val="00BA3938"/>
    <w:rsid w:val="00BA4643"/>
    <w:rsid w:val="00BB0110"/>
    <w:rsid w:val="00BB3971"/>
    <w:rsid w:val="00BB3AA7"/>
    <w:rsid w:val="00BB4405"/>
    <w:rsid w:val="00BB6D23"/>
    <w:rsid w:val="00BB7BC2"/>
    <w:rsid w:val="00BC03AA"/>
    <w:rsid w:val="00BC089D"/>
    <w:rsid w:val="00BC0FC0"/>
    <w:rsid w:val="00BC176A"/>
    <w:rsid w:val="00BC2448"/>
    <w:rsid w:val="00BC302C"/>
    <w:rsid w:val="00BC3A38"/>
    <w:rsid w:val="00BC4CE3"/>
    <w:rsid w:val="00BE5AEB"/>
    <w:rsid w:val="00BF0B7E"/>
    <w:rsid w:val="00BF1EE8"/>
    <w:rsid w:val="00BF55EA"/>
    <w:rsid w:val="00BF7F28"/>
    <w:rsid w:val="00C031B6"/>
    <w:rsid w:val="00C049CA"/>
    <w:rsid w:val="00C06200"/>
    <w:rsid w:val="00C06654"/>
    <w:rsid w:val="00C07F01"/>
    <w:rsid w:val="00C11D0F"/>
    <w:rsid w:val="00C12C84"/>
    <w:rsid w:val="00C15EBD"/>
    <w:rsid w:val="00C16B56"/>
    <w:rsid w:val="00C1743C"/>
    <w:rsid w:val="00C303C8"/>
    <w:rsid w:val="00C30CEC"/>
    <w:rsid w:val="00C30F02"/>
    <w:rsid w:val="00C31906"/>
    <w:rsid w:val="00C340DE"/>
    <w:rsid w:val="00C35528"/>
    <w:rsid w:val="00C36297"/>
    <w:rsid w:val="00C401FB"/>
    <w:rsid w:val="00C41050"/>
    <w:rsid w:val="00C4341B"/>
    <w:rsid w:val="00C502FD"/>
    <w:rsid w:val="00C534F7"/>
    <w:rsid w:val="00C53A7B"/>
    <w:rsid w:val="00C54AEB"/>
    <w:rsid w:val="00C554AF"/>
    <w:rsid w:val="00C56621"/>
    <w:rsid w:val="00C5792C"/>
    <w:rsid w:val="00C66FAC"/>
    <w:rsid w:val="00C727C4"/>
    <w:rsid w:val="00C72DF3"/>
    <w:rsid w:val="00C75925"/>
    <w:rsid w:val="00C77BE9"/>
    <w:rsid w:val="00C80F92"/>
    <w:rsid w:val="00C83DF5"/>
    <w:rsid w:val="00C85D75"/>
    <w:rsid w:val="00C8693F"/>
    <w:rsid w:val="00C87BDB"/>
    <w:rsid w:val="00C92BC5"/>
    <w:rsid w:val="00C937FA"/>
    <w:rsid w:val="00CA07CA"/>
    <w:rsid w:val="00CA1098"/>
    <w:rsid w:val="00CA2876"/>
    <w:rsid w:val="00CA2E58"/>
    <w:rsid w:val="00CA3EAB"/>
    <w:rsid w:val="00CA4126"/>
    <w:rsid w:val="00CA4852"/>
    <w:rsid w:val="00CA4D15"/>
    <w:rsid w:val="00CC0D57"/>
    <w:rsid w:val="00CC2000"/>
    <w:rsid w:val="00CC2385"/>
    <w:rsid w:val="00CC6401"/>
    <w:rsid w:val="00CD2C83"/>
    <w:rsid w:val="00CD553E"/>
    <w:rsid w:val="00CD5A1D"/>
    <w:rsid w:val="00CE25C2"/>
    <w:rsid w:val="00CE404C"/>
    <w:rsid w:val="00CE4057"/>
    <w:rsid w:val="00CE63C6"/>
    <w:rsid w:val="00CF112B"/>
    <w:rsid w:val="00CF1DBF"/>
    <w:rsid w:val="00CF1EED"/>
    <w:rsid w:val="00CF40FC"/>
    <w:rsid w:val="00D0110B"/>
    <w:rsid w:val="00D0149A"/>
    <w:rsid w:val="00D02962"/>
    <w:rsid w:val="00D0334D"/>
    <w:rsid w:val="00D06FDA"/>
    <w:rsid w:val="00D07F51"/>
    <w:rsid w:val="00D17E63"/>
    <w:rsid w:val="00D2294A"/>
    <w:rsid w:val="00D23273"/>
    <w:rsid w:val="00D236D7"/>
    <w:rsid w:val="00D24386"/>
    <w:rsid w:val="00D244C1"/>
    <w:rsid w:val="00D26B6C"/>
    <w:rsid w:val="00D2722D"/>
    <w:rsid w:val="00D308A6"/>
    <w:rsid w:val="00D3164A"/>
    <w:rsid w:val="00D31817"/>
    <w:rsid w:val="00D31D6C"/>
    <w:rsid w:val="00D3359D"/>
    <w:rsid w:val="00D36005"/>
    <w:rsid w:val="00D43D9C"/>
    <w:rsid w:val="00D4496D"/>
    <w:rsid w:val="00D45C09"/>
    <w:rsid w:val="00D4730D"/>
    <w:rsid w:val="00D51FA4"/>
    <w:rsid w:val="00D547E6"/>
    <w:rsid w:val="00D548FC"/>
    <w:rsid w:val="00D550E0"/>
    <w:rsid w:val="00D55F36"/>
    <w:rsid w:val="00D560DC"/>
    <w:rsid w:val="00D56EA9"/>
    <w:rsid w:val="00D60D1B"/>
    <w:rsid w:val="00D650B0"/>
    <w:rsid w:val="00D65953"/>
    <w:rsid w:val="00D660B5"/>
    <w:rsid w:val="00D662C9"/>
    <w:rsid w:val="00D66ABD"/>
    <w:rsid w:val="00D732FB"/>
    <w:rsid w:val="00D75094"/>
    <w:rsid w:val="00D7632E"/>
    <w:rsid w:val="00D83846"/>
    <w:rsid w:val="00D90783"/>
    <w:rsid w:val="00D928BB"/>
    <w:rsid w:val="00D95D2A"/>
    <w:rsid w:val="00DA2245"/>
    <w:rsid w:val="00DA455C"/>
    <w:rsid w:val="00DA48DB"/>
    <w:rsid w:val="00DA696C"/>
    <w:rsid w:val="00DA764A"/>
    <w:rsid w:val="00DB34F5"/>
    <w:rsid w:val="00DB3679"/>
    <w:rsid w:val="00DB40BF"/>
    <w:rsid w:val="00DB4B1F"/>
    <w:rsid w:val="00DB5904"/>
    <w:rsid w:val="00DB5CD5"/>
    <w:rsid w:val="00DB786A"/>
    <w:rsid w:val="00DD1956"/>
    <w:rsid w:val="00DD530C"/>
    <w:rsid w:val="00DD5E7B"/>
    <w:rsid w:val="00DE0A76"/>
    <w:rsid w:val="00DE409B"/>
    <w:rsid w:val="00DE45DF"/>
    <w:rsid w:val="00DE585E"/>
    <w:rsid w:val="00DE7A77"/>
    <w:rsid w:val="00E000D2"/>
    <w:rsid w:val="00E02EC0"/>
    <w:rsid w:val="00E04EE1"/>
    <w:rsid w:val="00E10301"/>
    <w:rsid w:val="00E107BB"/>
    <w:rsid w:val="00E11EBA"/>
    <w:rsid w:val="00E13678"/>
    <w:rsid w:val="00E143B1"/>
    <w:rsid w:val="00E144FB"/>
    <w:rsid w:val="00E153DB"/>
    <w:rsid w:val="00E15C6C"/>
    <w:rsid w:val="00E26AF9"/>
    <w:rsid w:val="00E26FB9"/>
    <w:rsid w:val="00E27592"/>
    <w:rsid w:val="00E311C6"/>
    <w:rsid w:val="00E32ACE"/>
    <w:rsid w:val="00E33E7C"/>
    <w:rsid w:val="00E35EEB"/>
    <w:rsid w:val="00E366F9"/>
    <w:rsid w:val="00E40678"/>
    <w:rsid w:val="00E460B2"/>
    <w:rsid w:val="00E47880"/>
    <w:rsid w:val="00E47EE2"/>
    <w:rsid w:val="00E50EE1"/>
    <w:rsid w:val="00E51619"/>
    <w:rsid w:val="00E521AD"/>
    <w:rsid w:val="00E5225F"/>
    <w:rsid w:val="00E55C27"/>
    <w:rsid w:val="00E56E56"/>
    <w:rsid w:val="00E576E6"/>
    <w:rsid w:val="00E60207"/>
    <w:rsid w:val="00E61304"/>
    <w:rsid w:val="00E6517E"/>
    <w:rsid w:val="00E71EB4"/>
    <w:rsid w:val="00E84AC8"/>
    <w:rsid w:val="00E90AA7"/>
    <w:rsid w:val="00E923B9"/>
    <w:rsid w:val="00E9592F"/>
    <w:rsid w:val="00EA0B18"/>
    <w:rsid w:val="00EA2898"/>
    <w:rsid w:val="00EA63BA"/>
    <w:rsid w:val="00EB0A7F"/>
    <w:rsid w:val="00EB231A"/>
    <w:rsid w:val="00EB4756"/>
    <w:rsid w:val="00EB706B"/>
    <w:rsid w:val="00EC3F10"/>
    <w:rsid w:val="00EC7F70"/>
    <w:rsid w:val="00ED1E14"/>
    <w:rsid w:val="00ED6885"/>
    <w:rsid w:val="00EF0477"/>
    <w:rsid w:val="00EF4EE7"/>
    <w:rsid w:val="00EF6C1B"/>
    <w:rsid w:val="00F034BE"/>
    <w:rsid w:val="00F03D45"/>
    <w:rsid w:val="00F06E93"/>
    <w:rsid w:val="00F16D69"/>
    <w:rsid w:val="00F231B8"/>
    <w:rsid w:val="00F2449F"/>
    <w:rsid w:val="00F24C7A"/>
    <w:rsid w:val="00F258B8"/>
    <w:rsid w:val="00F31FA7"/>
    <w:rsid w:val="00F33335"/>
    <w:rsid w:val="00F34704"/>
    <w:rsid w:val="00F34BFB"/>
    <w:rsid w:val="00F364DB"/>
    <w:rsid w:val="00F42E1F"/>
    <w:rsid w:val="00F46B27"/>
    <w:rsid w:val="00F46BAA"/>
    <w:rsid w:val="00F46EF7"/>
    <w:rsid w:val="00F4726C"/>
    <w:rsid w:val="00F52C02"/>
    <w:rsid w:val="00F550B3"/>
    <w:rsid w:val="00F556BC"/>
    <w:rsid w:val="00F57682"/>
    <w:rsid w:val="00F627E6"/>
    <w:rsid w:val="00F64FDB"/>
    <w:rsid w:val="00F77B62"/>
    <w:rsid w:val="00F8240B"/>
    <w:rsid w:val="00F87A7C"/>
    <w:rsid w:val="00F9160C"/>
    <w:rsid w:val="00F945B0"/>
    <w:rsid w:val="00FA03D8"/>
    <w:rsid w:val="00FA1841"/>
    <w:rsid w:val="00FA3109"/>
    <w:rsid w:val="00FA3690"/>
    <w:rsid w:val="00FA4775"/>
    <w:rsid w:val="00FB0367"/>
    <w:rsid w:val="00FB1933"/>
    <w:rsid w:val="00FB2873"/>
    <w:rsid w:val="00FB4798"/>
    <w:rsid w:val="00FC29CB"/>
    <w:rsid w:val="00FC51A6"/>
    <w:rsid w:val="00FC60E8"/>
    <w:rsid w:val="00FD4E53"/>
    <w:rsid w:val="00FD52E3"/>
    <w:rsid w:val="00FD6663"/>
    <w:rsid w:val="00FD7C2D"/>
    <w:rsid w:val="00FE6B07"/>
    <w:rsid w:val="00FE6C99"/>
    <w:rsid w:val="00FF04EC"/>
    <w:rsid w:val="00FF2461"/>
    <w:rsid w:val="00FF39DF"/>
    <w:rsid w:val="00FF52F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13345"/>
    <o:shapelayout v:ext="edit">
      <o:idmap v:ext="edit" data="1"/>
    </o:shapelayout>
  </w:shapeDefaults>
  <w:decimalSymbol w:val="."/>
  <w:listSeparator w:val=","/>
  <w14:docId w14:val="47363E42"/>
  <w15:chartTrackingRefBased/>
  <w15:docId w15:val="{AC8146AC-91C2-4DB2-9FD2-C58B93E9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E93"/>
  </w:style>
  <w:style w:type="paragraph" w:styleId="Heading1">
    <w:name w:val="heading 1"/>
    <w:basedOn w:val="Normal"/>
    <w:next w:val="Normal"/>
    <w:link w:val="Heading1Char"/>
    <w:uiPriority w:val="4"/>
    <w:qFormat/>
    <w:rsid w:val="00F64FDB"/>
    <w:pPr>
      <w:keepNext/>
      <w:keepLines/>
      <w:spacing w:before="320" w:after="160" w:line="420" w:lineRule="atLeast"/>
      <w:outlineLvl w:val="0"/>
    </w:pPr>
    <w:rPr>
      <w:rFonts w:asciiTheme="majorHAnsi" w:eastAsiaTheme="majorEastAsia" w:hAnsiTheme="majorHAnsi" w:cstheme="majorBidi"/>
      <w:b/>
      <w:color w:val="264F90" w:themeColor="accent2"/>
      <w:sz w:val="36"/>
      <w:szCs w:val="32"/>
    </w:rPr>
  </w:style>
  <w:style w:type="paragraph" w:styleId="Heading2">
    <w:name w:val="heading 2"/>
    <w:basedOn w:val="Heading1"/>
    <w:next w:val="Normal"/>
    <w:link w:val="Heading2Char"/>
    <w:uiPriority w:val="4"/>
    <w:unhideWhenUsed/>
    <w:qFormat/>
    <w:rsid w:val="00F64FDB"/>
    <w:pPr>
      <w:spacing w:line="340" w:lineRule="atLeast"/>
      <w:outlineLvl w:val="1"/>
    </w:pPr>
    <w:rPr>
      <w:color w:val="212A4C" w:themeColor="text2"/>
      <w:sz w:val="28"/>
      <w:szCs w:val="26"/>
    </w:rPr>
  </w:style>
  <w:style w:type="paragraph" w:styleId="Heading3">
    <w:name w:val="heading 3"/>
    <w:basedOn w:val="Heading2"/>
    <w:next w:val="Normal"/>
    <w:link w:val="Heading3Char"/>
    <w:uiPriority w:val="4"/>
    <w:unhideWhenUsed/>
    <w:qFormat/>
    <w:rsid w:val="00F64FDB"/>
    <w:pPr>
      <w:spacing w:line="280" w:lineRule="atLeast"/>
      <w:outlineLvl w:val="2"/>
    </w:pPr>
    <w:rPr>
      <w:b w:val="0"/>
      <w:color w:val="264F90" w:themeColor="accent2"/>
      <w:sz w:val="24"/>
      <w:szCs w:val="24"/>
    </w:rPr>
  </w:style>
  <w:style w:type="paragraph" w:styleId="Heading4">
    <w:name w:val="heading 4"/>
    <w:basedOn w:val="Heading3"/>
    <w:next w:val="Normal"/>
    <w:link w:val="Heading4Char"/>
    <w:uiPriority w:val="4"/>
    <w:unhideWhenUsed/>
    <w:qFormat/>
    <w:rsid w:val="003E38FA"/>
    <w:pPr>
      <w:outlineLvl w:val="3"/>
    </w:pPr>
    <w:rPr>
      <w:b/>
      <w:iCs/>
      <w:color w:val="212A4C" w:themeColor="text2"/>
      <w:sz w:val="20"/>
    </w:rPr>
  </w:style>
  <w:style w:type="paragraph" w:styleId="Heading5">
    <w:name w:val="heading 5"/>
    <w:basedOn w:val="Heading4"/>
    <w:next w:val="Normal"/>
    <w:link w:val="Heading5Char"/>
    <w:uiPriority w:val="4"/>
    <w:unhideWhenUsed/>
    <w:qFormat/>
    <w:rsid w:val="00F64FDB"/>
    <w:pPr>
      <w:outlineLvl w:val="4"/>
    </w:pPr>
    <w:rPr>
      <w:b w:val="0"/>
      <w:i/>
      <w:color w:val="264F90"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i/>
      <w:iCs/>
    </w:rPr>
  </w:style>
  <w:style w:type="character" w:styleId="IntenseEmphasis">
    <w:name w:val="Intense Emphasis"/>
    <w:basedOn w:val="DefaultParagraphFont"/>
    <w:uiPriority w:val="21"/>
    <w:qFormat/>
    <w:rsid w:val="00D560DC"/>
    <w:rPr>
      <w:i/>
      <w:iCs/>
      <w:color w:val="212A4C" w:themeColor="accent1"/>
    </w:rPr>
  </w:style>
  <w:style w:type="character" w:styleId="Strong">
    <w:name w:val="Strong"/>
    <w:basedOn w:val="DefaultParagraphFont"/>
    <w:uiPriority w:val="22"/>
    <w:qFormat/>
    <w:rsid w:val="00D560DC"/>
    <w:rPr>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style>
  <w:style w:type="paragraph" w:styleId="Footer">
    <w:name w:val="footer"/>
    <w:basedOn w:val="Normal"/>
    <w:link w:val="FooterChar"/>
    <w:uiPriority w:val="99"/>
    <w:unhideWhenUsed/>
    <w:rsid w:val="00D43D9C"/>
    <w:pPr>
      <w:tabs>
        <w:tab w:val="right" w:pos="9866"/>
      </w:tabs>
      <w:spacing w:after="0" w:line="320" w:lineRule="atLeast"/>
    </w:pPr>
  </w:style>
  <w:style w:type="character" w:customStyle="1" w:styleId="FooterChar">
    <w:name w:val="Footer Char"/>
    <w:basedOn w:val="DefaultParagraphFont"/>
    <w:link w:val="Footer"/>
    <w:uiPriority w:val="99"/>
    <w:rsid w:val="00D43D9C"/>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64FDB"/>
    <w:pPr>
      <w:spacing w:before="0" w:after="0" w:line="240" w:lineRule="auto"/>
      <w:contextualSpacing/>
    </w:pPr>
    <w:rPr>
      <w:b w:val="0"/>
      <w:color w:val="212A4C" w:themeColor="text2"/>
      <w:spacing w:val="-10"/>
      <w:kern w:val="28"/>
      <w:sz w:val="56"/>
      <w:szCs w:val="56"/>
    </w:rPr>
  </w:style>
  <w:style w:type="character" w:customStyle="1" w:styleId="TitleChar">
    <w:name w:val="Title Char"/>
    <w:basedOn w:val="DefaultParagraphFont"/>
    <w:link w:val="Title"/>
    <w:uiPriority w:val="10"/>
    <w:rsid w:val="00F64FDB"/>
    <w:rPr>
      <w:rFonts w:asciiTheme="majorHAnsi" w:eastAsiaTheme="majorEastAsia" w:hAnsiTheme="majorHAnsi" w:cstheme="majorBidi"/>
      <w:color w:val="212A4C" w:themeColor="text2"/>
      <w:spacing w:val="-10"/>
      <w:kern w:val="28"/>
      <w:sz w:val="56"/>
      <w:szCs w:val="56"/>
    </w:rPr>
  </w:style>
  <w:style w:type="character" w:styleId="PlaceholderText">
    <w:name w:val="Placeholder Text"/>
    <w:basedOn w:val="DefaultParagraphFont"/>
    <w:uiPriority w:val="99"/>
    <w:semiHidden/>
    <w:rsid w:val="00D560DC"/>
    <w:rPr>
      <w:color w:val="808080"/>
    </w:rPr>
  </w:style>
  <w:style w:type="character" w:customStyle="1" w:styleId="Heading2Char">
    <w:name w:val="Heading 2 Char"/>
    <w:basedOn w:val="DefaultParagraphFont"/>
    <w:link w:val="Heading2"/>
    <w:uiPriority w:val="4"/>
    <w:rsid w:val="008A340B"/>
    <w:rPr>
      <w:rFonts w:asciiTheme="majorHAnsi" w:eastAsiaTheme="majorEastAsia" w:hAnsiTheme="majorHAnsi" w:cstheme="majorBidi"/>
      <w:b/>
      <w:color w:val="212A4C" w:themeColor="text2"/>
      <w:sz w:val="28"/>
      <w:szCs w:val="26"/>
    </w:rPr>
  </w:style>
  <w:style w:type="character" w:customStyle="1" w:styleId="Heading1Char">
    <w:name w:val="Heading 1 Char"/>
    <w:basedOn w:val="DefaultParagraphFont"/>
    <w:link w:val="Heading1"/>
    <w:uiPriority w:val="4"/>
    <w:rsid w:val="008A340B"/>
    <w:rPr>
      <w:rFonts w:asciiTheme="majorHAnsi" w:eastAsiaTheme="majorEastAsia" w:hAnsiTheme="majorHAnsi" w:cstheme="majorBidi"/>
      <w:b/>
      <w:color w:val="264F90" w:themeColor="accent2"/>
      <w:sz w:val="36"/>
      <w:szCs w:val="32"/>
    </w:rPr>
  </w:style>
  <w:style w:type="character" w:customStyle="1" w:styleId="Heading3Char">
    <w:name w:val="Heading 3 Char"/>
    <w:basedOn w:val="DefaultParagraphFont"/>
    <w:link w:val="Heading3"/>
    <w:uiPriority w:val="4"/>
    <w:rsid w:val="008A340B"/>
    <w:rPr>
      <w:rFonts w:asciiTheme="majorHAnsi" w:eastAsiaTheme="majorEastAsia" w:hAnsiTheme="majorHAnsi" w:cstheme="majorBidi"/>
      <w:color w:val="264F90" w:themeColor="accent2"/>
      <w:sz w:val="24"/>
      <w:szCs w:val="24"/>
    </w:rPr>
  </w:style>
  <w:style w:type="character" w:customStyle="1" w:styleId="Heading4Char">
    <w:name w:val="Heading 4 Char"/>
    <w:basedOn w:val="DefaultParagraphFont"/>
    <w:link w:val="Heading4"/>
    <w:uiPriority w:val="4"/>
    <w:rsid w:val="003E38FA"/>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6"/>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ind w:left="2160" w:hanging="360"/>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061D6A"/>
    <w:pPr>
      <w:numPr>
        <w:numId w:val="2"/>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F64FDB"/>
    <w:pPr>
      <w:spacing w:before="320" w:after="320" w:line="340" w:lineRule="atLeast"/>
    </w:pPr>
    <w:rPr>
      <w:color w:val="176CB5" w:themeColor="accent3"/>
      <w:sz w:val="28"/>
    </w:rPr>
  </w:style>
  <w:style w:type="character" w:customStyle="1" w:styleId="Heading5Char">
    <w:name w:val="Heading 5 Char"/>
    <w:basedOn w:val="DefaultParagraphFont"/>
    <w:link w:val="Heading5"/>
    <w:uiPriority w:val="4"/>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sz w:val="24"/>
    </w:rPr>
  </w:style>
  <w:style w:type="character" w:customStyle="1" w:styleId="QuoteChar">
    <w:name w:val="Quote Char"/>
    <w:basedOn w:val="DefaultParagraphFont"/>
    <w:link w:val="Quote"/>
    <w:uiPriority w:val="29"/>
    <w:rsid w:val="00061D6A"/>
    <w:rPr>
      <w:iCs/>
      <w:color w:val="176CB5" w:themeColor="accent3"/>
      <w:sz w:val="24"/>
    </w:rPr>
  </w:style>
  <w:style w:type="paragraph" w:customStyle="1" w:styleId="BoxQuote">
    <w:name w:val="Box Quote"/>
    <w:basedOn w:val="Quote"/>
    <w:uiPriority w:val="12"/>
    <w:qFormat/>
    <w:rsid w:val="00F24C7A"/>
    <w:pPr>
      <w:pBdr>
        <w:top w:val="single" w:sz="4" w:space="14" w:color="DAECFA"/>
        <w:left w:val="single" w:sz="4" w:space="14" w:color="264F90" w:themeColor="accent2"/>
        <w:bottom w:val="single" w:sz="4" w:space="14" w:color="DAECFA"/>
        <w:right w:val="single" w:sz="4" w:space="14" w:color="DAECFA"/>
      </w:pBdr>
      <w:shd w:val="clear" w:color="auto" w:fill="DFE7F6"/>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061D6A"/>
    <w:pPr>
      <w:numPr>
        <w:numId w:val="2"/>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D06FDA"/>
    <w:pPr>
      <w:spacing w:before="80" w:line="240" w:lineRule="auto"/>
    </w:pPr>
    <w:tblPr>
      <w:tblStyleRowBandSize w:val="1"/>
      <w:tblStyleColBandSize w:val="1"/>
      <w:tblBorders>
        <w:top w:val="single" w:sz="4" w:space="0" w:color="176CB5" w:themeColor="accent3"/>
        <w:bottom w:val="single" w:sz="4" w:space="0" w:color="176CB5" w:themeColor="accent3"/>
        <w:insideH w:val="single" w:sz="4" w:space="0" w:color="176CB5" w:themeColor="accent3"/>
      </w:tblBorders>
      <w:tblCellMar>
        <w:top w:w="57" w:type="dxa"/>
        <w:bottom w:w="57" w:type="dxa"/>
      </w:tblCellMar>
    </w:tblPr>
    <w:tcPr>
      <w:shd w:val="clear" w:color="auto" w:fill="auto"/>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customStyle="1" w:styleId="IconBox1Heading">
    <w:name w:val="Icon Box 1 Heading"/>
    <w:basedOn w:val="Heading1"/>
    <w:uiPriority w:val="15"/>
    <w:qFormat/>
    <w:rsid w:val="00BA4643"/>
    <w:pPr>
      <w:spacing w:before="480"/>
      <w:ind w:left="3402" w:right="284"/>
      <w:outlineLvl w:val="2"/>
    </w:pPr>
  </w:style>
  <w:style w:type="paragraph" w:customStyle="1" w:styleId="IconBox1Text">
    <w:name w:val="Icon Box 1 Text"/>
    <w:basedOn w:val="Normal"/>
    <w:uiPriority w:val="15"/>
    <w:qFormat/>
    <w:rsid w:val="004B3D3F"/>
    <w:pPr>
      <w:ind w:left="3402" w:right="283"/>
    </w:pPr>
  </w:style>
  <w:style w:type="paragraph" w:customStyle="1" w:styleId="IconBox1Bullet">
    <w:name w:val="Icon Box 1 Bullet"/>
    <w:basedOn w:val="IconBox1Text"/>
    <w:uiPriority w:val="16"/>
    <w:qFormat/>
    <w:rsid w:val="004B3D3F"/>
    <w:pPr>
      <w:numPr>
        <w:numId w:val="3"/>
      </w:numPr>
      <w:spacing w:before="80"/>
      <w:ind w:left="3686" w:hanging="284"/>
    </w:pPr>
  </w:style>
  <w:style w:type="paragraph" w:customStyle="1" w:styleId="IconBox2Heading">
    <w:name w:val="Icon Box 2 Heading"/>
    <w:basedOn w:val="IconBox1Heading"/>
    <w:uiPriority w:val="17"/>
    <w:qFormat/>
    <w:rsid w:val="00BA4643"/>
    <w:rPr>
      <w:color w:val="FFFFFF" w:themeColor="background1"/>
    </w:rPr>
  </w:style>
  <w:style w:type="paragraph" w:customStyle="1" w:styleId="IconBox2Text">
    <w:name w:val="Icon Box 2 Text"/>
    <w:basedOn w:val="IconBox1Text"/>
    <w:uiPriority w:val="17"/>
    <w:qFormat/>
    <w:rsid w:val="004B3D3F"/>
    <w:pPr>
      <w:spacing w:after="160" w:line="340" w:lineRule="atLeast"/>
      <w:ind w:right="284"/>
    </w:pPr>
    <w:rPr>
      <w:color w:val="FFFFFF" w:themeColor="background1"/>
      <w:sz w:val="28"/>
    </w:rPr>
  </w:style>
  <w:style w:type="paragraph" w:customStyle="1" w:styleId="IconBox2Bullet">
    <w:name w:val="Icon Box 2 Bullet"/>
    <w:basedOn w:val="IconBox1Bullet"/>
    <w:uiPriority w:val="18"/>
    <w:qFormat/>
    <w:rsid w:val="004B3D3F"/>
    <w:pPr>
      <w:numPr>
        <w:numId w:val="4"/>
      </w:numPr>
    </w:pPr>
    <w:rPr>
      <w:color w:val="FFFFFF" w:themeColor="background1"/>
    </w:r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8A340B"/>
    <w:pPr>
      <w:spacing w:before="0" w:after="0"/>
    </w:p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BA4643"/>
    <w:rPr>
      <w:color w:val="0046FF" w:themeColor="hyperlink"/>
      <w:u w:val="single"/>
    </w:rPr>
  </w:style>
  <w:style w:type="paragraph" w:styleId="ListParagraph">
    <w:name w:val="List Paragraph"/>
    <w:aliases w:val="Bullet point,L,List Paragraph - bullets,List Paragraph1,List Paragraph11,NFP GP Bulleted List,Recommendation,bullet point list,AR bullet 1,Bullet Point,Bullet Points,Bullet points,Bulletr List Paragraph,CV text,Content descriptions,Dot pt"/>
    <w:basedOn w:val="Normal"/>
    <w:link w:val="ListParagraphChar"/>
    <w:uiPriority w:val="34"/>
    <w:qFormat/>
    <w:rsid w:val="00C554AF"/>
    <w:pPr>
      <w:ind w:left="720"/>
      <w:contextualSpacing/>
    </w:pPr>
  </w:style>
  <w:style w:type="character" w:styleId="CommentReference">
    <w:name w:val="annotation reference"/>
    <w:basedOn w:val="DefaultParagraphFont"/>
    <w:uiPriority w:val="99"/>
    <w:semiHidden/>
    <w:unhideWhenUsed/>
    <w:rsid w:val="00755BF6"/>
    <w:rPr>
      <w:sz w:val="16"/>
      <w:szCs w:val="16"/>
    </w:rPr>
  </w:style>
  <w:style w:type="paragraph" w:styleId="CommentText">
    <w:name w:val="annotation text"/>
    <w:basedOn w:val="Normal"/>
    <w:link w:val="CommentTextChar"/>
    <w:uiPriority w:val="99"/>
    <w:unhideWhenUsed/>
    <w:rsid w:val="00755BF6"/>
    <w:pPr>
      <w:spacing w:line="240" w:lineRule="auto"/>
    </w:pPr>
  </w:style>
  <w:style w:type="character" w:customStyle="1" w:styleId="CommentTextChar">
    <w:name w:val="Comment Text Char"/>
    <w:basedOn w:val="DefaultParagraphFont"/>
    <w:link w:val="CommentText"/>
    <w:uiPriority w:val="99"/>
    <w:rsid w:val="00755BF6"/>
  </w:style>
  <w:style w:type="paragraph" w:styleId="CommentSubject">
    <w:name w:val="annotation subject"/>
    <w:basedOn w:val="CommentText"/>
    <w:next w:val="CommentText"/>
    <w:link w:val="CommentSubjectChar"/>
    <w:uiPriority w:val="99"/>
    <w:semiHidden/>
    <w:unhideWhenUsed/>
    <w:rsid w:val="00755BF6"/>
    <w:rPr>
      <w:b/>
      <w:bCs/>
    </w:rPr>
  </w:style>
  <w:style w:type="character" w:customStyle="1" w:styleId="CommentSubjectChar">
    <w:name w:val="Comment Subject Char"/>
    <w:basedOn w:val="CommentTextChar"/>
    <w:link w:val="CommentSubject"/>
    <w:uiPriority w:val="99"/>
    <w:semiHidden/>
    <w:rsid w:val="00755BF6"/>
    <w:rPr>
      <w:b/>
      <w:bCs/>
    </w:rPr>
  </w:style>
  <w:style w:type="paragraph" w:styleId="BalloonText">
    <w:name w:val="Balloon Text"/>
    <w:basedOn w:val="Normal"/>
    <w:link w:val="BalloonTextChar"/>
    <w:uiPriority w:val="99"/>
    <w:semiHidden/>
    <w:unhideWhenUsed/>
    <w:rsid w:val="00755BF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BF6"/>
    <w:rPr>
      <w:rFonts w:ascii="Segoe UI" w:hAnsi="Segoe UI" w:cs="Segoe UI"/>
      <w:sz w:val="18"/>
      <w:szCs w:val="18"/>
    </w:rPr>
  </w:style>
  <w:style w:type="character" w:customStyle="1" w:styleId="ListParagraphChar">
    <w:name w:val="List Paragraph Char"/>
    <w:aliases w:val="Bullet point Char,L Char,List Paragraph - bullets Char,List Paragraph1 Char,List Paragraph11 Char,NFP GP Bulleted List Char,Recommendation Char,bullet point list Char,AR bullet 1 Char,Bullet Point Char,Bullet Points Char,CV text Char"/>
    <w:basedOn w:val="DefaultParagraphFont"/>
    <w:link w:val="ListParagraph"/>
    <w:uiPriority w:val="34"/>
    <w:qFormat/>
    <w:locked/>
    <w:rsid w:val="00E55C27"/>
  </w:style>
  <w:style w:type="paragraph" w:styleId="ListBullet2">
    <w:name w:val="List Bullet 2"/>
    <w:basedOn w:val="Normal"/>
    <w:uiPriority w:val="99"/>
    <w:unhideWhenUsed/>
    <w:rsid w:val="00D3164A"/>
    <w:pPr>
      <w:tabs>
        <w:tab w:val="num" w:pos="720"/>
      </w:tabs>
      <w:spacing w:before="0" w:after="160" w:line="264" w:lineRule="auto"/>
      <w:ind w:left="720" w:hanging="360"/>
    </w:pPr>
    <w:rPr>
      <w:rFonts w:eastAsiaTheme="minorHAnsi"/>
      <w:color w:val="auto"/>
      <w:szCs w:val="26"/>
      <w:lang w:val="en-US" w:eastAsia="ja-JP"/>
    </w:rPr>
  </w:style>
  <w:style w:type="character" w:styleId="FollowedHyperlink">
    <w:name w:val="FollowedHyperlink"/>
    <w:basedOn w:val="DefaultParagraphFont"/>
    <w:uiPriority w:val="99"/>
    <w:semiHidden/>
    <w:unhideWhenUsed/>
    <w:rsid w:val="00157EFE"/>
    <w:rPr>
      <w:color w:val="0046FF" w:themeColor="followedHyperlink"/>
      <w:u w:val="single"/>
    </w:rPr>
  </w:style>
  <w:style w:type="paragraph" w:styleId="Revision">
    <w:name w:val="Revision"/>
    <w:hidden/>
    <w:uiPriority w:val="99"/>
    <w:semiHidden/>
    <w:rsid w:val="006E5FF8"/>
    <w:pPr>
      <w:spacing w:before="0" w:after="0" w:line="240" w:lineRule="auto"/>
    </w:pPr>
  </w:style>
  <w:style w:type="paragraph" w:styleId="NormalWeb">
    <w:name w:val="Normal (Web)"/>
    <w:basedOn w:val="Normal"/>
    <w:uiPriority w:val="99"/>
    <w:unhideWhenUsed/>
    <w:rsid w:val="00D31817"/>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normallfashurst">
    <w:name w:val="normallfashurst"/>
    <w:basedOn w:val="Normal"/>
    <w:rsid w:val="00806A7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8D05AB"/>
    <w:rPr>
      <w:color w:val="605E5C"/>
      <w:shd w:val="clear" w:color="auto" w:fill="E1DFDD"/>
    </w:rPr>
  </w:style>
  <w:style w:type="paragraph" w:styleId="FootnoteText">
    <w:name w:val="footnote text"/>
    <w:basedOn w:val="Normal"/>
    <w:link w:val="FootnoteTextChar"/>
    <w:uiPriority w:val="99"/>
    <w:semiHidden/>
    <w:unhideWhenUsed/>
    <w:rsid w:val="006A26F0"/>
    <w:pPr>
      <w:spacing w:before="0" w:after="0" w:line="240" w:lineRule="auto"/>
    </w:pPr>
  </w:style>
  <w:style w:type="character" w:customStyle="1" w:styleId="FootnoteTextChar">
    <w:name w:val="Footnote Text Char"/>
    <w:basedOn w:val="DefaultParagraphFont"/>
    <w:link w:val="FootnoteText"/>
    <w:uiPriority w:val="99"/>
    <w:semiHidden/>
    <w:rsid w:val="006A26F0"/>
  </w:style>
  <w:style w:type="character" w:styleId="FootnoteReference">
    <w:name w:val="footnote reference"/>
    <w:basedOn w:val="DefaultParagraphFont"/>
    <w:uiPriority w:val="99"/>
    <w:semiHidden/>
    <w:unhideWhenUsed/>
    <w:rsid w:val="006A26F0"/>
    <w:rPr>
      <w:vertAlign w:val="superscript"/>
    </w:rPr>
  </w:style>
  <w:style w:type="paragraph" w:styleId="EndnoteText">
    <w:name w:val="endnote text"/>
    <w:basedOn w:val="Normal"/>
    <w:link w:val="EndnoteTextChar"/>
    <w:uiPriority w:val="99"/>
    <w:semiHidden/>
    <w:unhideWhenUsed/>
    <w:rsid w:val="002E79AC"/>
    <w:pPr>
      <w:spacing w:before="0" w:after="0" w:line="240" w:lineRule="auto"/>
    </w:pPr>
  </w:style>
  <w:style w:type="character" w:customStyle="1" w:styleId="EndnoteTextChar">
    <w:name w:val="Endnote Text Char"/>
    <w:basedOn w:val="DefaultParagraphFont"/>
    <w:link w:val="EndnoteText"/>
    <w:uiPriority w:val="99"/>
    <w:semiHidden/>
    <w:rsid w:val="002E79AC"/>
  </w:style>
  <w:style w:type="character" w:styleId="EndnoteReference">
    <w:name w:val="endnote reference"/>
    <w:basedOn w:val="DefaultParagraphFont"/>
    <w:uiPriority w:val="99"/>
    <w:semiHidden/>
    <w:unhideWhenUsed/>
    <w:rsid w:val="002E79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954">
      <w:bodyDiv w:val="1"/>
      <w:marLeft w:val="0"/>
      <w:marRight w:val="0"/>
      <w:marTop w:val="0"/>
      <w:marBottom w:val="0"/>
      <w:divBdr>
        <w:top w:val="none" w:sz="0" w:space="0" w:color="auto"/>
        <w:left w:val="none" w:sz="0" w:space="0" w:color="auto"/>
        <w:bottom w:val="none" w:sz="0" w:space="0" w:color="auto"/>
        <w:right w:val="none" w:sz="0" w:space="0" w:color="auto"/>
      </w:divBdr>
    </w:div>
    <w:div w:id="403380353">
      <w:bodyDiv w:val="1"/>
      <w:marLeft w:val="0"/>
      <w:marRight w:val="0"/>
      <w:marTop w:val="0"/>
      <w:marBottom w:val="0"/>
      <w:divBdr>
        <w:top w:val="none" w:sz="0" w:space="0" w:color="auto"/>
        <w:left w:val="none" w:sz="0" w:space="0" w:color="auto"/>
        <w:bottom w:val="none" w:sz="0" w:space="0" w:color="auto"/>
        <w:right w:val="none" w:sz="0" w:space="0" w:color="auto"/>
      </w:divBdr>
      <w:divsChild>
        <w:div w:id="1532108175">
          <w:marLeft w:val="0"/>
          <w:marRight w:val="0"/>
          <w:marTop w:val="0"/>
          <w:marBottom w:val="0"/>
          <w:divBdr>
            <w:top w:val="none" w:sz="0" w:space="0" w:color="auto"/>
            <w:left w:val="none" w:sz="0" w:space="0" w:color="auto"/>
            <w:bottom w:val="none" w:sz="0" w:space="0" w:color="auto"/>
            <w:right w:val="none" w:sz="0" w:space="0" w:color="auto"/>
          </w:divBdr>
          <w:divsChild>
            <w:div w:id="208735909">
              <w:marLeft w:val="0"/>
              <w:marRight w:val="0"/>
              <w:marTop w:val="0"/>
              <w:marBottom w:val="0"/>
              <w:divBdr>
                <w:top w:val="none" w:sz="0" w:space="0" w:color="auto"/>
                <w:left w:val="none" w:sz="0" w:space="0" w:color="auto"/>
                <w:bottom w:val="none" w:sz="0" w:space="0" w:color="auto"/>
                <w:right w:val="none" w:sz="0" w:space="0" w:color="auto"/>
              </w:divBdr>
              <w:divsChild>
                <w:div w:id="13368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227">
          <w:marLeft w:val="0"/>
          <w:marRight w:val="0"/>
          <w:marTop w:val="0"/>
          <w:marBottom w:val="0"/>
          <w:divBdr>
            <w:top w:val="none" w:sz="0" w:space="0" w:color="auto"/>
            <w:left w:val="none" w:sz="0" w:space="0" w:color="auto"/>
            <w:bottom w:val="none" w:sz="0" w:space="0" w:color="auto"/>
            <w:right w:val="none" w:sz="0" w:space="0" w:color="auto"/>
          </w:divBdr>
          <w:divsChild>
            <w:div w:id="1296106641">
              <w:marLeft w:val="0"/>
              <w:marRight w:val="0"/>
              <w:marTop w:val="0"/>
              <w:marBottom w:val="0"/>
              <w:divBdr>
                <w:top w:val="none" w:sz="0" w:space="0" w:color="auto"/>
                <w:left w:val="none" w:sz="0" w:space="0" w:color="auto"/>
                <w:bottom w:val="none" w:sz="0" w:space="0" w:color="auto"/>
                <w:right w:val="none" w:sz="0" w:space="0" w:color="auto"/>
              </w:divBdr>
              <w:divsChild>
                <w:div w:id="20820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43022">
      <w:bodyDiv w:val="1"/>
      <w:marLeft w:val="0"/>
      <w:marRight w:val="0"/>
      <w:marTop w:val="0"/>
      <w:marBottom w:val="0"/>
      <w:divBdr>
        <w:top w:val="none" w:sz="0" w:space="0" w:color="auto"/>
        <w:left w:val="none" w:sz="0" w:space="0" w:color="auto"/>
        <w:bottom w:val="none" w:sz="0" w:space="0" w:color="auto"/>
        <w:right w:val="none" w:sz="0" w:space="0" w:color="auto"/>
      </w:divBdr>
    </w:div>
    <w:div w:id="433399478">
      <w:bodyDiv w:val="1"/>
      <w:marLeft w:val="0"/>
      <w:marRight w:val="0"/>
      <w:marTop w:val="0"/>
      <w:marBottom w:val="0"/>
      <w:divBdr>
        <w:top w:val="none" w:sz="0" w:space="0" w:color="auto"/>
        <w:left w:val="none" w:sz="0" w:space="0" w:color="auto"/>
        <w:bottom w:val="none" w:sz="0" w:space="0" w:color="auto"/>
        <w:right w:val="none" w:sz="0" w:space="0" w:color="auto"/>
      </w:divBdr>
    </w:div>
    <w:div w:id="569659426">
      <w:bodyDiv w:val="1"/>
      <w:marLeft w:val="0"/>
      <w:marRight w:val="0"/>
      <w:marTop w:val="0"/>
      <w:marBottom w:val="0"/>
      <w:divBdr>
        <w:top w:val="none" w:sz="0" w:space="0" w:color="auto"/>
        <w:left w:val="none" w:sz="0" w:space="0" w:color="auto"/>
        <w:bottom w:val="none" w:sz="0" w:space="0" w:color="auto"/>
        <w:right w:val="none" w:sz="0" w:space="0" w:color="auto"/>
      </w:divBdr>
    </w:div>
    <w:div w:id="595752999">
      <w:bodyDiv w:val="1"/>
      <w:marLeft w:val="0"/>
      <w:marRight w:val="0"/>
      <w:marTop w:val="0"/>
      <w:marBottom w:val="0"/>
      <w:divBdr>
        <w:top w:val="none" w:sz="0" w:space="0" w:color="auto"/>
        <w:left w:val="none" w:sz="0" w:space="0" w:color="auto"/>
        <w:bottom w:val="none" w:sz="0" w:space="0" w:color="auto"/>
        <w:right w:val="none" w:sz="0" w:space="0" w:color="auto"/>
      </w:divBdr>
    </w:div>
    <w:div w:id="642736899">
      <w:bodyDiv w:val="1"/>
      <w:marLeft w:val="0"/>
      <w:marRight w:val="0"/>
      <w:marTop w:val="0"/>
      <w:marBottom w:val="0"/>
      <w:divBdr>
        <w:top w:val="none" w:sz="0" w:space="0" w:color="auto"/>
        <w:left w:val="none" w:sz="0" w:space="0" w:color="auto"/>
        <w:bottom w:val="none" w:sz="0" w:space="0" w:color="auto"/>
        <w:right w:val="none" w:sz="0" w:space="0" w:color="auto"/>
      </w:divBdr>
    </w:div>
    <w:div w:id="643389369">
      <w:bodyDiv w:val="1"/>
      <w:marLeft w:val="0"/>
      <w:marRight w:val="0"/>
      <w:marTop w:val="0"/>
      <w:marBottom w:val="0"/>
      <w:divBdr>
        <w:top w:val="none" w:sz="0" w:space="0" w:color="auto"/>
        <w:left w:val="none" w:sz="0" w:space="0" w:color="auto"/>
        <w:bottom w:val="none" w:sz="0" w:space="0" w:color="auto"/>
        <w:right w:val="none" w:sz="0" w:space="0" w:color="auto"/>
      </w:divBdr>
    </w:div>
    <w:div w:id="668754185">
      <w:bodyDiv w:val="1"/>
      <w:marLeft w:val="0"/>
      <w:marRight w:val="0"/>
      <w:marTop w:val="0"/>
      <w:marBottom w:val="0"/>
      <w:divBdr>
        <w:top w:val="none" w:sz="0" w:space="0" w:color="auto"/>
        <w:left w:val="none" w:sz="0" w:space="0" w:color="auto"/>
        <w:bottom w:val="none" w:sz="0" w:space="0" w:color="auto"/>
        <w:right w:val="none" w:sz="0" w:space="0" w:color="auto"/>
      </w:divBdr>
    </w:div>
    <w:div w:id="766464064">
      <w:bodyDiv w:val="1"/>
      <w:marLeft w:val="0"/>
      <w:marRight w:val="0"/>
      <w:marTop w:val="0"/>
      <w:marBottom w:val="0"/>
      <w:divBdr>
        <w:top w:val="none" w:sz="0" w:space="0" w:color="auto"/>
        <w:left w:val="none" w:sz="0" w:space="0" w:color="auto"/>
        <w:bottom w:val="none" w:sz="0" w:space="0" w:color="auto"/>
        <w:right w:val="none" w:sz="0" w:space="0" w:color="auto"/>
      </w:divBdr>
    </w:div>
    <w:div w:id="867328303">
      <w:bodyDiv w:val="1"/>
      <w:marLeft w:val="0"/>
      <w:marRight w:val="0"/>
      <w:marTop w:val="0"/>
      <w:marBottom w:val="0"/>
      <w:divBdr>
        <w:top w:val="none" w:sz="0" w:space="0" w:color="auto"/>
        <w:left w:val="none" w:sz="0" w:space="0" w:color="auto"/>
        <w:bottom w:val="none" w:sz="0" w:space="0" w:color="auto"/>
        <w:right w:val="none" w:sz="0" w:space="0" w:color="auto"/>
      </w:divBdr>
    </w:div>
    <w:div w:id="971057916">
      <w:bodyDiv w:val="1"/>
      <w:marLeft w:val="0"/>
      <w:marRight w:val="0"/>
      <w:marTop w:val="0"/>
      <w:marBottom w:val="0"/>
      <w:divBdr>
        <w:top w:val="none" w:sz="0" w:space="0" w:color="auto"/>
        <w:left w:val="none" w:sz="0" w:space="0" w:color="auto"/>
        <w:bottom w:val="none" w:sz="0" w:space="0" w:color="auto"/>
        <w:right w:val="none" w:sz="0" w:space="0" w:color="auto"/>
      </w:divBdr>
    </w:div>
    <w:div w:id="980815844">
      <w:bodyDiv w:val="1"/>
      <w:marLeft w:val="0"/>
      <w:marRight w:val="0"/>
      <w:marTop w:val="0"/>
      <w:marBottom w:val="0"/>
      <w:divBdr>
        <w:top w:val="none" w:sz="0" w:space="0" w:color="auto"/>
        <w:left w:val="none" w:sz="0" w:space="0" w:color="auto"/>
        <w:bottom w:val="none" w:sz="0" w:space="0" w:color="auto"/>
        <w:right w:val="none" w:sz="0" w:space="0" w:color="auto"/>
      </w:divBdr>
    </w:div>
    <w:div w:id="987510633">
      <w:bodyDiv w:val="1"/>
      <w:marLeft w:val="0"/>
      <w:marRight w:val="0"/>
      <w:marTop w:val="0"/>
      <w:marBottom w:val="0"/>
      <w:divBdr>
        <w:top w:val="none" w:sz="0" w:space="0" w:color="auto"/>
        <w:left w:val="none" w:sz="0" w:space="0" w:color="auto"/>
        <w:bottom w:val="none" w:sz="0" w:space="0" w:color="auto"/>
        <w:right w:val="none" w:sz="0" w:space="0" w:color="auto"/>
      </w:divBdr>
    </w:div>
    <w:div w:id="1065950833">
      <w:bodyDiv w:val="1"/>
      <w:marLeft w:val="0"/>
      <w:marRight w:val="0"/>
      <w:marTop w:val="0"/>
      <w:marBottom w:val="0"/>
      <w:divBdr>
        <w:top w:val="none" w:sz="0" w:space="0" w:color="auto"/>
        <w:left w:val="none" w:sz="0" w:space="0" w:color="auto"/>
        <w:bottom w:val="none" w:sz="0" w:space="0" w:color="auto"/>
        <w:right w:val="none" w:sz="0" w:space="0" w:color="auto"/>
      </w:divBdr>
    </w:div>
    <w:div w:id="1123307490">
      <w:bodyDiv w:val="1"/>
      <w:marLeft w:val="0"/>
      <w:marRight w:val="0"/>
      <w:marTop w:val="0"/>
      <w:marBottom w:val="0"/>
      <w:divBdr>
        <w:top w:val="none" w:sz="0" w:space="0" w:color="auto"/>
        <w:left w:val="none" w:sz="0" w:space="0" w:color="auto"/>
        <w:bottom w:val="none" w:sz="0" w:space="0" w:color="auto"/>
        <w:right w:val="none" w:sz="0" w:space="0" w:color="auto"/>
      </w:divBdr>
    </w:div>
    <w:div w:id="1145511526">
      <w:bodyDiv w:val="1"/>
      <w:marLeft w:val="0"/>
      <w:marRight w:val="0"/>
      <w:marTop w:val="0"/>
      <w:marBottom w:val="0"/>
      <w:divBdr>
        <w:top w:val="none" w:sz="0" w:space="0" w:color="auto"/>
        <w:left w:val="none" w:sz="0" w:space="0" w:color="auto"/>
        <w:bottom w:val="none" w:sz="0" w:space="0" w:color="auto"/>
        <w:right w:val="none" w:sz="0" w:space="0" w:color="auto"/>
      </w:divBdr>
    </w:div>
    <w:div w:id="1257834154">
      <w:bodyDiv w:val="1"/>
      <w:marLeft w:val="0"/>
      <w:marRight w:val="0"/>
      <w:marTop w:val="0"/>
      <w:marBottom w:val="0"/>
      <w:divBdr>
        <w:top w:val="none" w:sz="0" w:space="0" w:color="auto"/>
        <w:left w:val="none" w:sz="0" w:space="0" w:color="auto"/>
        <w:bottom w:val="none" w:sz="0" w:space="0" w:color="auto"/>
        <w:right w:val="none" w:sz="0" w:space="0" w:color="auto"/>
      </w:divBdr>
    </w:div>
    <w:div w:id="1366562568">
      <w:bodyDiv w:val="1"/>
      <w:marLeft w:val="0"/>
      <w:marRight w:val="0"/>
      <w:marTop w:val="0"/>
      <w:marBottom w:val="0"/>
      <w:divBdr>
        <w:top w:val="none" w:sz="0" w:space="0" w:color="auto"/>
        <w:left w:val="none" w:sz="0" w:space="0" w:color="auto"/>
        <w:bottom w:val="none" w:sz="0" w:space="0" w:color="auto"/>
        <w:right w:val="none" w:sz="0" w:space="0" w:color="auto"/>
      </w:divBdr>
    </w:div>
    <w:div w:id="1470443206">
      <w:bodyDiv w:val="1"/>
      <w:marLeft w:val="0"/>
      <w:marRight w:val="0"/>
      <w:marTop w:val="0"/>
      <w:marBottom w:val="0"/>
      <w:divBdr>
        <w:top w:val="none" w:sz="0" w:space="0" w:color="auto"/>
        <w:left w:val="none" w:sz="0" w:space="0" w:color="auto"/>
        <w:bottom w:val="none" w:sz="0" w:space="0" w:color="auto"/>
        <w:right w:val="none" w:sz="0" w:space="0" w:color="auto"/>
      </w:divBdr>
    </w:div>
    <w:div w:id="1526596191">
      <w:bodyDiv w:val="1"/>
      <w:marLeft w:val="0"/>
      <w:marRight w:val="0"/>
      <w:marTop w:val="0"/>
      <w:marBottom w:val="0"/>
      <w:divBdr>
        <w:top w:val="none" w:sz="0" w:space="0" w:color="auto"/>
        <w:left w:val="none" w:sz="0" w:space="0" w:color="auto"/>
        <w:bottom w:val="none" w:sz="0" w:space="0" w:color="auto"/>
        <w:right w:val="none" w:sz="0" w:space="0" w:color="auto"/>
      </w:divBdr>
    </w:div>
    <w:div w:id="1538664542">
      <w:bodyDiv w:val="1"/>
      <w:marLeft w:val="0"/>
      <w:marRight w:val="0"/>
      <w:marTop w:val="0"/>
      <w:marBottom w:val="0"/>
      <w:divBdr>
        <w:top w:val="none" w:sz="0" w:space="0" w:color="auto"/>
        <w:left w:val="none" w:sz="0" w:space="0" w:color="auto"/>
        <w:bottom w:val="none" w:sz="0" w:space="0" w:color="auto"/>
        <w:right w:val="none" w:sz="0" w:space="0" w:color="auto"/>
      </w:divBdr>
    </w:div>
    <w:div w:id="1588616346">
      <w:bodyDiv w:val="1"/>
      <w:marLeft w:val="0"/>
      <w:marRight w:val="0"/>
      <w:marTop w:val="0"/>
      <w:marBottom w:val="0"/>
      <w:divBdr>
        <w:top w:val="none" w:sz="0" w:space="0" w:color="auto"/>
        <w:left w:val="none" w:sz="0" w:space="0" w:color="auto"/>
        <w:bottom w:val="none" w:sz="0" w:space="0" w:color="auto"/>
        <w:right w:val="none" w:sz="0" w:space="0" w:color="auto"/>
      </w:divBdr>
    </w:div>
    <w:div w:id="1755128947">
      <w:bodyDiv w:val="1"/>
      <w:marLeft w:val="0"/>
      <w:marRight w:val="0"/>
      <w:marTop w:val="0"/>
      <w:marBottom w:val="0"/>
      <w:divBdr>
        <w:top w:val="none" w:sz="0" w:space="0" w:color="auto"/>
        <w:left w:val="none" w:sz="0" w:space="0" w:color="auto"/>
        <w:bottom w:val="none" w:sz="0" w:space="0" w:color="auto"/>
        <w:right w:val="none" w:sz="0" w:space="0" w:color="auto"/>
      </w:divBdr>
    </w:div>
    <w:div w:id="1783497290">
      <w:bodyDiv w:val="1"/>
      <w:marLeft w:val="0"/>
      <w:marRight w:val="0"/>
      <w:marTop w:val="0"/>
      <w:marBottom w:val="0"/>
      <w:divBdr>
        <w:top w:val="none" w:sz="0" w:space="0" w:color="auto"/>
        <w:left w:val="none" w:sz="0" w:space="0" w:color="auto"/>
        <w:bottom w:val="none" w:sz="0" w:space="0" w:color="auto"/>
        <w:right w:val="none" w:sz="0" w:space="0" w:color="auto"/>
      </w:divBdr>
    </w:div>
    <w:div w:id="1811902442">
      <w:bodyDiv w:val="1"/>
      <w:marLeft w:val="0"/>
      <w:marRight w:val="0"/>
      <w:marTop w:val="0"/>
      <w:marBottom w:val="0"/>
      <w:divBdr>
        <w:top w:val="none" w:sz="0" w:space="0" w:color="auto"/>
        <w:left w:val="none" w:sz="0" w:space="0" w:color="auto"/>
        <w:bottom w:val="none" w:sz="0" w:space="0" w:color="auto"/>
        <w:right w:val="none" w:sz="0" w:space="0" w:color="auto"/>
      </w:divBdr>
    </w:div>
    <w:div w:id="1812333468">
      <w:bodyDiv w:val="1"/>
      <w:marLeft w:val="0"/>
      <w:marRight w:val="0"/>
      <w:marTop w:val="0"/>
      <w:marBottom w:val="0"/>
      <w:divBdr>
        <w:top w:val="none" w:sz="0" w:space="0" w:color="auto"/>
        <w:left w:val="none" w:sz="0" w:space="0" w:color="auto"/>
        <w:bottom w:val="none" w:sz="0" w:space="0" w:color="auto"/>
        <w:right w:val="none" w:sz="0" w:space="0" w:color="auto"/>
      </w:divBdr>
    </w:div>
    <w:div w:id="1837258221">
      <w:bodyDiv w:val="1"/>
      <w:marLeft w:val="0"/>
      <w:marRight w:val="0"/>
      <w:marTop w:val="0"/>
      <w:marBottom w:val="0"/>
      <w:divBdr>
        <w:top w:val="none" w:sz="0" w:space="0" w:color="auto"/>
        <w:left w:val="none" w:sz="0" w:space="0" w:color="auto"/>
        <w:bottom w:val="none" w:sz="0" w:space="0" w:color="auto"/>
        <w:right w:val="none" w:sz="0" w:space="0" w:color="auto"/>
      </w:divBdr>
    </w:div>
    <w:div w:id="1994287712">
      <w:bodyDiv w:val="1"/>
      <w:marLeft w:val="0"/>
      <w:marRight w:val="0"/>
      <w:marTop w:val="0"/>
      <w:marBottom w:val="0"/>
      <w:divBdr>
        <w:top w:val="none" w:sz="0" w:space="0" w:color="auto"/>
        <w:left w:val="none" w:sz="0" w:space="0" w:color="auto"/>
        <w:bottom w:val="none" w:sz="0" w:space="0" w:color="auto"/>
        <w:right w:val="none" w:sz="0" w:space="0" w:color="auto"/>
      </w:divBdr>
    </w:div>
    <w:div w:id="2031299449">
      <w:bodyDiv w:val="1"/>
      <w:marLeft w:val="0"/>
      <w:marRight w:val="0"/>
      <w:marTop w:val="0"/>
      <w:marBottom w:val="0"/>
      <w:divBdr>
        <w:top w:val="none" w:sz="0" w:space="0" w:color="auto"/>
        <w:left w:val="none" w:sz="0" w:space="0" w:color="auto"/>
        <w:bottom w:val="none" w:sz="0" w:space="0" w:color="auto"/>
        <w:right w:val="none" w:sz="0" w:space="0" w:color="auto"/>
      </w:divBdr>
    </w:div>
    <w:div w:id="2045668027">
      <w:bodyDiv w:val="1"/>
      <w:marLeft w:val="0"/>
      <w:marRight w:val="0"/>
      <w:marTop w:val="0"/>
      <w:marBottom w:val="0"/>
      <w:divBdr>
        <w:top w:val="none" w:sz="0" w:space="0" w:color="auto"/>
        <w:left w:val="none" w:sz="0" w:space="0" w:color="auto"/>
        <w:bottom w:val="none" w:sz="0" w:space="0" w:color="auto"/>
        <w:right w:val="none" w:sz="0" w:space="0" w:color="auto"/>
      </w:divBdr>
    </w:div>
    <w:div w:id="210641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to.gov.au/law/view/document?DocID=TXD/TD20235/NAT/AT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dtaxincentive@industry.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073702B1C25647A67EAEBFEAC27B4F" ma:contentTypeVersion="14" ma:contentTypeDescription="Create a new document." ma:contentTypeScope="" ma:versionID="b0cadbdfb1af509336a17c6c5aa4135c">
  <xsd:schema xmlns:xsd="http://www.w3.org/2001/XMLSchema" xmlns:xs="http://www.w3.org/2001/XMLSchema" xmlns:p="http://schemas.microsoft.com/office/2006/metadata/properties" xmlns:ns1="http://schemas.microsoft.com/sharepoint/v3" xmlns:ns2="a36bd50b-1532-4c22-b385-5c082c960938" xmlns:ns3="2a251b7e-61e4-4816-a71f-b295a9ad20fb" targetNamespace="http://schemas.microsoft.com/office/2006/metadata/properties" ma:root="true" ma:fieldsID="f8b3d80a667403b218ca32407771147b" ns1:_="" ns2:_="" ns3:_="">
    <xsd:import namespace="http://schemas.microsoft.com/sharepoint/v3"/>
    <xsd:import namespace="a36bd50b-1532-4c22-b385-5c082c960938"/>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Meeting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MeetingDate" ma:index="23" nillable="true" ma:displayName="Meeting Date" ma:description="Date of the meeting (DD/MM/YYYY)" ma:format="DateOnly" ma:internalName="DocHub_Meeting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Talking points for SRG in October/November 23. Uploading copy of March 23 version as basis</Comments>
    <pe2555c81638466f9eb614edb9ecde52 xmlns="a36bd50b-1532-4c22-b385-5c082c960938">
      <Terms xmlns="http://schemas.microsoft.com/office/infopath/2007/PartnerControls">
        <TermInfo xmlns="http://schemas.microsoft.com/office/infopath/2007/PartnerControls">
          <TermName>Talk Points</TermName>
          <TermId>259d99c0-c8be-434c-8d1e-2e7c8cd146e5</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Roundtable</TermName>
          <TermId xmlns="http://schemas.microsoft.com/office/infopath/2007/PartnerControls">1b43a101-ca18-4ba8-b830-236cb84c9453</TermId>
        </TermInfo>
        <TermInfo xmlns="http://schemas.microsoft.com/office/infopath/2007/PartnerControls">
          <TermName xmlns="http://schemas.microsoft.com/office/infopath/2007/PartnerControls">Engagement</TermName>
          <TermId xmlns="http://schemas.microsoft.com/office/infopath/2007/PartnerControls">69be3788-1130-41d9-8269-9fdc04c2deb9</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a36bd50b-1532-4c22-b385-5c082c960938">
      <Value>2886</Value>
      <Value>46829</Value>
      <Value>3</Value>
      <Value>40989</Value>
      <Value>18</Value>
      <Value>614</Value>
    </TaxCatchAll>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805ad0cb-164b-47a7-a552-b10534128590</TermId>
        </TermInfo>
      </Terms>
    </g7bcb40ba23249a78edca7d43a67c1c9>
    <_dlc_DocId xmlns="a36bd50b-1532-4c22-b385-5c082c960938">YZXQVS7QACYM-2114359073-9701</_dlc_DocId>
    <_dlc_DocIdUrl xmlns="a36bd50b-1532-4c22-b385-5c082c960938">
      <Url>https://dochub/div/ausindustry/programmesprojectstaskforces/rdti/_layouts/15/DocIdRedir.aspx?ID=YZXQVS7QACYM-2114359073-9701</Url>
      <Description>YZXQVS7QACYM-2114359073-9701</Description>
    </_dlc_DocIdUrl>
    <DocHub_MeetingDate xmlns="a36bd50b-1532-4c22-b385-5c082c960938" xsi:nil="true"/>
  </documentManagement>
</p:properties>
</file>

<file path=customXml/itemProps1.xml><?xml version="1.0" encoding="utf-8"?>
<ds:datastoreItem xmlns:ds="http://schemas.openxmlformats.org/officeDocument/2006/customXml" ds:itemID="{FBFA680C-75D7-4798-BD56-E642649DE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A79A79-EB6D-4C71-A6F8-9A6854A032E7}">
  <ds:schemaRefs>
    <ds:schemaRef ds:uri="http://schemas.microsoft.com/sharepoint/v3/contenttype/forms"/>
  </ds:schemaRefs>
</ds:datastoreItem>
</file>

<file path=customXml/itemProps3.xml><?xml version="1.0" encoding="utf-8"?>
<ds:datastoreItem xmlns:ds="http://schemas.openxmlformats.org/officeDocument/2006/customXml" ds:itemID="{8B6E58AE-8B17-46C6-8520-46DBB4A1F017}">
  <ds:schemaRefs>
    <ds:schemaRef ds:uri="http://schemas.openxmlformats.org/officeDocument/2006/bibliography"/>
  </ds:schemaRefs>
</ds:datastoreItem>
</file>

<file path=customXml/itemProps4.xml><?xml version="1.0" encoding="utf-8"?>
<ds:datastoreItem xmlns:ds="http://schemas.openxmlformats.org/officeDocument/2006/customXml" ds:itemID="{C3427368-38A5-4D83-88F3-6DBF9C929621}">
  <ds:schemaRefs>
    <ds:schemaRef ds:uri="http://schemas.microsoft.com/sharepoint/events"/>
  </ds:schemaRefs>
</ds:datastoreItem>
</file>

<file path=customXml/itemProps5.xml><?xml version="1.0" encoding="utf-8"?>
<ds:datastoreItem xmlns:ds="http://schemas.openxmlformats.org/officeDocument/2006/customXml" ds:itemID="{EA7C6C70-35E8-421B-BB2C-6F13C83C472A}">
  <ds:schemaRefs>
    <ds:schemaRef ds:uri="2a251b7e-61e4-4816-a71f-b295a9ad20fb"/>
    <ds:schemaRef ds:uri="http://schemas.microsoft.com/office/2006/documentManagement/types"/>
    <ds:schemaRef ds:uri="http://schemas.microsoft.com/sharepoint/v3"/>
    <ds:schemaRef ds:uri="http://purl.org/dc/elements/1.1/"/>
    <ds:schemaRef ds:uri="a36bd50b-1532-4c22-b385-5c082c960938"/>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18</Pages>
  <Words>6164</Words>
  <Characters>33908</Characters>
  <DocSecurity>0</DocSecurity>
  <Lines>721</Lines>
  <Paragraphs>520</Paragraphs>
  <ScaleCrop>false</ScaleCrop>
  <HeadingPairs>
    <vt:vector size="2" baseType="variant">
      <vt:variant>
        <vt:lpstr>Title</vt:lpstr>
      </vt:variant>
      <vt:variant>
        <vt:i4>1</vt:i4>
      </vt:variant>
    </vt:vector>
  </HeadingPairs>
  <TitlesOfParts>
    <vt:vector size="1" baseType="lpstr">
      <vt:lpstr>Stakeholder Reference Group</vt:lpstr>
    </vt:vector>
  </TitlesOfParts>
  <Company/>
  <LinksUpToDate>false</LinksUpToDate>
  <CharactersWithSpaces>39552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Reference Group</dc:title>
  <dc:subject/>
  <cp:keywords/>
  <dc:description/>
  <cp:lastPrinted>2024-01-29T00:46:00Z</cp:lastPrinted>
  <dcterms:created xsi:type="dcterms:W3CDTF">2023-11-15T03:40:00Z</dcterms:created>
  <dcterms:modified xsi:type="dcterms:W3CDTF">2024-01-29T00:46:00Z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0x0101000D073702B1C25647A67EAEBFEAC27B4F</vt:lpwstr>
  </property>
  <property fmtid="{D5CDD505-2E9C-101B-9397-08002B2CF9AE}" pid="3" name="_dlc_DocIdItemGuid">
    <vt:lpwstr>7beebd57-55ee-476e-b86a-286c59ae5ab9</vt:lpwstr>
  </property>
  <property fmtid="{D5CDD505-2E9C-101B-9397-08002B2CF9AE}" pid="4" name="DocHub_Year">
    <vt:lpwstr>46829;#2023|4fbcaf2e-c858-4248-836e-58ac5eb285ca</vt:lpwstr>
  </property>
  <property fmtid="{D5CDD505-2E9C-101B-9397-08002B2CF9AE}" pid="5" name="DocHub_DocumentType">
    <vt:lpwstr>614;#Talk Points|259d99c0-c8be-434c-8d1e-2e7c8cd146e5</vt:lpwstr>
  </property>
  <property fmtid="{D5CDD505-2E9C-101B-9397-08002B2CF9AE}" pid="6" name="DocHub_SecurityClassification">
    <vt:lpwstr>3;#OFFICIAL|6106d03b-a1a0-4e30-9d91-d5e9fb4314f9</vt:lpwstr>
  </property>
  <property fmtid="{D5CDD505-2E9C-101B-9397-08002B2CF9AE}" pid="7" name="DocHub_Keywords">
    <vt:lpwstr>40989;#Roundtable|1b43a101-ca18-4ba8-b830-236cb84c9453;#2886;#Engagement|69be3788-1130-41d9-8269-9fdc04c2deb9</vt:lpwstr>
  </property>
  <property fmtid="{D5CDD505-2E9C-101B-9397-08002B2CF9AE}" pid="8" name="DocHub_Division">
    <vt:lpwstr>111;#Common|8a2f92e9-1da3-4088-a90a-dd57315f71b9</vt:lpwstr>
  </property>
  <property fmtid="{D5CDD505-2E9C-101B-9397-08002B2CF9AE}" pid="9" name="DocHub_WorkActivity">
    <vt:lpwstr>18;#Meetings|805ad0cb-164b-47a7-a552-b10534128590</vt:lpwstr>
  </property>
  <property fmtid="{D5CDD505-2E9C-101B-9397-08002B2CF9AE}" pid="10" name="DocHub_CommsTemplateTopics">
    <vt:lpwstr>41970;#R＆D Tax Incentive|2f96d19e-ff06-41a3-af8f-e31ddc169295</vt:lpwstr>
  </property>
  <property fmtid="{D5CDD505-2E9C-101B-9397-08002B2CF9AE}" pid="11" name="DocHub_EntityCustomer">
    <vt:lpwstr/>
  </property>
  <property fmtid="{D5CDD505-2E9C-101B-9397-08002B2CF9AE}" pid="12" name="DocHub_DSOSection">
    <vt:lpwstr>20844;#Stakeholder Engagement|07e4cd81-7a18-4e45-b3c4-b652921e6ecc</vt:lpwstr>
  </property>
  <property fmtid="{D5CDD505-2E9C-101B-9397-08002B2CF9AE}" pid="13" name="DocHub_Active">
    <vt:lpwstr>true</vt:lpwstr>
  </property>
  <property fmtid="{D5CDD505-2E9C-101B-9397-08002B2CF9AE}" pid="14" name="fa7a0ce8d25a4404813a3f5ddca1ff61">
    <vt:lpwstr>Stakeholder Engagement|07e4cd81-7a18-4e45-b3c4-b652921e6ecc</vt:lpwstr>
  </property>
  <property fmtid="{D5CDD505-2E9C-101B-9397-08002B2CF9AE}" pid="15" name="o1116530bc244d4bbd793e6e47aad9f9">
    <vt:lpwstr/>
  </property>
  <property fmtid="{D5CDD505-2E9C-101B-9397-08002B2CF9AE}" pid="16" name="IconOverlay">
    <vt:lpwstr/>
  </property>
  <property fmtid="{D5CDD505-2E9C-101B-9397-08002B2CF9AE}" pid="17" name="DocHub_ProjectGrantBenefitNo">
    <vt:lpwstr/>
  </property>
</Properties>
</file>