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7AC38" w14:textId="77777777" w:rsidR="004A1648" w:rsidRDefault="004A1648" w:rsidP="00BC302C">
      <w:pPr>
        <w:pStyle w:val="Heading1"/>
        <w:spacing w:before="0" w:after="0"/>
        <w:rPr>
          <w:b w:val="0"/>
          <w:color w:val="212A4C" w:themeColor="text2"/>
          <w:sz w:val="48"/>
        </w:rPr>
      </w:pPr>
    </w:p>
    <w:p w14:paraId="48AF3406" w14:textId="77777777" w:rsidR="008725E9" w:rsidRDefault="008725E9" w:rsidP="00D947CD">
      <w:pPr>
        <w:pStyle w:val="Heading1"/>
        <w:spacing w:before="0" w:after="0"/>
        <w:rPr>
          <w:b w:val="0"/>
          <w:color w:val="212A4C" w:themeColor="text2"/>
          <w:sz w:val="48"/>
        </w:rPr>
      </w:pPr>
    </w:p>
    <w:p w14:paraId="7EA8F62A" w14:textId="23F04E6C" w:rsidR="002E73BB" w:rsidRPr="00DD5E7B" w:rsidRDefault="0082349C" w:rsidP="002E73BB">
      <w:pPr>
        <w:pStyle w:val="Heading1"/>
        <w:spacing w:before="0" w:after="0"/>
        <w:jc w:val="center"/>
        <w:rPr>
          <w:b w:val="0"/>
          <w:color w:val="212A4C" w:themeColor="text2"/>
          <w:sz w:val="48"/>
        </w:rPr>
      </w:pPr>
      <w:r>
        <w:rPr>
          <w:b w:val="0"/>
          <w:color w:val="212A4C" w:themeColor="text2"/>
          <w:sz w:val="48"/>
        </w:rPr>
        <w:t>R&amp;D</w:t>
      </w:r>
      <w:r w:rsidR="002E73BB" w:rsidRPr="00DD5E7B">
        <w:rPr>
          <w:b w:val="0"/>
          <w:color w:val="212A4C" w:themeColor="text2"/>
          <w:sz w:val="48"/>
        </w:rPr>
        <w:t xml:space="preserve"> Tax Incentive</w:t>
      </w:r>
    </w:p>
    <w:p w14:paraId="32F8B141" w14:textId="1A80B7E1" w:rsidR="002E73BB" w:rsidRDefault="002E73BB" w:rsidP="002E73BB">
      <w:pPr>
        <w:keepNext/>
        <w:keepLines/>
        <w:spacing w:before="0" w:after="0" w:line="420" w:lineRule="atLeast"/>
        <w:jc w:val="center"/>
        <w:outlineLvl w:val="0"/>
        <w:rPr>
          <w:rFonts w:asciiTheme="majorHAnsi" w:eastAsiaTheme="majorEastAsia" w:hAnsiTheme="majorHAnsi" w:cstheme="majorBidi"/>
          <w:color w:val="212A4C" w:themeColor="text2"/>
          <w:sz w:val="48"/>
          <w:szCs w:val="32"/>
        </w:rPr>
      </w:pPr>
      <w:r>
        <w:rPr>
          <w:rFonts w:asciiTheme="majorHAnsi" w:eastAsiaTheme="majorEastAsia" w:hAnsiTheme="majorHAnsi" w:cstheme="majorBidi"/>
          <w:color w:val="212A4C" w:themeColor="text2"/>
          <w:sz w:val="48"/>
          <w:szCs w:val="32"/>
        </w:rPr>
        <w:t>Stakeholder Reference Group</w:t>
      </w:r>
      <w:r w:rsidR="0090099E">
        <w:rPr>
          <w:rFonts w:asciiTheme="majorHAnsi" w:eastAsiaTheme="majorEastAsia" w:hAnsiTheme="majorHAnsi" w:cstheme="majorBidi"/>
          <w:color w:val="212A4C" w:themeColor="text2"/>
          <w:sz w:val="48"/>
          <w:szCs w:val="32"/>
        </w:rPr>
        <w:t>s</w:t>
      </w:r>
    </w:p>
    <w:p w14:paraId="09B4D82B" w14:textId="77777777" w:rsidR="002E73BB" w:rsidRDefault="002E73BB" w:rsidP="002E73BB">
      <w:pPr>
        <w:keepNext/>
        <w:keepLines/>
        <w:spacing w:before="0" w:after="0" w:line="340" w:lineRule="atLeast"/>
        <w:jc w:val="center"/>
        <w:outlineLvl w:val="1"/>
        <w:rPr>
          <w:rFonts w:asciiTheme="majorHAnsi" w:eastAsiaTheme="majorEastAsia" w:hAnsiTheme="majorHAnsi" w:cstheme="majorBidi"/>
          <w:color w:val="212A4C" w:themeColor="text2"/>
          <w:sz w:val="28"/>
          <w:szCs w:val="26"/>
        </w:rPr>
      </w:pPr>
    </w:p>
    <w:p w14:paraId="79D59D05" w14:textId="66D69CB0" w:rsidR="002E73BB" w:rsidRDefault="002E73BB" w:rsidP="002E73BB">
      <w:pPr>
        <w:keepNext/>
        <w:keepLines/>
        <w:spacing w:before="0" w:after="0" w:line="340" w:lineRule="atLeast"/>
        <w:jc w:val="center"/>
        <w:outlineLvl w:val="1"/>
        <w:rPr>
          <w:rFonts w:asciiTheme="majorHAnsi" w:eastAsiaTheme="majorEastAsia" w:hAnsiTheme="majorHAnsi" w:cstheme="majorBidi"/>
          <w:color w:val="212A4C" w:themeColor="text2"/>
          <w:sz w:val="28"/>
          <w:szCs w:val="26"/>
        </w:rPr>
      </w:pPr>
      <w:r>
        <w:rPr>
          <w:rFonts w:asciiTheme="majorHAnsi" w:eastAsiaTheme="majorEastAsia" w:hAnsiTheme="majorHAnsi" w:cstheme="majorBidi"/>
          <w:color w:val="212A4C" w:themeColor="text2"/>
          <w:sz w:val="28"/>
          <w:szCs w:val="26"/>
        </w:rPr>
        <w:t>March 2023</w:t>
      </w:r>
    </w:p>
    <w:p w14:paraId="5245FC1B" w14:textId="77777777" w:rsidR="00816BEE" w:rsidRDefault="00816BEE" w:rsidP="002E73BB">
      <w:pPr>
        <w:keepNext/>
        <w:keepLines/>
        <w:spacing w:before="0" w:after="0" w:line="340" w:lineRule="atLeast"/>
        <w:jc w:val="center"/>
        <w:outlineLvl w:val="1"/>
        <w:rPr>
          <w:rFonts w:asciiTheme="majorHAnsi" w:eastAsiaTheme="majorEastAsia" w:hAnsiTheme="majorHAnsi" w:cstheme="majorBidi"/>
          <w:color w:val="212A4C" w:themeColor="text2"/>
          <w:sz w:val="28"/>
          <w:szCs w:val="26"/>
        </w:rPr>
      </w:pPr>
    </w:p>
    <w:p w14:paraId="77E8F0AF" w14:textId="18F9AD33" w:rsidR="002E73BB" w:rsidRDefault="002E73BB" w:rsidP="002E73BB">
      <w:pPr>
        <w:pStyle w:val="TableHeading"/>
        <w:jc w:val="center"/>
      </w:pPr>
      <w:r>
        <w:t>AGENDA</w:t>
      </w:r>
    </w:p>
    <w:tbl>
      <w:tblPr>
        <w:tblStyle w:val="BEPTable1"/>
        <w:tblW w:w="5000" w:type="pct"/>
        <w:tblLayout w:type="fixed"/>
        <w:tblLook w:val="0620" w:firstRow="1" w:lastRow="0" w:firstColumn="0" w:lastColumn="0" w:noHBand="1" w:noVBand="1"/>
      </w:tblPr>
      <w:tblGrid>
        <w:gridCol w:w="4111"/>
        <w:gridCol w:w="6095"/>
        <w:gridCol w:w="260"/>
      </w:tblGrid>
      <w:tr w:rsidR="00296568" w14:paraId="36DCC70D" w14:textId="77777777" w:rsidTr="001D2E26">
        <w:trPr>
          <w:cnfStyle w:val="100000000000" w:firstRow="1" w:lastRow="0" w:firstColumn="0" w:lastColumn="0" w:oddVBand="0" w:evenVBand="0" w:oddHBand="0" w:evenHBand="0" w:firstRowFirstColumn="0" w:firstRowLastColumn="0" w:lastRowFirstColumn="0" w:lastRowLastColumn="0"/>
          <w:trHeight w:val="113"/>
        </w:trPr>
        <w:tc>
          <w:tcPr>
            <w:tcW w:w="1964" w:type="pct"/>
            <w:shd w:val="clear" w:color="auto" w:fill="DFE7F6"/>
          </w:tcPr>
          <w:p w14:paraId="793431A0" w14:textId="77777777" w:rsidR="00296568" w:rsidRDefault="00296568" w:rsidP="00226C62">
            <w:r w:rsidRPr="15A77D3A">
              <w:rPr>
                <w:sz w:val="22"/>
                <w:szCs w:val="22"/>
              </w:rPr>
              <w:t>Item</w:t>
            </w:r>
          </w:p>
        </w:tc>
        <w:tc>
          <w:tcPr>
            <w:tcW w:w="3036" w:type="pct"/>
            <w:gridSpan w:val="2"/>
            <w:shd w:val="clear" w:color="auto" w:fill="DFE7F6"/>
          </w:tcPr>
          <w:p w14:paraId="6260CE72" w14:textId="77777777" w:rsidR="00296568" w:rsidRDefault="00296568" w:rsidP="00226C62">
            <w:r w:rsidRPr="15A77D3A">
              <w:rPr>
                <w:sz w:val="22"/>
                <w:szCs w:val="22"/>
              </w:rPr>
              <w:t>Speaker</w:t>
            </w:r>
            <w:r>
              <w:rPr>
                <w:sz w:val="22"/>
                <w:szCs w:val="22"/>
              </w:rPr>
              <w:t>/s</w:t>
            </w:r>
          </w:p>
        </w:tc>
      </w:tr>
      <w:tr w:rsidR="00296568" w14:paraId="59825E48" w14:textId="77777777" w:rsidTr="001D2E26">
        <w:trPr>
          <w:trHeight w:val="113"/>
        </w:trPr>
        <w:tc>
          <w:tcPr>
            <w:tcW w:w="1964" w:type="pct"/>
          </w:tcPr>
          <w:p w14:paraId="2ED53DCC" w14:textId="77777777" w:rsidR="00296568" w:rsidRPr="000F72A5" w:rsidRDefault="00296568" w:rsidP="002E73BB">
            <w:pPr>
              <w:pStyle w:val="ListParagraph"/>
              <w:numPr>
                <w:ilvl w:val="0"/>
                <w:numId w:val="5"/>
              </w:numPr>
              <w:spacing w:before="60" w:after="60" w:line="25" w:lineRule="atLeast"/>
              <w:contextualSpacing w:val="0"/>
              <w:rPr>
                <w:rFonts w:eastAsia="Times New Roman" w:cstheme="minorHAnsi"/>
                <w:lang w:eastAsia="en-AU"/>
              </w:rPr>
            </w:pPr>
            <w:r w:rsidRPr="000F72A5">
              <w:rPr>
                <w:rFonts w:eastAsia="Times New Roman" w:cstheme="minorHAnsi"/>
                <w:b/>
                <w:lang w:eastAsia="en-AU"/>
              </w:rPr>
              <w:t>Welcome</w:t>
            </w:r>
          </w:p>
          <w:p w14:paraId="45B0781A" w14:textId="77777777" w:rsidR="00296568" w:rsidRPr="00F33335" w:rsidRDefault="00296568" w:rsidP="002E73BB">
            <w:pPr>
              <w:pStyle w:val="ListParagraph"/>
              <w:numPr>
                <w:ilvl w:val="1"/>
                <w:numId w:val="5"/>
              </w:numPr>
              <w:spacing w:before="60" w:after="60" w:line="25" w:lineRule="atLeast"/>
              <w:contextualSpacing w:val="0"/>
              <w:rPr>
                <w:rFonts w:eastAsia="Times New Roman" w:cstheme="minorHAnsi"/>
                <w:lang w:eastAsia="en-AU"/>
              </w:rPr>
            </w:pPr>
            <w:r w:rsidRPr="00F33335">
              <w:rPr>
                <w:rFonts w:eastAsia="Times New Roman" w:cstheme="minorHAnsi"/>
                <w:lang w:eastAsia="en-AU"/>
              </w:rPr>
              <w:t>Acknowledgement of country</w:t>
            </w:r>
          </w:p>
          <w:p w14:paraId="1DFC51BE" w14:textId="77777777" w:rsidR="00296568" w:rsidRPr="00A54DF5" w:rsidRDefault="00296568" w:rsidP="002E73BB">
            <w:pPr>
              <w:pStyle w:val="ListParagraph"/>
              <w:numPr>
                <w:ilvl w:val="1"/>
                <w:numId w:val="5"/>
              </w:numPr>
              <w:spacing w:before="60" w:after="60" w:line="25" w:lineRule="atLeast"/>
              <w:contextualSpacing w:val="0"/>
              <w:rPr>
                <w:rFonts w:eastAsia="Times New Roman" w:cstheme="minorHAnsi"/>
                <w:lang w:eastAsia="en-AU"/>
              </w:rPr>
            </w:pPr>
            <w:r>
              <w:rPr>
                <w:rFonts w:eastAsia="Times New Roman" w:cstheme="minorHAnsi"/>
                <w:lang w:eastAsia="en-AU"/>
              </w:rPr>
              <w:t>Welcome</w:t>
            </w:r>
          </w:p>
        </w:tc>
        <w:tc>
          <w:tcPr>
            <w:tcW w:w="3036" w:type="pct"/>
            <w:gridSpan w:val="2"/>
          </w:tcPr>
          <w:p w14:paraId="73D8A6C2" w14:textId="23154E29" w:rsidR="00296568" w:rsidRPr="00F33335" w:rsidRDefault="00296568" w:rsidP="00226C62">
            <w:r>
              <w:rPr>
                <w:rFonts w:eastAsia="Times New Roman" w:cstheme="minorHAnsi"/>
                <w:lang w:eastAsia="en-AU"/>
              </w:rPr>
              <w:t xml:space="preserve">Facilitator </w:t>
            </w:r>
          </w:p>
        </w:tc>
      </w:tr>
      <w:tr w:rsidR="00C32169" w14:paraId="6822431C" w14:textId="77777777" w:rsidTr="0090099E">
        <w:trPr>
          <w:trHeight w:val="113"/>
        </w:trPr>
        <w:tc>
          <w:tcPr>
            <w:tcW w:w="1964" w:type="pct"/>
          </w:tcPr>
          <w:p w14:paraId="6AED7BB3" w14:textId="77777777" w:rsidR="00C32169" w:rsidRDefault="00C32169" w:rsidP="00C32169">
            <w:pPr>
              <w:pStyle w:val="ListParagraph"/>
              <w:numPr>
                <w:ilvl w:val="0"/>
                <w:numId w:val="5"/>
              </w:numPr>
              <w:spacing w:before="60" w:after="60" w:line="25" w:lineRule="atLeast"/>
              <w:contextualSpacing w:val="0"/>
              <w:rPr>
                <w:rFonts w:eastAsia="Times New Roman" w:cstheme="minorHAnsi"/>
                <w:b/>
                <w:lang w:eastAsia="en-AU"/>
              </w:rPr>
            </w:pPr>
            <w:r>
              <w:rPr>
                <w:rFonts w:eastAsia="Times New Roman" w:cstheme="minorHAnsi"/>
                <w:b/>
                <w:lang w:eastAsia="en-AU"/>
              </w:rPr>
              <w:t>DISR Insights</w:t>
            </w:r>
          </w:p>
          <w:p w14:paraId="33AF7FAF" w14:textId="77777777" w:rsidR="00C32169" w:rsidRDefault="00794715" w:rsidP="00C32169">
            <w:pPr>
              <w:pStyle w:val="ListParagraph"/>
              <w:numPr>
                <w:ilvl w:val="1"/>
                <w:numId w:val="5"/>
              </w:numPr>
              <w:spacing w:before="0" w:after="60" w:line="25" w:lineRule="atLeast"/>
              <w:contextualSpacing w:val="0"/>
              <w:rPr>
                <w:rFonts w:eastAsia="Times New Roman" w:cstheme="minorHAnsi"/>
                <w:lang w:eastAsia="en-AU"/>
              </w:rPr>
            </w:pPr>
            <w:hyperlink w:anchor="_2.1_Customer_Portal" w:history="1">
              <w:r w:rsidR="00C32169" w:rsidRPr="005B2FC6">
                <w:rPr>
                  <w:rFonts w:eastAsia="Times New Roman" w:cstheme="minorHAnsi"/>
                  <w:lang w:eastAsia="en-AU"/>
                </w:rPr>
                <w:t>Customer portal</w:t>
              </w:r>
            </w:hyperlink>
          </w:p>
          <w:p w14:paraId="6EC22793" w14:textId="77777777" w:rsidR="00C32169" w:rsidRPr="0065327E" w:rsidRDefault="00C32169" w:rsidP="00D947CD">
            <w:pPr>
              <w:pStyle w:val="ListParagraph"/>
              <w:numPr>
                <w:ilvl w:val="1"/>
                <w:numId w:val="5"/>
              </w:numPr>
              <w:spacing w:before="60" w:after="60" w:line="25" w:lineRule="atLeast"/>
              <w:contextualSpacing w:val="0"/>
              <w:rPr>
                <w:rFonts w:eastAsia="Times New Roman" w:cstheme="minorHAnsi"/>
                <w:lang w:eastAsia="en-AU"/>
              </w:rPr>
            </w:pPr>
            <w:r>
              <w:rPr>
                <w:rFonts w:eastAsia="Times New Roman" w:cstheme="minorHAnsi"/>
                <w:lang w:eastAsia="en-AU"/>
              </w:rPr>
              <w:t>Advance finding pilot</w:t>
            </w:r>
          </w:p>
          <w:p w14:paraId="29752BCA" w14:textId="77777777" w:rsidR="00C32169" w:rsidRPr="0065327E" w:rsidRDefault="00794715" w:rsidP="00D947CD">
            <w:pPr>
              <w:pStyle w:val="ListParagraph"/>
              <w:numPr>
                <w:ilvl w:val="1"/>
                <w:numId w:val="5"/>
              </w:numPr>
              <w:spacing w:before="60" w:after="60" w:line="25" w:lineRule="atLeast"/>
              <w:contextualSpacing w:val="0"/>
              <w:rPr>
                <w:rFonts w:eastAsia="Times New Roman" w:cstheme="minorHAnsi"/>
                <w:lang w:eastAsia="en-AU"/>
              </w:rPr>
            </w:pPr>
            <w:hyperlink w:anchor="_2.2_Registrations_Update" w:history="1">
              <w:r w:rsidR="00C32169" w:rsidRPr="005B2FC6">
                <w:rPr>
                  <w:rFonts w:eastAsia="Times New Roman" w:cstheme="minorHAnsi"/>
                  <w:lang w:eastAsia="en-AU"/>
                </w:rPr>
                <w:t>Registrations update</w:t>
              </w:r>
            </w:hyperlink>
          </w:p>
          <w:p w14:paraId="0F1DA1C1" w14:textId="77777777" w:rsidR="00C32169" w:rsidRPr="009E2A55" w:rsidRDefault="00794715" w:rsidP="00D947CD">
            <w:pPr>
              <w:pStyle w:val="ListParagraph"/>
              <w:numPr>
                <w:ilvl w:val="1"/>
                <w:numId w:val="5"/>
              </w:numPr>
              <w:spacing w:before="60" w:after="60" w:line="25" w:lineRule="atLeast"/>
              <w:contextualSpacing w:val="0"/>
              <w:rPr>
                <w:rFonts w:eastAsia="Times New Roman" w:cstheme="minorHAnsi"/>
                <w:lang w:eastAsia="en-AU"/>
              </w:rPr>
            </w:pPr>
            <w:hyperlink w:anchor="_2.3_Data_Insights" w:history="1">
              <w:r w:rsidR="00C32169" w:rsidRPr="005B2FC6">
                <w:rPr>
                  <w:rFonts w:eastAsia="Times New Roman" w:cstheme="minorHAnsi"/>
                  <w:lang w:eastAsia="en-AU"/>
                </w:rPr>
                <w:t>Data insights</w:t>
              </w:r>
            </w:hyperlink>
          </w:p>
          <w:p w14:paraId="7ED31385" w14:textId="77777777" w:rsidR="00C32169" w:rsidRDefault="00C32169" w:rsidP="00D947CD">
            <w:pPr>
              <w:pStyle w:val="ListParagraph"/>
              <w:numPr>
                <w:ilvl w:val="1"/>
                <w:numId w:val="5"/>
              </w:numPr>
              <w:spacing w:before="60" w:after="60" w:line="25" w:lineRule="atLeast"/>
              <w:contextualSpacing w:val="0"/>
              <w:rPr>
                <w:rFonts w:eastAsia="Times New Roman" w:cstheme="minorHAnsi"/>
                <w:lang w:eastAsia="en-AU"/>
              </w:rPr>
            </w:pPr>
            <w:r>
              <w:rPr>
                <w:rFonts w:eastAsia="Times New Roman" w:cstheme="minorHAnsi"/>
                <w:lang w:eastAsia="en-AU"/>
              </w:rPr>
              <w:t>Litigation insights</w:t>
            </w:r>
          </w:p>
          <w:p w14:paraId="02A0CE2E" w14:textId="77777777" w:rsidR="00C32169" w:rsidRDefault="00C32169" w:rsidP="00D947CD">
            <w:pPr>
              <w:pStyle w:val="ListParagraph"/>
              <w:numPr>
                <w:ilvl w:val="1"/>
                <w:numId w:val="5"/>
              </w:numPr>
              <w:spacing w:before="60" w:after="60" w:line="25" w:lineRule="atLeast"/>
              <w:contextualSpacing w:val="0"/>
              <w:rPr>
                <w:rFonts w:eastAsia="Times New Roman" w:cstheme="minorHAnsi"/>
                <w:lang w:eastAsia="en-AU"/>
              </w:rPr>
            </w:pPr>
            <w:r>
              <w:rPr>
                <w:rFonts w:eastAsia="Times New Roman" w:cstheme="minorHAnsi"/>
                <w:lang w:eastAsia="en-AU"/>
              </w:rPr>
              <w:t>Policy update</w:t>
            </w:r>
          </w:p>
          <w:p w14:paraId="48D89F08" w14:textId="6E126DBC" w:rsidR="00C32169" w:rsidRPr="00067B14" w:rsidRDefault="00C32169" w:rsidP="00D947CD">
            <w:pPr>
              <w:pStyle w:val="ListParagraph"/>
              <w:numPr>
                <w:ilvl w:val="1"/>
                <w:numId w:val="5"/>
              </w:numPr>
              <w:spacing w:before="60" w:after="60" w:line="25" w:lineRule="atLeast"/>
              <w:contextualSpacing w:val="0"/>
              <w:rPr>
                <w:rFonts w:eastAsia="Times New Roman" w:cstheme="minorHAnsi"/>
                <w:lang w:eastAsia="en-AU"/>
              </w:rPr>
            </w:pPr>
            <w:r>
              <w:rPr>
                <w:rFonts w:eastAsia="Times New Roman" w:cstheme="minorHAnsi"/>
                <w:lang w:eastAsia="en-AU"/>
              </w:rPr>
              <w:t>Introduction of new managers</w:t>
            </w:r>
          </w:p>
        </w:tc>
        <w:tc>
          <w:tcPr>
            <w:tcW w:w="2912" w:type="pct"/>
          </w:tcPr>
          <w:p w14:paraId="4258F154" w14:textId="77777777" w:rsidR="00C32169" w:rsidRDefault="00C32169" w:rsidP="00C32169">
            <w:pPr>
              <w:spacing w:before="60" w:after="60"/>
              <w:rPr>
                <w:rFonts w:eastAsia="Times New Roman" w:cstheme="minorHAnsi"/>
                <w:lang w:eastAsia="en-AU"/>
              </w:rPr>
            </w:pPr>
          </w:p>
          <w:p w14:paraId="2895DA9F" w14:textId="5ECB7BE6" w:rsidR="0090099E" w:rsidRDefault="00C32169" w:rsidP="0090099E">
            <w:pPr>
              <w:spacing w:before="60" w:after="60"/>
            </w:pPr>
            <w:r>
              <w:rPr>
                <w:rFonts w:eastAsia="Times New Roman" w:cstheme="minorHAnsi"/>
                <w:lang w:eastAsia="en-AU"/>
              </w:rPr>
              <w:t>Anneliese Appleton</w:t>
            </w:r>
            <w:r w:rsidR="0090099E">
              <w:rPr>
                <w:rFonts w:eastAsia="Times New Roman" w:cstheme="minorHAnsi"/>
                <w:lang w:eastAsia="en-AU"/>
              </w:rPr>
              <w:t>, Assistant Manager, Business Support</w:t>
            </w:r>
          </w:p>
          <w:p w14:paraId="1FB80043" w14:textId="7359EDA0" w:rsidR="0090099E" w:rsidRDefault="00C32169" w:rsidP="0090099E">
            <w:pPr>
              <w:spacing w:before="60" w:after="60"/>
            </w:pPr>
            <w:r>
              <w:rPr>
                <w:rFonts w:eastAsia="Times New Roman" w:cstheme="minorHAnsi"/>
                <w:lang w:eastAsia="en-AU"/>
              </w:rPr>
              <w:t>Anneliese Appleton</w:t>
            </w:r>
            <w:r w:rsidR="0090099E">
              <w:rPr>
                <w:rFonts w:eastAsia="Times New Roman" w:cstheme="minorHAnsi"/>
                <w:lang w:eastAsia="en-AU"/>
              </w:rPr>
              <w:t>, Assistant Manager, Business Support</w:t>
            </w:r>
          </w:p>
          <w:p w14:paraId="3D2E099F" w14:textId="490CFA29" w:rsidR="0090099E" w:rsidRDefault="00C32169" w:rsidP="0090099E">
            <w:pPr>
              <w:spacing w:before="60" w:after="60"/>
            </w:pPr>
            <w:r>
              <w:rPr>
                <w:rFonts w:eastAsia="Times New Roman" w:cstheme="minorHAnsi"/>
                <w:lang w:eastAsia="en-AU"/>
              </w:rPr>
              <w:t>Joanne Taylor</w:t>
            </w:r>
            <w:r w:rsidR="0090099E">
              <w:rPr>
                <w:rFonts w:eastAsia="Times New Roman" w:cstheme="minorHAnsi"/>
                <w:lang w:eastAsia="en-AU"/>
              </w:rPr>
              <w:t>, Acting Manager, Registrations</w:t>
            </w:r>
          </w:p>
          <w:p w14:paraId="615BCEA7" w14:textId="6206B0EE" w:rsidR="00C32169" w:rsidRPr="00594FA9" w:rsidRDefault="00C32169" w:rsidP="00C32169">
            <w:pPr>
              <w:spacing w:before="60" w:after="60"/>
              <w:rPr>
                <w:rFonts w:eastAsia="Times New Roman" w:cstheme="minorHAnsi"/>
                <w:lang w:eastAsia="en-AU"/>
              </w:rPr>
            </w:pPr>
            <w:r>
              <w:rPr>
                <w:rFonts w:eastAsia="Times New Roman" w:cstheme="minorHAnsi"/>
                <w:lang w:eastAsia="en-AU"/>
              </w:rPr>
              <w:t>Mark Muir</w:t>
            </w:r>
            <w:r w:rsidR="0090099E">
              <w:rPr>
                <w:rFonts w:eastAsia="Times New Roman" w:cstheme="minorHAnsi"/>
                <w:lang w:eastAsia="en-AU"/>
              </w:rPr>
              <w:t xml:space="preserve">, </w:t>
            </w:r>
            <w:r w:rsidR="0090099E">
              <w:t>Manager, Administrative Review</w:t>
            </w:r>
          </w:p>
          <w:p w14:paraId="1A13D275" w14:textId="2AF822E5" w:rsidR="00C32169" w:rsidRDefault="00C32169" w:rsidP="00C32169">
            <w:pPr>
              <w:spacing w:before="60" w:after="60"/>
            </w:pPr>
            <w:r>
              <w:t>Chiara Cirillo</w:t>
            </w:r>
            <w:r w:rsidR="0090099E">
              <w:t>, Manager, Administrative Review</w:t>
            </w:r>
          </w:p>
          <w:p w14:paraId="057D9AAA" w14:textId="06F364BF" w:rsidR="00C32169" w:rsidRDefault="00C32169" w:rsidP="00C32169">
            <w:pPr>
              <w:spacing w:before="60" w:after="60"/>
              <w:ind w:right="-113"/>
            </w:pPr>
            <w:r>
              <w:t>Lyndall Milward-Bason</w:t>
            </w:r>
            <w:r w:rsidR="0090099E">
              <w:t>, Manager, Business R&amp;D Policy</w:t>
            </w:r>
            <w:r>
              <w:t xml:space="preserve"> </w:t>
            </w:r>
          </w:p>
          <w:p w14:paraId="3EA31C29" w14:textId="1304B5C1" w:rsidR="00C32169" w:rsidRDefault="00C32169" w:rsidP="00C32169">
            <w:pPr>
              <w:spacing w:before="60" w:after="60"/>
            </w:pPr>
            <w:r>
              <w:t>Elizabeth Minogue</w:t>
            </w:r>
            <w:r w:rsidR="0090099E">
              <w:t>, Manager, Governance</w:t>
            </w:r>
          </w:p>
          <w:p w14:paraId="5B2C0392" w14:textId="261F19A2" w:rsidR="00C32169" w:rsidRPr="00FF1242" w:rsidRDefault="00C32169" w:rsidP="00C32169">
            <w:pPr>
              <w:spacing w:before="60" w:after="60"/>
              <w:rPr>
                <w:rFonts w:eastAsia="Times New Roman" w:cstheme="minorHAnsi"/>
                <w:sz w:val="12"/>
                <w:lang w:eastAsia="en-AU"/>
              </w:rPr>
            </w:pPr>
            <w:r>
              <w:t>Rach</w:t>
            </w:r>
            <w:r w:rsidR="00CE7D9C">
              <w:t>a</w:t>
            </w:r>
            <w:r>
              <w:t>el Lawrence</w:t>
            </w:r>
            <w:r w:rsidR="0090099E">
              <w:t>, Manager, Business Support</w:t>
            </w:r>
          </w:p>
        </w:tc>
        <w:tc>
          <w:tcPr>
            <w:tcW w:w="124" w:type="pct"/>
          </w:tcPr>
          <w:p w14:paraId="4CFC23BC" w14:textId="77777777" w:rsidR="00C32169" w:rsidRDefault="00C32169" w:rsidP="00C32169">
            <w:pPr>
              <w:spacing w:before="60" w:after="60"/>
              <w:rPr>
                <w:rFonts w:eastAsia="Times New Roman" w:cstheme="minorHAnsi"/>
                <w:lang w:eastAsia="en-AU"/>
              </w:rPr>
            </w:pPr>
          </w:p>
          <w:p w14:paraId="5137E392" w14:textId="130DBB17" w:rsidR="00C32169" w:rsidRPr="00067B14" w:rsidRDefault="00C32169" w:rsidP="00C32169">
            <w:pPr>
              <w:spacing w:before="60" w:after="60"/>
            </w:pPr>
          </w:p>
        </w:tc>
      </w:tr>
      <w:tr w:rsidR="00C32169" w14:paraId="1F720D43" w14:textId="77777777" w:rsidTr="0090099E">
        <w:trPr>
          <w:trHeight w:val="113"/>
        </w:trPr>
        <w:tc>
          <w:tcPr>
            <w:tcW w:w="1964" w:type="pct"/>
          </w:tcPr>
          <w:p w14:paraId="06A2F664" w14:textId="77777777" w:rsidR="00C32169" w:rsidRPr="00A37264" w:rsidRDefault="00794715" w:rsidP="002E73BB">
            <w:pPr>
              <w:pStyle w:val="ListParagraph"/>
              <w:numPr>
                <w:ilvl w:val="0"/>
                <w:numId w:val="5"/>
              </w:numPr>
              <w:spacing w:before="60" w:after="0" w:line="25" w:lineRule="atLeast"/>
              <w:contextualSpacing w:val="0"/>
              <w:rPr>
                <w:rFonts w:eastAsia="Times New Roman" w:cstheme="minorHAnsi"/>
                <w:b/>
                <w:lang w:eastAsia="en-AU"/>
              </w:rPr>
            </w:pPr>
            <w:hyperlink w:anchor="_ATO_Update_–" w:history="1">
              <w:r w:rsidR="00C32169" w:rsidRPr="0065327E">
                <w:rPr>
                  <w:b/>
                </w:rPr>
                <w:t>ATO Insights</w:t>
              </w:r>
            </w:hyperlink>
          </w:p>
        </w:tc>
        <w:tc>
          <w:tcPr>
            <w:tcW w:w="2912" w:type="pct"/>
          </w:tcPr>
          <w:p w14:paraId="65C57121" w14:textId="59B72F8C" w:rsidR="00C32169" w:rsidRPr="00F33335" w:rsidRDefault="00C32169" w:rsidP="00226C62">
            <w:r>
              <w:rPr>
                <w:rFonts w:eastAsia="Times New Roman" w:cstheme="minorHAnsi"/>
                <w:lang w:eastAsia="en-AU"/>
              </w:rPr>
              <w:t>Brett Challans</w:t>
            </w:r>
            <w:r w:rsidR="0090099E">
              <w:rPr>
                <w:rFonts w:eastAsia="Times New Roman" w:cstheme="minorHAnsi"/>
                <w:lang w:eastAsia="en-AU"/>
              </w:rPr>
              <w:t>, Senior Director, Innovation Taxes</w:t>
            </w:r>
          </w:p>
        </w:tc>
        <w:tc>
          <w:tcPr>
            <w:tcW w:w="124" w:type="pct"/>
          </w:tcPr>
          <w:p w14:paraId="34D30BA2" w14:textId="10CF301C" w:rsidR="00C32169" w:rsidRPr="00F33335" w:rsidRDefault="00C32169" w:rsidP="00226C62"/>
        </w:tc>
      </w:tr>
      <w:tr w:rsidR="00C32169" w14:paraId="3F54504D" w14:textId="77777777" w:rsidTr="0090099E">
        <w:trPr>
          <w:trHeight w:val="113"/>
        </w:trPr>
        <w:tc>
          <w:tcPr>
            <w:tcW w:w="1964" w:type="pct"/>
          </w:tcPr>
          <w:p w14:paraId="6A3A5ABE" w14:textId="77777777" w:rsidR="00C32169" w:rsidRPr="00A37264" w:rsidRDefault="00794715" w:rsidP="002E73BB">
            <w:pPr>
              <w:pStyle w:val="ListParagraph"/>
              <w:numPr>
                <w:ilvl w:val="0"/>
                <w:numId w:val="5"/>
              </w:numPr>
              <w:spacing w:before="60" w:after="0" w:line="25" w:lineRule="atLeast"/>
              <w:contextualSpacing w:val="0"/>
              <w:rPr>
                <w:rFonts w:eastAsia="Times New Roman" w:cstheme="minorHAnsi"/>
                <w:b/>
                <w:lang w:eastAsia="en-AU"/>
              </w:rPr>
            </w:pPr>
            <w:hyperlink w:anchor="_Litigation_Insights_–" w:history="1">
              <w:r w:rsidR="00C32169">
                <w:rPr>
                  <w:b/>
                </w:rPr>
                <w:t>ATO</w:t>
              </w:r>
            </w:hyperlink>
            <w:r w:rsidR="00C32169">
              <w:rPr>
                <w:b/>
              </w:rPr>
              <w:t xml:space="preserve"> Guidance Updates</w:t>
            </w:r>
          </w:p>
        </w:tc>
        <w:tc>
          <w:tcPr>
            <w:tcW w:w="2912" w:type="pct"/>
          </w:tcPr>
          <w:p w14:paraId="6816C366" w14:textId="5DDC38C6" w:rsidR="00C32169" w:rsidRDefault="00C32169" w:rsidP="00226C62">
            <w:r>
              <w:rPr>
                <w:rFonts w:eastAsia="Times New Roman" w:cstheme="minorHAnsi"/>
                <w:lang w:eastAsia="en-AU"/>
              </w:rPr>
              <w:t>Brett Challans</w:t>
            </w:r>
            <w:r w:rsidR="0090099E">
              <w:rPr>
                <w:rFonts w:eastAsia="Times New Roman" w:cstheme="minorHAnsi"/>
                <w:lang w:eastAsia="en-AU"/>
              </w:rPr>
              <w:t>, Senior Director, Innovation Taxes</w:t>
            </w:r>
          </w:p>
        </w:tc>
        <w:tc>
          <w:tcPr>
            <w:tcW w:w="124" w:type="pct"/>
          </w:tcPr>
          <w:p w14:paraId="5BB81040" w14:textId="1DD515E7" w:rsidR="00C32169" w:rsidRDefault="00C32169" w:rsidP="00226C62"/>
        </w:tc>
      </w:tr>
      <w:tr w:rsidR="00215C71" w14:paraId="0E5772DA" w14:textId="77777777" w:rsidTr="0090099E">
        <w:trPr>
          <w:trHeight w:val="113"/>
        </w:trPr>
        <w:tc>
          <w:tcPr>
            <w:tcW w:w="1964" w:type="pct"/>
          </w:tcPr>
          <w:p w14:paraId="38089ABD" w14:textId="77777777" w:rsidR="00215C71" w:rsidRDefault="00794715" w:rsidP="002E73BB">
            <w:pPr>
              <w:pStyle w:val="ListParagraph"/>
              <w:numPr>
                <w:ilvl w:val="0"/>
                <w:numId w:val="5"/>
              </w:numPr>
              <w:spacing w:before="60" w:after="0" w:line="25" w:lineRule="atLeast"/>
              <w:contextualSpacing w:val="0"/>
              <w:rPr>
                <w:b/>
              </w:rPr>
            </w:pPr>
            <w:hyperlink w:anchor="_Advance_and_Overseas" w:history="1">
              <w:r w:rsidR="00215C71">
                <w:rPr>
                  <w:b/>
                </w:rPr>
                <w:t>Compliance</w:t>
              </w:r>
            </w:hyperlink>
            <w:r w:rsidR="00215C71">
              <w:rPr>
                <w:b/>
              </w:rPr>
              <w:t xml:space="preserve"> Insights </w:t>
            </w:r>
          </w:p>
          <w:p w14:paraId="3D251236" w14:textId="77777777" w:rsidR="00215C71" w:rsidRPr="00594FA9" w:rsidRDefault="00215C71" w:rsidP="002E73BB">
            <w:pPr>
              <w:pStyle w:val="ListParagraph"/>
              <w:numPr>
                <w:ilvl w:val="1"/>
                <w:numId w:val="5"/>
              </w:numPr>
              <w:spacing w:before="60" w:after="60" w:line="25" w:lineRule="atLeast"/>
              <w:contextualSpacing w:val="0"/>
              <w:rPr>
                <w:rFonts w:eastAsia="Times New Roman" w:cstheme="minorHAnsi"/>
                <w:lang w:eastAsia="en-AU"/>
              </w:rPr>
            </w:pPr>
            <w:r w:rsidRPr="00594FA9">
              <w:rPr>
                <w:rFonts w:eastAsia="Times New Roman" w:cstheme="minorHAnsi"/>
                <w:lang w:eastAsia="en-AU"/>
              </w:rPr>
              <w:t>Unknown outcome vs new knowledge</w:t>
            </w:r>
          </w:p>
          <w:p w14:paraId="52387B61" w14:textId="77777777" w:rsidR="00215C71" w:rsidRPr="00594FA9" w:rsidRDefault="00215C71" w:rsidP="002E73BB">
            <w:pPr>
              <w:pStyle w:val="ListParagraph"/>
              <w:numPr>
                <w:ilvl w:val="1"/>
                <w:numId w:val="5"/>
              </w:numPr>
              <w:spacing w:before="60" w:after="60" w:line="25" w:lineRule="atLeast"/>
              <w:contextualSpacing w:val="0"/>
              <w:rPr>
                <w:rFonts w:eastAsia="Times New Roman" w:cstheme="minorHAnsi"/>
                <w:lang w:eastAsia="en-AU"/>
              </w:rPr>
            </w:pPr>
            <w:r w:rsidRPr="00594FA9">
              <w:rPr>
                <w:rFonts w:eastAsia="Times New Roman" w:cstheme="minorHAnsi"/>
                <w:lang w:eastAsia="en-AU"/>
              </w:rPr>
              <w:t>Competent professional</w:t>
            </w:r>
          </w:p>
        </w:tc>
        <w:tc>
          <w:tcPr>
            <w:tcW w:w="2912" w:type="pct"/>
          </w:tcPr>
          <w:p w14:paraId="43708934" w14:textId="74DEA1D9" w:rsidR="00215C71" w:rsidRDefault="00215C71" w:rsidP="00226C62">
            <w:r>
              <w:t>Tom Gilbert</w:t>
            </w:r>
            <w:r w:rsidR="0090099E">
              <w:t>, Manager, National Assessment Team</w:t>
            </w:r>
          </w:p>
        </w:tc>
        <w:tc>
          <w:tcPr>
            <w:tcW w:w="124" w:type="pct"/>
          </w:tcPr>
          <w:p w14:paraId="5BE2294E" w14:textId="149B1DDB" w:rsidR="00215C71" w:rsidRDefault="00215C71" w:rsidP="00226C62"/>
        </w:tc>
      </w:tr>
      <w:tr w:rsidR="00215C71" w14:paraId="7C5A6683" w14:textId="77777777" w:rsidTr="0090099E">
        <w:trPr>
          <w:trHeight w:val="113"/>
        </w:trPr>
        <w:tc>
          <w:tcPr>
            <w:tcW w:w="1964" w:type="pct"/>
          </w:tcPr>
          <w:p w14:paraId="149C54DA" w14:textId="77777777" w:rsidR="00215C71" w:rsidRPr="00343E16" w:rsidRDefault="00215C71" w:rsidP="002E73BB">
            <w:pPr>
              <w:pStyle w:val="ListParagraph"/>
              <w:numPr>
                <w:ilvl w:val="0"/>
                <w:numId w:val="5"/>
              </w:numPr>
              <w:spacing w:before="60" w:after="0" w:line="25" w:lineRule="atLeast"/>
              <w:contextualSpacing w:val="0"/>
              <w:rPr>
                <w:b/>
                <w:bCs/>
              </w:rPr>
            </w:pPr>
            <w:r w:rsidRPr="00343E16">
              <w:rPr>
                <w:b/>
                <w:bCs/>
              </w:rPr>
              <w:t>Digital Games Tax Offset</w:t>
            </w:r>
          </w:p>
        </w:tc>
        <w:tc>
          <w:tcPr>
            <w:tcW w:w="2912" w:type="pct"/>
          </w:tcPr>
          <w:p w14:paraId="5D20809E" w14:textId="77777777" w:rsidR="0090099E" w:rsidRDefault="00215C71" w:rsidP="0090099E">
            <w:r>
              <w:t>Penelope Sherburn</w:t>
            </w:r>
            <w:r w:rsidR="0090099E">
              <w:t xml:space="preserve">, Digital Games and Business Development, </w:t>
            </w:r>
          </w:p>
          <w:p w14:paraId="38BE0679" w14:textId="42F30630" w:rsidR="00215C71" w:rsidRDefault="0090099E" w:rsidP="0090099E">
            <w:r>
              <w:t xml:space="preserve">Office for the Arts, Department of Infrastructure, Transport, Regional Development, </w:t>
            </w:r>
            <w:proofErr w:type="gramStart"/>
            <w:r>
              <w:t>Communications</w:t>
            </w:r>
            <w:proofErr w:type="gramEnd"/>
            <w:r>
              <w:t xml:space="preserve"> and the Arts</w:t>
            </w:r>
            <w:r w:rsidR="00215C71">
              <w:t xml:space="preserve"> </w:t>
            </w:r>
          </w:p>
        </w:tc>
        <w:tc>
          <w:tcPr>
            <w:tcW w:w="124" w:type="pct"/>
          </w:tcPr>
          <w:p w14:paraId="4C6FE96A" w14:textId="4A9015A4" w:rsidR="00215C71" w:rsidRDefault="00215C71" w:rsidP="00226C62"/>
        </w:tc>
      </w:tr>
      <w:tr w:rsidR="00296568" w14:paraId="6A890DB5" w14:textId="77777777" w:rsidTr="001D2E26">
        <w:trPr>
          <w:trHeight w:val="113"/>
        </w:trPr>
        <w:tc>
          <w:tcPr>
            <w:tcW w:w="1964" w:type="pct"/>
          </w:tcPr>
          <w:p w14:paraId="4A0B3B48" w14:textId="77777777" w:rsidR="00296568" w:rsidRPr="0065327E" w:rsidRDefault="00794715" w:rsidP="002E73BB">
            <w:pPr>
              <w:pStyle w:val="ListParagraph"/>
              <w:numPr>
                <w:ilvl w:val="0"/>
                <w:numId w:val="5"/>
              </w:numPr>
              <w:spacing w:before="60" w:after="0" w:line="25" w:lineRule="atLeast"/>
              <w:contextualSpacing w:val="0"/>
              <w:rPr>
                <w:rFonts w:eastAsia="Times New Roman" w:cstheme="minorHAnsi"/>
                <w:b/>
                <w:lang w:eastAsia="en-AU"/>
              </w:rPr>
            </w:pPr>
            <w:hyperlink w:anchor="_Other_Business_and" w:history="1">
              <w:r w:rsidR="00296568" w:rsidRPr="0065327E">
                <w:rPr>
                  <w:b/>
                </w:rPr>
                <w:t>Other business and close</w:t>
              </w:r>
            </w:hyperlink>
          </w:p>
        </w:tc>
        <w:tc>
          <w:tcPr>
            <w:tcW w:w="3036" w:type="pct"/>
            <w:gridSpan w:val="2"/>
          </w:tcPr>
          <w:p w14:paraId="2BEE2834" w14:textId="1D0998FE" w:rsidR="00296568" w:rsidRPr="00F33335" w:rsidRDefault="00296568" w:rsidP="00226C62">
            <w:pPr>
              <w:spacing w:after="60" w:line="25" w:lineRule="atLeast"/>
            </w:pPr>
            <w:r>
              <w:rPr>
                <w:rFonts w:eastAsia="Times New Roman" w:cstheme="minorHAnsi"/>
                <w:lang w:eastAsia="en-AU"/>
              </w:rPr>
              <w:t>Facilitator</w:t>
            </w:r>
          </w:p>
        </w:tc>
      </w:tr>
    </w:tbl>
    <w:p w14:paraId="07643787" w14:textId="77777777" w:rsidR="00296568" w:rsidRDefault="00296568" w:rsidP="00296568">
      <w:pPr>
        <w:pStyle w:val="Heading2"/>
        <w:rPr>
          <w:highlight w:val="lightGray"/>
        </w:rPr>
      </w:pPr>
      <w:bookmarkStart w:id="0" w:name="_1._Welcome_–"/>
      <w:bookmarkEnd w:id="0"/>
    </w:p>
    <w:p w14:paraId="2B8A7271" w14:textId="77777777" w:rsidR="00296568" w:rsidRDefault="00296568">
      <w:pPr>
        <w:rPr>
          <w:rFonts w:asciiTheme="majorHAnsi" w:eastAsiaTheme="majorEastAsia" w:hAnsiTheme="majorHAnsi" w:cstheme="majorBidi"/>
          <w:b/>
          <w:color w:val="212A4C" w:themeColor="text2"/>
          <w:sz w:val="28"/>
          <w:szCs w:val="26"/>
          <w:highlight w:val="lightGray"/>
        </w:rPr>
      </w:pPr>
      <w:r>
        <w:rPr>
          <w:highlight w:val="lightGray"/>
        </w:rPr>
        <w:br w:type="page"/>
      </w:r>
    </w:p>
    <w:p w14:paraId="59AF66AD" w14:textId="13862713" w:rsidR="009D4605" w:rsidRDefault="009D4605" w:rsidP="009D4605">
      <w:pPr>
        <w:pStyle w:val="Heading2"/>
        <w:tabs>
          <w:tab w:val="left" w:pos="284"/>
        </w:tabs>
      </w:pPr>
      <w:r>
        <w:lastRenderedPageBreak/>
        <w:t xml:space="preserve">1. Welcome </w:t>
      </w:r>
    </w:p>
    <w:p w14:paraId="49427C2C" w14:textId="49868483" w:rsidR="00D947CD" w:rsidRPr="00877C8D" w:rsidRDefault="00296568" w:rsidP="00D947CD">
      <w:pPr>
        <w:rPr>
          <w:color w:val="202020"/>
          <w:shd w:val="clear" w:color="auto" w:fill="FFFFFF"/>
        </w:rPr>
      </w:pPr>
      <w:r>
        <w:rPr>
          <w:color w:val="202020"/>
          <w:shd w:val="clear" w:color="auto" w:fill="FFFFFF"/>
        </w:rPr>
        <w:t>The meeting commenced with an Acknowledgement of Country and welcome to attendees.</w:t>
      </w:r>
      <w:r w:rsidR="00D947CD" w:rsidRPr="00877C8D">
        <w:rPr>
          <w:color w:val="202020"/>
          <w:shd w:val="clear" w:color="auto" w:fill="FFFFFF"/>
        </w:rPr>
        <w:t xml:space="preserve"> </w:t>
      </w:r>
    </w:p>
    <w:p w14:paraId="7B0F570E" w14:textId="4EC48A5C" w:rsidR="00D947CD" w:rsidRDefault="00D947CD" w:rsidP="00D947CD">
      <w:pPr>
        <w:pStyle w:val="Heading2"/>
        <w:tabs>
          <w:tab w:val="left" w:pos="284"/>
        </w:tabs>
      </w:pPr>
      <w:r>
        <w:t>2.</w:t>
      </w:r>
      <w:r w:rsidR="009D4605">
        <w:t xml:space="preserve"> </w:t>
      </w:r>
      <w:r>
        <w:t xml:space="preserve">DISR insights </w:t>
      </w:r>
    </w:p>
    <w:p w14:paraId="168B9DE3" w14:textId="7E9C006F" w:rsidR="00D947CD" w:rsidRDefault="00D947CD" w:rsidP="00D947CD">
      <w:pPr>
        <w:pStyle w:val="Heading3"/>
      </w:pPr>
      <w:bookmarkStart w:id="1" w:name="_AusIndustry_Insights_–"/>
      <w:bookmarkStart w:id="2" w:name="_2.1_Customer_Portal"/>
      <w:bookmarkEnd w:id="1"/>
      <w:bookmarkEnd w:id="2"/>
      <w:r>
        <w:t>2.1 Customer portal</w:t>
      </w:r>
    </w:p>
    <w:p w14:paraId="0534D33A" w14:textId="3E390ECE" w:rsidR="00D947CD" w:rsidRPr="00D51FA4" w:rsidRDefault="009D4605" w:rsidP="00912F25">
      <w:pPr>
        <w:pStyle w:val="Bullet1"/>
        <w:numPr>
          <w:ilvl w:val="0"/>
          <w:numId w:val="15"/>
        </w:numPr>
      </w:pPr>
      <w:bookmarkStart w:id="3" w:name="_Hlk129342227"/>
      <w:r>
        <w:t>O</w:t>
      </w:r>
      <w:r w:rsidR="00D947CD" w:rsidRPr="00296568">
        <w:t>ver 20,000 applications</w:t>
      </w:r>
      <w:r w:rsidR="00D947CD">
        <w:t xml:space="preserve"> have </w:t>
      </w:r>
      <w:r>
        <w:t xml:space="preserve">now </w:t>
      </w:r>
      <w:r w:rsidR="00D947CD">
        <w:t xml:space="preserve">been submitted </w:t>
      </w:r>
      <w:r>
        <w:t>through the portal sinc</w:t>
      </w:r>
      <w:r w:rsidR="005824D8">
        <w:t>e</w:t>
      </w:r>
      <w:r>
        <w:t xml:space="preserve"> it launched on 4 July 2021. </w:t>
      </w:r>
      <w:r w:rsidR="00296568">
        <w:t xml:space="preserve"> </w:t>
      </w:r>
    </w:p>
    <w:p w14:paraId="56980FAB" w14:textId="2EC4D444" w:rsidR="00D947CD" w:rsidRDefault="00D947CD" w:rsidP="00912F25">
      <w:pPr>
        <w:pStyle w:val="Bullet1"/>
        <w:numPr>
          <w:ilvl w:val="0"/>
          <w:numId w:val="15"/>
        </w:numPr>
      </w:pPr>
      <w:r>
        <w:t>There have been no portal updates in the last 6 months</w:t>
      </w:r>
      <w:r w:rsidR="005824D8">
        <w:t xml:space="preserve"> </w:t>
      </w:r>
      <w:r w:rsidR="00CE7D9C">
        <w:t>and no further</w:t>
      </w:r>
      <w:r w:rsidR="005824D8">
        <w:t xml:space="preserve"> major updates planned</w:t>
      </w:r>
      <w:r w:rsidR="00CE7D9C">
        <w:t xml:space="preserve"> </w:t>
      </w:r>
      <w:proofErr w:type="gramStart"/>
      <w:r w:rsidR="00CE7D9C">
        <w:t>at this point in time</w:t>
      </w:r>
      <w:proofErr w:type="gramEnd"/>
      <w:r w:rsidR="005824D8">
        <w:t xml:space="preserve">. </w:t>
      </w:r>
    </w:p>
    <w:p w14:paraId="4329554A" w14:textId="2CFB2CBF" w:rsidR="00D947CD" w:rsidRDefault="00D947CD" w:rsidP="00912F25">
      <w:pPr>
        <w:pStyle w:val="Bullet1"/>
        <w:numPr>
          <w:ilvl w:val="0"/>
          <w:numId w:val="15"/>
        </w:numPr>
      </w:pPr>
      <w:r w:rsidRPr="00CB373C">
        <w:t xml:space="preserve">Accessing the </w:t>
      </w:r>
      <w:r>
        <w:t>p</w:t>
      </w:r>
      <w:r w:rsidRPr="00CB373C">
        <w:t xml:space="preserve">ortal </w:t>
      </w:r>
      <w:r w:rsidR="005824D8">
        <w:t xml:space="preserve">for the first time involves additional steps which </w:t>
      </w:r>
      <w:r w:rsidR="00CE7D9C">
        <w:t xml:space="preserve">can </w:t>
      </w:r>
      <w:r w:rsidR="005824D8">
        <w:t xml:space="preserve">take time to work through. </w:t>
      </w:r>
    </w:p>
    <w:p w14:paraId="23B9D578" w14:textId="454B1735" w:rsidR="00D947CD" w:rsidRPr="00D51FA4" w:rsidRDefault="005824D8" w:rsidP="00912F25">
      <w:pPr>
        <w:pStyle w:val="Bullet1"/>
        <w:numPr>
          <w:ilvl w:val="0"/>
          <w:numId w:val="15"/>
        </w:numPr>
      </w:pPr>
      <w:r>
        <w:t>To avoid registration delays</w:t>
      </w:r>
      <w:r w:rsidR="00D947CD">
        <w:t>:</w:t>
      </w:r>
    </w:p>
    <w:p w14:paraId="2B3F316A" w14:textId="288ADF20" w:rsidR="00D947CD" w:rsidRPr="00D51FA4" w:rsidRDefault="005824D8" w:rsidP="00912F25">
      <w:pPr>
        <w:pStyle w:val="Bullet2"/>
        <w:numPr>
          <w:ilvl w:val="2"/>
          <w:numId w:val="16"/>
        </w:numPr>
      </w:pPr>
      <w:r>
        <w:t>Ensure the ABN d</w:t>
      </w:r>
      <w:r w:rsidR="001D2E26">
        <w:t>isplayed in the top left corner</w:t>
      </w:r>
      <w:r>
        <w:t xml:space="preserve"> is that </w:t>
      </w:r>
      <w:r w:rsidR="001D2E26">
        <w:t>of</w:t>
      </w:r>
      <w:r w:rsidR="00D947CD">
        <w:t xml:space="preserve"> the head entity for tax purposes</w:t>
      </w:r>
      <w:r>
        <w:t>.</w:t>
      </w:r>
    </w:p>
    <w:p w14:paraId="32577AA9" w14:textId="7D62FA68" w:rsidR="00D947CD" w:rsidRPr="00D51FA4" w:rsidRDefault="005824D8" w:rsidP="00912F25">
      <w:pPr>
        <w:pStyle w:val="Bullet2"/>
        <w:numPr>
          <w:ilvl w:val="2"/>
          <w:numId w:val="16"/>
        </w:numPr>
      </w:pPr>
      <w:r>
        <w:t xml:space="preserve">Select the correct income period as the </w:t>
      </w:r>
      <w:r w:rsidR="00D947CD">
        <w:t xml:space="preserve">income period and income year cannot be changed after </w:t>
      </w:r>
      <w:r>
        <w:t xml:space="preserve">the application has been submitted. </w:t>
      </w:r>
    </w:p>
    <w:p w14:paraId="6109865A" w14:textId="434E7828" w:rsidR="00D947CD" w:rsidRDefault="005824D8" w:rsidP="00912F25">
      <w:pPr>
        <w:pStyle w:val="Bullet2"/>
        <w:numPr>
          <w:ilvl w:val="2"/>
          <w:numId w:val="16"/>
        </w:numPr>
      </w:pPr>
      <w:r>
        <w:t xml:space="preserve">Ensure authorisation to access the portal on behalf of an ABN has not expired. </w:t>
      </w:r>
      <w:r w:rsidR="00D947CD">
        <w:t xml:space="preserve">Authorisations can only be extended by a representative from the </w:t>
      </w:r>
      <w:r w:rsidR="0082349C">
        <w:t>R&amp;D</w:t>
      </w:r>
      <w:r w:rsidR="00D947CD">
        <w:t xml:space="preserve"> entity.</w:t>
      </w:r>
    </w:p>
    <w:bookmarkEnd w:id="3"/>
    <w:p w14:paraId="27ACE2CD" w14:textId="41C9974A" w:rsidR="00D947CD" w:rsidRDefault="00D947CD" w:rsidP="00D947CD">
      <w:pPr>
        <w:pStyle w:val="Heading3"/>
      </w:pPr>
      <w:r w:rsidRPr="00054504">
        <w:t xml:space="preserve">2.2 </w:t>
      </w:r>
      <w:r>
        <w:t xml:space="preserve">Advance Finding pilot </w:t>
      </w:r>
    </w:p>
    <w:p w14:paraId="1CCB0D7F" w14:textId="77777777" w:rsidR="0018550C" w:rsidRPr="0018550C" w:rsidRDefault="0018550C" w:rsidP="00912F25">
      <w:pPr>
        <w:pStyle w:val="Bullet1"/>
        <w:numPr>
          <w:ilvl w:val="0"/>
          <w:numId w:val="15"/>
        </w:numPr>
      </w:pPr>
      <w:r w:rsidRPr="0018550C">
        <w:t>Advance Findings (AFs) provide companies with certainty around the eligibility of their R&amp;D projects for up to three income years and may help them raise funds, secure finance, recruit and retain talent through longer-term contracts and make important investment decisions.</w:t>
      </w:r>
    </w:p>
    <w:p w14:paraId="34D18E77" w14:textId="77777777" w:rsidR="0018550C" w:rsidRPr="0018550C" w:rsidRDefault="0018550C" w:rsidP="00912F25">
      <w:pPr>
        <w:pStyle w:val="Bullet1"/>
        <w:numPr>
          <w:ilvl w:val="0"/>
          <w:numId w:val="15"/>
        </w:numPr>
      </w:pPr>
      <w:r w:rsidRPr="0018550C">
        <w:t xml:space="preserve">DISR has recently streamlined the administration of processing AF applications, significantly reducing the timeframes for assessment. </w:t>
      </w:r>
    </w:p>
    <w:p w14:paraId="66533016" w14:textId="77777777" w:rsidR="0018550C" w:rsidRPr="0018550C" w:rsidRDefault="0018550C" w:rsidP="00912F25">
      <w:pPr>
        <w:pStyle w:val="Bullet1"/>
        <w:numPr>
          <w:ilvl w:val="0"/>
          <w:numId w:val="15"/>
        </w:numPr>
      </w:pPr>
      <w:r w:rsidRPr="0018550C">
        <w:t xml:space="preserve">DISR has also been working with the Technology Council of Australia to deliver an AF ‘pilot’ to software-related companies that want to access the R&amp;DTI Program. The pilot aims to address software and tech companies’ requests for enhanced certainty and guidance when applying for the R&amp;DTI program. </w:t>
      </w:r>
    </w:p>
    <w:p w14:paraId="2068B96D" w14:textId="77777777" w:rsidR="0018550C" w:rsidRPr="0018550C" w:rsidRDefault="0018550C" w:rsidP="00912F25">
      <w:pPr>
        <w:pStyle w:val="Bullet1"/>
        <w:numPr>
          <w:ilvl w:val="0"/>
          <w:numId w:val="15"/>
        </w:numPr>
      </w:pPr>
      <w:r w:rsidRPr="0018550C">
        <w:t xml:space="preserve">Small group consultation sessions were conducted by DISR Case Managers with software sector expertise throughout March 2023. The consultations were designed to provide the 23 participating companies with information on the R&amp;DTI program, an understanding of the purpose of advance findings and details on how to apply via the R&amp;DTI portal. </w:t>
      </w:r>
    </w:p>
    <w:p w14:paraId="6C9E409E" w14:textId="77777777" w:rsidR="0018550C" w:rsidRPr="0018550C" w:rsidRDefault="0018550C" w:rsidP="00912F25">
      <w:pPr>
        <w:pStyle w:val="Bullet1"/>
        <w:numPr>
          <w:ilvl w:val="0"/>
          <w:numId w:val="15"/>
        </w:numPr>
      </w:pPr>
      <w:r w:rsidRPr="0018550C">
        <w:t>These companies now have until 26 April 2023 to submit their AF application.</w:t>
      </w:r>
    </w:p>
    <w:p w14:paraId="0E21EC2E" w14:textId="77777777" w:rsidR="0018550C" w:rsidRPr="0018550C" w:rsidRDefault="0018550C" w:rsidP="00912F25">
      <w:pPr>
        <w:pStyle w:val="Bullet1"/>
        <w:numPr>
          <w:ilvl w:val="0"/>
          <w:numId w:val="15"/>
        </w:numPr>
      </w:pPr>
      <w:r w:rsidRPr="0018550C">
        <w:t>Company feedback is being collected throughout the process to measure effectiveness of this form of guidance.</w:t>
      </w:r>
    </w:p>
    <w:p w14:paraId="023D1783" w14:textId="340CAD99" w:rsidR="00D947CD" w:rsidRDefault="00D947CD" w:rsidP="00D947CD">
      <w:pPr>
        <w:pStyle w:val="Heading3"/>
      </w:pPr>
      <w:r>
        <w:t xml:space="preserve">2.3 </w:t>
      </w:r>
      <w:r w:rsidRPr="00054504">
        <w:t xml:space="preserve">Registrations </w:t>
      </w:r>
      <w:r>
        <w:t>u</w:t>
      </w:r>
      <w:r w:rsidRPr="00054504">
        <w:t>pdate</w:t>
      </w:r>
    </w:p>
    <w:p w14:paraId="5991E2B1" w14:textId="698B6FEC" w:rsidR="00785858" w:rsidRPr="00776A97" w:rsidRDefault="00785858" w:rsidP="00785858">
      <w:pPr>
        <w:spacing w:after="0"/>
        <w:rPr>
          <w:rFonts w:cstheme="minorHAnsi"/>
          <w:b/>
          <w:color w:val="212A4C" w:themeColor="text2"/>
        </w:rPr>
      </w:pPr>
      <w:r w:rsidRPr="00776A97">
        <w:rPr>
          <w:rFonts w:cstheme="minorHAnsi"/>
          <w:b/>
          <w:color w:val="212A4C" w:themeColor="text2"/>
        </w:rPr>
        <w:t>R&amp;DTI registrations</w:t>
      </w:r>
    </w:p>
    <w:p w14:paraId="7B078CE7" w14:textId="4147AE9E" w:rsidR="00DB4189" w:rsidRDefault="00DB4189" w:rsidP="00912F25">
      <w:pPr>
        <w:pStyle w:val="Bullet1"/>
        <w:numPr>
          <w:ilvl w:val="0"/>
          <w:numId w:val="15"/>
        </w:numPr>
      </w:pPr>
      <w:r w:rsidRPr="00DB4189">
        <w:t xml:space="preserve">The registration deadline for the income year that ended on 30 June 2022 has been amended from 30 April 2023 to 2 May 2023 as the next business day in all states. </w:t>
      </w:r>
    </w:p>
    <w:p w14:paraId="60E0AD51" w14:textId="786C461B" w:rsidR="005F3C86" w:rsidRPr="0016035A" w:rsidRDefault="005F3C86" w:rsidP="00912F25">
      <w:pPr>
        <w:pStyle w:val="ListParagraph"/>
        <w:numPr>
          <w:ilvl w:val="0"/>
          <w:numId w:val="15"/>
        </w:numPr>
        <w:contextualSpacing w:val="0"/>
        <w:rPr>
          <w:color w:val="auto"/>
          <w:shd w:val="clear" w:color="auto" w:fill="FFFFFF"/>
        </w:rPr>
      </w:pPr>
      <w:r w:rsidRPr="0016035A">
        <w:rPr>
          <w:color w:val="auto"/>
          <w:shd w:val="clear" w:color="auto" w:fill="FFFFFF"/>
        </w:rPr>
        <w:t>This is a peak period for registration applications</w:t>
      </w:r>
      <w:r>
        <w:rPr>
          <w:color w:val="auto"/>
          <w:shd w:val="clear" w:color="auto" w:fill="FFFFFF"/>
        </w:rPr>
        <w:t xml:space="preserve">. Up </w:t>
      </w:r>
      <w:r w:rsidRPr="0016035A">
        <w:rPr>
          <w:color w:val="auto"/>
          <w:shd w:val="clear" w:color="auto" w:fill="FFFFFF"/>
        </w:rPr>
        <w:t>to 30% of the 12,000 plus applications receive</w:t>
      </w:r>
      <w:r>
        <w:rPr>
          <w:color w:val="auto"/>
          <w:shd w:val="clear" w:color="auto" w:fill="FFFFFF"/>
        </w:rPr>
        <w:t>d</w:t>
      </w:r>
      <w:r w:rsidRPr="0016035A">
        <w:rPr>
          <w:color w:val="auto"/>
          <w:shd w:val="clear" w:color="auto" w:fill="FFFFFF"/>
        </w:rPr>
        <w:t xml:space="preserve"> each year are submitted </w:t>
      </w:r>
      <w:r>
        <w:rPr>
          <w:color w:val="auto"/>
          <w:shd w:val="clear" w:color="auto" w:fill="FFFFFF"/>
        </w:rPr>
        <w:t xml:space="preserve">during </w:t>
      </w:r>
      <w:r w:rsidRPr="0016035A">
        <w:rPr>
          <w:color w:val="auto"/>
          <w:shd w:val="clear" w:color="auto" w:fill="FFFFFF"/>
        </w:rPr>
        <w:t xml:space="preserve">the last week of April. </w:t>
      </w:r>
      <w:r>
        <w:rPr>
          <w:color w:val="auto"/>
          <w:shd w:val="clear" w:color="auto" w:fill="FFFFFF"/>
        </w:rPr>
        <w:t xml:space="preserve">As a result, registration processing times will be extended significantly. </w:t>
      </w:r>
    </w:p>
    <w:p w14:paraId="23FA0E22" w14:textId="1A078B44" w:rsidR="00D947CD" w:rsidRPr="00CB373C" w:rsidRDefault="00DB4189" w:rsidP="00785858">
      <w:pPr>
        <w:pStyle w:val="Bullet1"/>
        <w:numPr>
          <w:ilvl w:val="0"/>
          <w:numId w:val="0"/>
        </w:numPr>
        <w:spacing w:before="240"/>
        <w:rPr>
          <w:lang w:eastAsia="en-AU"/>
        </w:rPr>
      </w:pPr>
      <w:r>
        <w:rPr>
          <w:lang w:eastAsia="en-AU"/>
        </w:rPr>
        <w:t>Key points to assist in preparing applications</w:t>
      </w:r>
      <w:r w:rsidR="00D947CD">
        <w:rPr>
          <w:lang w:eastAsia="en-AU"/>
        </w:rPr>
        <w:t>:</w:t>
      </w:r>
    </w:p>
    <w:p w14:paraId="4AFCEF2A" w14:textId="20D5D3C4" w:rsidR="00D947CD" w:rsidRPr="00CB373C" w:rsidRDefault="00DB4189" w:rsidP="00912F25">
      <w:pPr>
        <w:pStyle w:val="Bullet1"/>
        <w:numPr>
          <w:ilvl w:val="0"/>
          <w:numId w:val="14"/>
        </w:numPr>
        <w:rPr>
          <w:lang w:eastAsia="en-AU"/>
        </w:rPr>
      </w:pPr>
      <w:r>
        <w:rPr>
          <w:lang w:eastAsia="en-AU"/>
        </w:rPr>
        <w:t>Ensure all parts to each question are answered, particularly as some are asked in two parts</w:t>
      </w:r>
      <w:r w:rsidR="00D947CD" w:rsidRPr="00CB373C">
        <w:rPr>
          <w:lang w:eastAsia="en-AU"/>
        </w:rPr>
        <w:t>.</w:t>
      </w:r>
    </w:p>
    <w:p w14:paraId="373D00DE" w14:textId="465A65C1" w:rsidR="00D947CD" w:rsidRPr="00CB373C" w:rsidRDefault="00785858" w:rsidP="00912F25">
      <w:pPr>
        <w:pStyle w:val="Bullet1"/>
        <w:numPr>
          <w:ilvl w:val="0"/>
          <w:numId w:val="14"/>
        </w:numPr>
        <w:rPr>
          <w:lang w:eastAsia="en-AU"/>
        </w:rPr>
      </w:pPr>
      <w:r>
        <w:rPr>
          <w:lang w:eastAsia="en-AU"/>
        </w:rPr>
        <w:t>E</w:t>
      </w:r>
      <w:r w:rsidR="00D947CD" w:rsidRPr="00CB373C">
        <w:rPr>
          <w:lang w:eastAsia="en-AU"/>
        </w:rPr>
        <w:t xml:space="preserve">nsure that you state your hypothesis in terms of </w:t>
      </w:r>
      <w:r w:rsidR="00DB4189">
        <w:rPr>
          <w:lang w:eastAsia="en-AU"/>
        </w:rPr>
        <w:t xml:space="preserve">how the outcome is unknown or unknowable. </w:t>
      </w:r>
    </w:p>
    <w:p w14:paraId="3A5708D5" w14:textId="013E3C1B" w:rsidR="00D947CD" w:rsidRDefault="00D947CD" w:rsidP="005F3C86">
      <w:pPr>
        <w:pStyle w:val="Bullet1"/>
        <w:numPr>
          <w:ilvl w:val="0"/>
          <w:numId w:val="0"/>
        </w:numPr>
        <w:ind w:left="720"/>
        <w:rPr>
          <w:lang w:eastAsia="en-AU"/>
        </w:rPr>
      </w:pPr>
    </w:p>
    <w:p w14:paraId="1CC1806B" w14:textId="77777777" w:rsidR="005F3C86" w:rsidRDefault="005F3C86" w:rsidP="00785858">
      <w:pPr>
        <w:spacing w:after="0"/>
        <w:rPr>
          <w:rFonts w:cstheme="minorHAnsi"/>
          <w:b/>
          <w:color w:val="212A4C" w:themeColor="text2"/>
        </w:rPr>
      </w:pPr>
    </w:p>
    <w:p w14:paraId="4D92F171" w14:textId="4B948BBC" w:rsidR="00D947CD" w:rsidRPr="00776A97" w:rsidRDefault="00D947CD" w:rsidP="00785858">
      <w:pPr>
        <w:spacing w:after="0"/>
        <w:rPr>
          <w:rFonts w:cstheme="minorHAnsi"/>
          <w:b/>
          <w:color w:val="212A4C" w:themeColor="text2"/>
        </w:rPr>
      </w:pPr>
      <w:r w:rsidRPr="00776A97">
        <w:rPr>
          <w:rFonts w:cstheme="minorHAnsi"/>
          <w:b/>
          <w:color w:val="212A4C" w:themeColor="text2"/>
        </w:rPr>
        <w:lastRenderedPageBreak/>
        <w:t>RSP applications</w:t>
      </w:r>
    </w:p>
    <w:p w14:paraId="6CE1917A" w14:textId="77777777" w:rsidR="005F3C86" w:rsidRPr="006B605E" w:rsidRDefault="005F3C86" w:rsidP="00912F25">
      <w:pPr>
        <w:pStyle w:val="Bullet1"/>
        <w:numPr>
          <w:ilvl w:val="0"/>
          <w:numId w:val="14"/>
        </w:numPr>
        <w:rPr>
          <w:lang w:eastAsia="en-AU"/>
        </w:rPr>
      </w:pPr>
      <w:r w:rsidRPr="006B605E">
        <w:rPr>
          <w:lang w:eastAsia="en-AU"/>
        </w:rPr>
        <w:t>From 30 June 2023, all RSP application forms will be moved to the customer portal. This includes New RSP Applications, RSP Variation Applications and RSP Annual Renewal Applications.</w:t>
      </w:r>
    </w:p>
    <w:p w14:paraId="2496DB86" w14:textId="77777777" w:rsidR="005F3C86" w:rsidRPr="006B605E" w:rsidRDefault="005F3C86" w:rsidP="00912F25">
      <w:pPr>
        <w:pStyle w:val="Bullet1"/>
        <w:numPr>
          <w:ilvl w:val="0"/>
          <w:numId w:val="14"/>
        </w:numPr>
        <w:rPr>
          <w:lang w:eastAsia="en-AU"/>
        </w:rPr>
      </w:pPr>
      <w:r w:rsidRPr="006B605E">
        <w:rPr>
          <w:lang w:eastAsia="en-AU"/>
        </w:rPr>
        <w:t>RSP registrations for the 2023-24 financial year will be submitted through an online Smart Form, which will be available from Monday 1 May 2023 to 31 May 2023.</w:t>
      </w:r>
    </w:p>
    <w:p w14:paraId="4A70743A" w14:textId="77777777" w:rsidR="005F3C86" w:rsidRPr="005F0C04" w:rsidRDefault="005F3C86" w:rsidP="00912F25">
      <w:pPr>
        <w:pStyle w:val="Bullet1"/>
        <w:numPr>
          <w:ilvl w:val="0"/>
          <w:numId w:val="14"/>
        </w:numPr>
        <w:rPr>
          <w:color w:val="202020"/>
          <w:shd w:val="clear" w:color="auto" w:fill="FFFFFF"/>
        </w:rPr>
      </w:pPr>
      <w:r w:rsidRPr="006B605E">
        <w:rPr>
          <w:lang w:eastAsia="en-AU"/>
        </w:rPr>
        <w:t>More information about the</w:t>
      </w:r>
      <w:r>
        <w:rPr>
          <w:color w:val="202020"/>
          <w:shd w:val="clear" w:color="auto" w:fill="FFFFFF"/>
        </w:rPr>
        <w:t xml:space="preserve"> Smart Form will be provided in the annual renewal communications which will be sent to RSPs in the coming weeks. </w:t>
      </w:r>
    </w:p>
    <w:p w14:paraId="3BA0CCDD" w14:textId="6ACDF765" w:rsidR="00D947CD" w:rsidRPr="00CC6401" w:rsidRDefault="00D947CD" w:rsidP="00D947CD">
      <w:pPr>
        <w:pStyle w:val="Heading3"/>
      </w:pPr>
      <w:bookmarkStart w:id="4" w:name="_2.3_Data_Insights"/>
      <w:bookmarkEnd w:id="4"/>
      <w:r w:rsidRPr="00054504">
        <w:t>2.</w:t>
      </w:r>
      <w:r>
        <w:t>4</w:t>
      </w:r>
      <w:r w:rsidRPr="00054504">
        <w:t xml:space="preserve"> Data </w:t>
      </w:r>
      <w:r>
        <w:t>i</w:t>
      </w:r>
      <w:r w:rsidRPr="00054504">
        <w:t xml:space="preserve">nsights </w:t>
      </w:r>
    </w:p>
    <w:p w14:paraId="1F3CF982" w14:textId="77777777" w:rsidR="005F3C86" w:rsidRPr="006B605E" w:rsidRDefault="005F3C86" w:rsidP="00912F25">
      <w:pPr>
        <w:pStyle w:val="Bullet1"/>
        <w:numPr>
          <w:ilvl w:val="0"/>
          <w:numId w:val="14"/>
        </w:numPr>
        <w:rPr>
          <w:lang w:eastAsia="en-AU"/>
        </w:rPr>
      </w:pPr>
      <w:r w:rsidRPr="006B605E">
        <w:rPr>
          <w:lang w:eastAsia="en-AU"/>
        </w:rPr>
        <w:t>During the 2020-21 income year, t</w:t>
      </w:r>
      <w:r w:rsidR="00D947CD" w:rsidRPr="006B605E">
        <w:rPr>
          <w:lang w:eastAsia="en-AU"/>
        </w:rPr>
        <w:t xml:space="preserve">here were 12,403 registrations and total registered </w:t>
      </w:r>
      <w:r w:rsidR="0082349C" w:rsidRPr="006B605E">
        <w:rPr>
          <w:lang w:eastAsia="en-AU"/>
        </w:rPr>
        <w:t>R&amp;D</w:t>
      </w:r>
      <w:r w:rsidR="00D947CD" w:rsidRPr="006B605E">
        <w:rPr>
          <w:lang w:eastAsia="en-AU"/>
        </w:rPr>
        <w:t xml:space="preserve"> expenditure of $13.4 billion</w:t>
      </w:r>
      <w:r w:rsidRPr="006B605E">
        <w:rPr>
          <w:lang w:eastAsia="en-AU"/>
        </w:rPr>
        <w:t>.</w:t>
      </w:r>
    </w:p>
    <w:p w14:paraId="64DA442C" w14:textId="1FDFB822" w:rsidR="00776A97" w:rsidRPr="006B605E" w:rsidRDefault="005F3C86" w:rsidP="00912F25">
      <w:pPr>
        <w:pStyle w:val="Bullet1"/>
        <w:numPr>
          <w:ilvl w:val="0"/>
          <w:numId w:val="14"/>
        </w:numPr>
        <w:rPr>
          <w:lang w:eastAsia="en-AU"/>
        </w:rPr>
      </w:pPr>
      <w:r w:rsidRPr="006B605E">
        <w:rPr>
          <w:lang w:eastAsia="en-AU"/>
        </w:rPr>
        <w:t xml:space="preserve">R&amp;D expenditure has increased </w:t>
      </w:r>
      <w:r w:rsidR="00D947CD" w:rsidRPr="006B605E">
        <w:rPr>
          <w:lang w:eastAsia="en-AU"/>
        </w:rPr>
        <w:t xml:space="preserve">approximately $800 million increase </w:t>
      </w:r>
      <w:r w:rsidRPr="006B605E">
        <w:rPr>
          <w:lang w:eastAsia="en-AU"/>
        </w:rPr>
        <w:t xml:space="preserve">since the 2019-20 income period. </w:t>
      </w:r>
    </w:p>
    <w:p w14:paraId="5B52C5C0" w14:textId="77777777" w:rsidR="005F3C86" w:rsidRPr="006B605E" w:rsidRDefault="005F3C86" w:rsidP="00912F25">
      <w:pPr>
        <w:pStyle w:val="Bullet1"/>
        <w:numPr>
          <w:ilvl w:val="0"/>
          <w:numId w:val="14"/>
        </w:numPr>
        <w:rPr>
          <w:lang w:eastAsia="en-AU"/>
        </w:rPr>
      </w:pPr>
      <w:r w:rsidRPr="006B605E">
        <w:rPr>
          <w:lang w:eastAsia="en-AU"/>
        </w:rPr>
        <w:t xml:space="preserve">Small-to-Medium Enterprises (SMEs) with a turnover of less than $20 million comprised </w:t>
      </w:r>
      <w:proofErr w:type="gramStart"/>
      <w:r w:rsidRPr="006B605E">
        <w:rPr>
          <w:lang w:eastAsia="en-AU"/>
        </w:rPr>
        <w:t>the majority of</w:t>
      </w:r>
      <w:proofErr w:type="gramEnd"/>
      <w:r w:rsidRPr="006B605E">
        <w:rPr>
          <w:lang w:eastAsia="en-AU"/>
        </w:rPr>
        <w:t xml:space="preserve"> registrations (88%) and accounted for slightly less more than half (51%) of R&amp;D expenditure. </w:t>
      </w:r>
    </w:p>
    <w:p w14:paraId="11F77D83" w14:textId="1988E5B3" w:rsidR="005F3C86" w:rsidRPr="006B605E" w:rsidRDefault="005F3C86" w:rsidP="00912F25">
      <w:pPr>
        <w:pStyle w:val="Bullet1"/>
        <w:numPr>
          <w:ilvl w:val="0"/>
          <w:numId w:val="14"/>
        </w:numPr>
        <w:rPr>
          <w:lang w:eastAsia="en-AU"/>
        </w:rPr>
      </w:pPr>
      <w:r w:rsidRPr="006B605E">
        <w:rPr>
          <w:lang w:eastAsia="en-AU"/>
        </w:rPr>
        <w:t>Large companies with turnover greater than $20 million comprised 12% of registrations and 48% of R&amp;D expenditure.</w:t>
      </w:r>
    </w:p>
    <w:p w14:paraId="51650515" w14:textId="77777777" w:rsidR="005F3C86" w:rsidRPr="006B605E" w:rsidRDefault="005F3C86" w:rsidP="00912F25">
      <w:pPr>
        <w:pStyle w:val="Bullet1"/>
        <w:numPr>
          <w:ilvl w:val="0"/>
          <w:numId w:val="14"/>
        </w:numPr>
        <w:rPr>
          <w:lang w:eastAsia="en-AU"/>
        </w:rPr>
      </w:pPr>
      <w:r w:rsidRPr="006B605E">
        <w:rPr>
          <w:lang w:eastAsia="en-AU"/>
        </w:rPr>
        <w:t xml:space="preserve">ICT registrations constituted 45% of all R&amp;D Registrations and 37% of R&amp;D Expenditure in 2019-20. </w:t>
      </w:r>
    </w:p>
    <w:p w14:paraId="33E0C7FD" w14:textId="15B8EF8E" w:rsidR="005F3C86" w:rsidRPr="006B605E" w:rsidRDefault="005F3C86" w:rsidP="00912F25">
      <w:pPr>
        <w:pStyle w:val="Bullet1"/>
        <w:numPr>
          <w:ilvl w:val="0"/>
          <w:numId w:val="14"/>
        </w:numPr>
        <w:rPr>
          <w:lang w:eastAsia="en-AU"/>
        </w:rPr>
      </w:pPr>
      <w:r w:rsidRPr="006B605E">
        <w:rPr>
          <w:lang w:eastAsia="en-AU"/>
        </w:rPr>
        <w:t xml:space="preserve">Registrations from the services sector constituted 53% of all R&amp;D expenditure, with the manufacturing sector comprising 30%. </w:t>
      </w:r>
    </w:p>
    <w:p w14:paraId="1C8FEEDF" w14:textId="651F0243" w:rsidR="00D947CD" w:rsidRPr="00BC302C" w:rsidRDefault="00D947CD" w:rsidP="00D947CD">
      <w:pPr>
        <w:pStyle w:val="Heading3"/>
      </w:pPr>
      <w:r>
        <w:t xml:space="preserve">2.5 Litigation insights </w:t>
      </w:r>
    </w:p>
    <w:p w14:paraId="58CB9649" w14:textId="77777777" w:rsidR="00D947CD" w:rsidRDefault="00D947CD" w:rsidP="005D60E9">
      <w:pPr>
        <w:pStyle w:val="Heading4"/>
        <w:spacing w:before="0"/>
      </w:pPr>
      <w:r>
        <w:t>Determinations</w:t>
      </w:r>
    </w:p>
    <w:p w14:paraId="1E17B7F0" w14:textId="77777777" w:rsidR="00D1305E" w:rsidRPr="00D1305E" w:rsidRDefault="00D1305E" w:rsidP="00912F25">
      <w:pPr>
        <w:pStyle w:val="Bullet1"/>
        <w:numPr>
          <w:ilvl w:val="0"/>
          <w:numId w:val="14"/>
        </w:numPr>
        <w:rPr>
          <w:lang w:eastAsia="en-AU"/>
        </w:rPr>
      </w:pPr>
      <w:bookmarkStart w:id="5" w:name="_Hlk129342600"/>
      <w:r w:rsidRPr="00D1305E">
        <w:rPr>
          <w:lang w:eastAsia="en-AU"/>
        </w:rPr>
        <w:t>Over 121 applications have relied on the Industry Research and Development (Clinical Trials) Determination since it commenced on 1 April 2022, covering over 763 individual activities.</w:t>
      </w:r>
    </w:p>
    <w:p w14:paraId="0EF84210" w14:textId="77777777" w:rsidR="00D1305E" w:rsidRPr="00D1305E" w:rsidRDefault="00D1305E" w:rsidP="00912F25">
      <w:pPr>
        <w:pStyle w:val="Bullet1"/>
        <w:numPr>
          <w:ilvl w:val="0"/>
          <w:numId w:val="14"/>
        </w:numPr>
        <w:rPr>
          <w:lang w:eastAsia="en-AU"/>
        </w:rPr>
      </w:pPr>
      <w:r w:rsidRPr="00D1305E">
        <w:rPr>
          <w:lang w:eastAsia="en-AU"/>
        </w:rPr>
        <w:t>A determination framework is being established to support the development of future Determinations.</w:t>
      </w:r>
    </w:p>
    <w:p w14:paraId="650B2B6A" w14:textId="77777777" w:rsidR="00D1305E" w:rsidRPr="00D1305E" w:rsidRDefault="00D1305E" w:rsidP="00912F25">
      <w:pPr>
        <w:pStyle w:val="Bullet1"/>
        <w:numPr>
          <w:ilvl w:val="0"/>
          <w:numId w:val="14"/>
        </w:numPr>
        <w:rPr>
          <w:lang w:eastAsia="en-AU"/>
        </w:rPr>
      </w:pPr>
      <w:r w:rsidRPr="00D1305E">
        <w:rPr>
          <w:lang w:eastAsia="en-AU"/>
        </w:rPr>
        <w:t>Future determinations will:</w:t>
      </w:r>
    </w:p>
    <w:p w14:paraId="788D65E9" w14:textId="77777777" w:rsidR="00D1305E" w:rsidRPr="00D1305E" w:rsidRDefault="00D1305E" w:rsidP="00912F25">
      <w:pPr>
        <w:pStyle w:val="ListParagraph"/>
        <w:numPr>
          <w:ilvl w:val="1"/>
          <w:numId w:val="14"/>
        </w:numPr>
        <w:rPr>
          <w:color w:val="202020"/>
          <w:shd w:val="clear" w:color="auto" w:fill="FFFFFF"/>
        </w:rPr>
      </w:pPr>
      <w:r w:rsidRPr="00D1305E">
        <w:rPr>
          <w:color w:val="202020"/>
          <w:shd w:val="clear" w:color="auto" w:fill="FFFFFF"/>
        </w:rPr>
        <w:t>align with Government priorities</w:t>
      </w:r>
    </w:p>
    <w:p w14:paraId="638B84C4" w14:textId="77777777" w:rsidR="00D1305E" w:rsidRPr="00D1305E" w:rsidRDefault="00D1305E" w:rsidP="00912F25">
      <w:pPr>
        <w:pStyle w:val="ListParagraph"/>
        <w:numPr>
          <w:ilvl w:val="1"/>
          <w:numId w:val="14"/>
        </w:numPr>
        <w:rPr>
          <w:color w:val="202020"/>
          <w:shd w:val="clear" w:color="auto" w:fill="FFFFFF"/>
        </w:rPr>
      </w:pPr>
      <w:r w:rsidRPr="00D1305E">
        <w:rPr>
          <w:color w:val="202020"/>
          <w:shd w:val="clear" w:color="auto" w:fill="FFFFFF"/>
        </w:rPr>
        <w:t xml:space="preserve">demonstrate high value to the economy </w:t>
      </w:r>
    </w:p>
    <w:p w14:paraId="7A714D68" w14:textId="77777777" w:rsidR="00D1305E" w:rsidRPr="00D1305E" w:rsidRDefault="00D1305E" w:rsidP="00912F25">
      <w:pPr>
        <w:pStyle w:val="ListParagraph"/>
        <w:numPr>
          <w:ilvl w:val="1"/>
          <w:numId w:val="14"/>
        </w:numPr>
        <w:rPr>
          <w:color w:val="202020"/>
          <w:shd w:val="clear" w:color="auto" w:fill="FFFFFF"/>
        </w:rPr>
      </w:pPr>
      <w:r w:rsidRPr="00D1305E">
        <w:rPr>
          <w:color w:val="202020"/>
          <w:shd w:val="clear" w:color="auto" w:fill="FFFFFF"/>
        </w:rPr>
        <w:t>strengthen the intent of the program</w:t>
      </w:r>
    </w:p>
    <w:p w14:paraId="67B398CC" w14:textId="77777777" w:rsidR="00D1305E" w:rsidRPr="00D1305E" w:rsidRDefault="00D1305E" w:rsidP="00912F25">
      <w:pPr>
        <w:pStyle w:val="ListParagraph"/>
        <w:numPr>
          <w:ilvl w:val="1"/>
          <w:numId w:val="14"/>
        </w:numPr>
        <w:rPr>
          <w:color w:val="202020"/>
          <w:shd w:val="clear" w:color="auto" w:fill="FFFFFF"/>
        </w:rPr>
      </w:pPr>
      <w:r w:rsidRPr="00D1305E">
        <w:rPr>
          <w:color w:val="202020"/>
          <w:shd w:val="clear" w:color="auto" w:fill="FFFFFF"/>
        </w:rPr>
        <w:t>resolve uncertainty and provide clarity</w:t>
      </w:r>
    </w:p>
    <w:p w14:paraId="6FF9BA6D" w14:textId="77777777" w:rsidR="00D1305E" w:rsidRPr="00D1305E" w:rsidRDefault="00D1305E" w:rsidP="00912F25">
      <w:pPr>
        <w:pStyle w:val="ListParagraph"/>
        <w:numPr>
          <w:ilvl w:val="1"/>
          <w:numId w:val="14"/>
        </w:numPr>
        <w:rPr>
          <w:color w:val="202020"/>
          <w:shd w:val="clear" w:color="auto" w:fill="FFFFFF"/>
        </w:rPr>
      </w:pPr>
      <w:r w:rsidRPr="00D1305E">
        <w:rPr>
          <w:color w:val="202020"/>
          <w:shd w:val="clear" w:color="auto" w:fill="FFFFFF"/>
        </w:rPr>
        <w:t>deliver savings for applicants and for the administration of the program</w:t>
      </w:r>
    </w:p>
    <w:p w14:paraId="5A71CC26" w14:textId="77777777" w:rsidR="00D1305E" w:rsidRPr="00D1305E" w:rsidRDefault="00D1305E" w:rsidP="00912F25">
      <w:pPr>
        <w:pStyle w:val="ListParagraph"/>
        <w:numPr>
          <w:ilvl w:val="1"/>
          <w:numId w:val="14"/>
        </w:numPr>
        <w:rPr>
          <w:color w:val="202020"/>
          <w:shd w:val="clear" w:color="auto" w:fill="FFFFFF"/>
        </w:rPr>
      </w:pPr>
      <w:r w:rsidRPr="00D1305E">
        <w:rPr>
          <w:color w:val="202020"/>
          <w:shd w:val="clear" w:color="auto" w:fill="FFFFFF"/>
        </w:rPr>
        <w:t>be supported by data</w:t>
      </w:r>
    </w:p>
    <w:bookmarkEnd w:id="5"/>
    <w:p w14:paraId="0B3D1C2A" w14:textId="77777777" w:rsidR="00D947CD" w:rsidRDefault="00D947CD" w:rsidP="005D60E9">
      <w:pPr>
        <w:pStyle w:val="Heading4"/>
        <w:spacing w:before="120"/>
      </w:pPr>
      <w:r>
        <w:t>Approach to litigation</w:t>
      </w:r>
    </w:p>
    <w:p w14:paraId="5738EEF6" w14:textId="61EF5988" w:rsidR="006B605E" w:rsidRDefault="006B605E" w:rsidP="00912F25">
      <w:pPr>
        <w:pStyle w:val="Bullet1"/>
        <w:numPr>
          <w:ilvl w:val="0"/>
          <w:numId w:val="14"/>
        </w:numPr>
        <w:rPr>
          <w:lang w:eastAsia="en-AU"/>
        </w:rPr>
      </w:pPr>
      <w:r>
        <w:rPr>
          <w:lang w:eastAsia="en-AU"/>
        </w:rPr>
        <w:t>Industry Innovation and Science Australia’s (</w:t>
      </w:r>
      <w:r w:rsidRPr="006B605E">
        <w:rPr>
          <w:lang w:eastAsia="en-AU"/>
        </w:rPr>
        <w:t>IISA</w:t>
      </w:r>
      <w:r>
        <w:rPr>
          <w:lang w:eastAsia="en-AU"/>
        </w:rPr>
        <w:t xml:space="preserve">) litigation approach is to assist the Administrative Appeals Tribunal (AAT) to reach the correct or preferable decision on the facts and information before it. </w:t>
      </w:r>
    </w:p>
    <w:p w14:paraId="4A187131" w14:textId="77777777" w:rsidR="00D1305E" w:rsidRDefault="00D1305E" w:rsidP="00912F25">
      <w:pPr>
        <w:pStyle w:val="Bullet1"/>
        <w:numPr>
          <w:ilvl w:val="0"/>
          <w:numId w:val="14"/>
        </w:numPr>
        <w:rPr>
          <w:lang w:eastAsia="en-AU"/>
        </w:rPr>
      </w:pPr>
      <w:r>
        <w:rPr>
          <w:lang w:eastAsia="en-AU"/>
        </w:rPr>
        <w:t>Companies are encouraged to provide further information or evidence early in the AAT review process so that IISA can review its position on eligibility of the claimed activities.</w:t>
      </w:r>
    </w:p>
    <w:p w14:paraId="4DA3EBF1" w14:textId="77777777" w:rsidR="00D1305E" w:rsidRDefault="006B605E" w:rsidP="00912F25">
      <w:pPr>
        <w:pStyle w:val="Bullet1"/>
        <w:numPr>
          <w:ilvl w:val="0"/>
          <w:numId w:val="14"/>
        </w:numPr>
        <w:rPr>
          <w:lang w:eastAsia="en-AU"/>
        </w:rPr>
      </w:pPr>
      <w:r>
        <w:rPr>
          <w:lang w:eastAsia="en-AU"/>
        </w:rPr>
        <w:t>Should the IISA come to a view that there are grounds to reverse a decision under review in whole or in part, it will act quickly to reach agreement with the applicant to resolve the matter.</w:t>
      </w:r>
    </w:p>
    <w:p w14:paraId="6CCC192E" w14:textId="0E565406" w:rsidR="00D1305E" w:rsidRDefault="00D1305E" w:rsidP="00912F25">
      <w:pPr>
        <w:pStyle w:val="Bullet1"/>
        <w:numPr>
          <w:ilvl w:val="0"/>
          <w:numId w:val="14"/>
        </w:numPr>
      </w:pPr>
      <w:r>
        <w:t xml:space="preserve">While the IISA considers AAT decisions when forming policy positions, these decisions are not precedential as they are always based on the specific facts of a case and are not necessarily applicable to the program more broadly. AAT decisions are reviewed </w:t>
      </w:r>
      <w:proofErr w:type="gramStart"/>
      <w:r>
        <w:t>in light of</w:t>
      </w:r>
      <w:proofErr w:type="gramEnd"/>
      <w:r>
        <w:t xml:space="preserve"> internal policy and operations to build best practice administration.</w:t>
      </w:r>
    </w:p>
    <w:p w14:paraId="7E74B213" w14:textId="77777777" w:rsidR="00D1305E" w:rsidRDefault="00D1305E" w:rsidP="00912F25">
      <w:pPr>
        <w:pStyle w:val="Bullet1"/>
        <w:numPr>
          <w:ilvl w:val="0"/>
          <w:numId w:val="14"/>
        </w:numPr>
        <w:rPr>
          <w:lang w:eastAsia="en-AU"/>
        </w:rPr>
      </w:pPr>
      <w:r>
        <w:t xml:space="preserve">As </w:t>
      </w:r>
      <w:r>
        <w:rPr>
          <w:lang w:eastAsia="en-AU"/>
        </w:rPr>
        <w:t>evidence and record-keeping are key to the process, it is essential that all registrants keep contemporaneous records and evidence to support their claims. In the absence of any evidence, IISA may find it difficult to determine eligibility.</w:t>
      </w:r>
    </w:p>
    <w:p w14:paraId="3F829F3D" w14:textId="77777777" w:rsidR="00D1305E" w:rsidRDefault="00D1305E" w:rsidP="00912F25">
      <w:pPr>
        <w:pStyle w:val="Bullet1"/>
        <w:numPr>
          <w:ilvl w:val="0"/>
          <w:numId w:val="14"/>
        </w:numPr>
        <w:rPr>
          <w:lang w:eastAsia="en-AU"/>
        </w:rPr>
      </w:pPr>
      <w:r>
        <w:rPr>
          <w:lang w:eastAsia="en-AU"/>
        </w:rPr>
        <w:t xml:space="preserve">R&amp;D entities are encouraged to actively engage with IISA when involved in compliance activities. Early engagement can often lead to narrowing the issues in dispute and help to ascertain what records may be required to establish eligibility. </w:t>
      </w:r>
    </w:p>
    <w:p w14:paraId="374D1BF6" w14:textId="092B1B5C" w:rsidR="00D947CD" w:rsidRDefault="00D947CD" w:rsidP="00912F25">
      <w:pPr>
        <w:pStyle w:val="Heading3"/>
        <w:numPr>
          <w:ilvl w:val="1"/>
          <w:numId w:val="17"/>
        </w:numPr>
      </w:pPr>
      <w:r>
        <w:lastRenderedPageBreak/>
        <w:t xml:space="preserve">Policy update </w:t>
      </w:r>
    </w:p>
    <w:p w14:paraId="243688C1" w14:textId="39553805" w:rsidR="00D947CD" w:rsidRPr="00663193" w:rsidRDefault="00663193" w:rsidP="00912F25">
      <w:pPr>
        <w:pStyle w:val="ListParagraph"/>
        <w:numPr>
          <w:ilvl w:val="0"/>
          <w:numId w:val="8"/>
        </w:numPr>
        <w:ind w:left="426" w:hanging="426"/>
        <w:contextualSpacing w:val="0"/>
        <w:rPr>
          <w:color w:val="auto"/>
          <w:shd w:val="clear" w:color="auto" w:fill="FFFFFF"/>
        </w:rPr>
      </w:pPr>
      <w:r w:rsidRPr="005B794E">
        <w:rPr>
          <w:color w:val="auto"/>
          <w:shd w:val="clear" w:color="auto" w:fill="FFFFFF"/>
        </w:rPr>
        <w:t xml:space="preserve">The Government </w:t>
      </w:r>
      <w:r w:rsidR="00B719AF">
        <w:rPr>
          <w:color w:val="auto"/>
          <w:shd w:val="clear" w:color="auto" w:fill="FFFFFF"/>
        </w:rPr>
        <w:t>released</w:t>
      </w:r>
      <w:r w:rsidRPr="005B794E">
        <w:rPr>
          <w:color w:val="auto"/>
          <w:shd w:val="clear" w:color="auto" w:fill="FFFFFF"/>
        </w:rPr>
        <w:t xml:space="preserve"> the Board of Taxation (</w:t>
      </w:r>
      <w:proofErr w:type="spellStart"/>
      <w:r w:rsidRPr="005B794E">
        <w:rPr>
          <w:color w:val="auto"/>
          <w:shd w:val="clear" w:color="auto" w:fill="FFFFFF"/>
        </w:rPr>
        <w:t>BoT</w:t>
      </w:r>
      <w:proofErr w:type="spellEnd"/>
      <w:r w:rsidRPr="005B794E">
        <w:rPr>
          <w:color w:val="auto"/>
          <w:shd w:val="clear" w:color="auto" w:fill="FFFFFF"/>
        </w:rPr>
        <w:t>)’s Review of the R&amp;D Tax Incentive Dual Agency Administration Model report on 29 March 2022.</w:t>
      </w:r>
      <w:r>
        <w:rPr>
          <w:color w:val="auto"/>
          <w:shd w:val="clear" w:color="auto" w:fill="FFFFFF"/>
        </w:rPr>
        <w:t xml:space="preserve"> </w:t>
      </w:r>
      <w:r w:rsidRPr="00663193">
        <w:rPr>
          <w:color w:val="auto"/>
          <w:shd w:val="clear" w:color="auto" w:fill="FFFFFF"/>
        </w:rPr>
        <w:t>Re</w:t>
      </w:r>
      <w:r w:rsidR="00D947CD" w:rsidRPr="00663193">
        <w:rPr>
          <w:color w:val="auto"/>
          <w:shd w:val="clear" w:color="auto" w:fill="FFFFFF"/>
        </w:rPr>
        <w:t>commendations</w:t>
      </w:r>
      <w:r>
        <w:t xml:space="preserve"> </w:t>
      </w:r>
      <w:r w:rsidR="00D947CD">
        <w:t>includ</w:t>
      </w:r>
      <w:r>
        <w:t>ed</w:t>
      </w:r>
      <w:r w:rsidR="00D947CD">
        <w:t>:</w:t>
      </w:r>
    </w:p>
    <w:p w14:paraId="5B292C87" w14:textId="404F9553" w:rsidR="00D947CD" w:rsidRDefault="00663193" w:rsidP="00912F25">
      <w:pPr>
        <w:pStyle w:val="ListParagraph"/>
        <w:numPr>
          <w:ilvl w:val="1"/>
          <w:numId w:val="7"/>
        </w:numPr>
        <w:ind w:left="1434" w:hanging="357"/>
      </w:pPr>
      <w:r>
        <w:t>Reviewing how</w:t>
      </w:r>
      <w:r w:rsidR="00D947CD">
        <w:t xml:space="preserve"> the performance of the </w:t>
      </w:r>
      <w:r w:rsidR="0082349C">
        <w:t>R&amp;D</w:t>
      </w:r>
      <w:r w:rsidR="00D947CD">
        <w:t xml:space="preserve">TI </w:t>
      </w:r>
      <w:r>
        <w:t xml:space="preserve">is measured </w:t>
      </w:r>
      <w:r w:rsidR="00D947CD">
        <w:t xml:space="preserve">against its legislated objectives, especially </w:t>
      </w:r>
      <w:r>
        <w:t>regarding</w:t>
      </w:r>
      <w:r w:rsidR="00D947CD">
        <w:t xml:space="preserve"> additionality and </w:t>
      </w:r>
      <w:proofErr w:type="spellStart"/>
      <w:r w:rsidR="00D947CD">
        <w:t>spillover</w:t>
      </w:r>
      <w:proofErr w:type="spellEnd"/>
      <w:r w:rsidR="00D947CD">
        <w:t xml:space="preserve"> goals</w:t>
      </w:r>
    </w:p>
    <w:p w14:paraId="559E1DC5" w14:textId="207E6F62" w:rsidR="00D947CD" w:rsidRPr="00CD20BB" w:rsidRDefault="00663193" w:rsidP="00912F25">
      <w:pPr>
        <w:pStyle w:val="ListParagraph"/>
        <w:numPr>
          <w:ilvl w:val="1"/>
          <w:numId w:val="7"/>
        </w:numPr>
        <w:ind w:left="1434" w:hanging="357"/>
      </w:pPr>
      <w:r>
        <w:t xml:space="preserve">The improvement of </w:t>
      </w:r>
      <w:r w:rsidR="00D947CD">
        <w:t>information sharing between relevant agencies</w:t>
      </w:r>
    </w:p>
    <w:p w14:paraId="2DE8E988" w14:textId="7647296C" w:rsidR="00D947CD" w:rsidRPr="00663193" w:rsidRDefault="00663193" w:rsidP="00912F25">
      <w:pPr>
        <w:pStyle w:val="ListParagraph"/>
        <w:numPr>
          <w:ilvl w:val="0"/>
          <w:numId w:val="8"/>
        </w:numPr>
        <w:ind w:left="426" w:hanging="426"/>
        <w:contextualSpacing w:val="0"/>
        <w:rPr>
          <w:color w:val="auto"/>
          <w:shd w:val="clear" w:color="auto" w:fill="FFFFFF"/>
        </w:rPr>
      </w:pPr>
      <w:r w:rsidRPr="00663193">
        <w:rPr>
          <w:color w:val="auto"/>
          <w:shd w:val="clear" w:color="auto" w:fill="FFFFFF"/>
        </w:rPr>
        <w:t xml:space="preserve">An additional policy focus is determining how </w:t>
      </w:r>
      <w:r w:rsidR="00D947CD" w:rsidRPr="00663193">
        <w:rPr>
          <w:color w:val="auto"/>
          <w:shd w:val="clear" w:color="auto" w:fill="FFFFFF"/>
        </w:rPr>
        <w:t xml:space="preserve">the </w:t>
      </w:r>
      <w:r w:rsidR="0082349C" w:rsidRPr="00663193">
        <w:rPr>
          <w:color w:val="auto"/>
          <w:shd w:val="clear" w:color="auto" w:fill="FFFFFF"/>
        </w:rPr>
        <w:t>R&amp;D</w:t>
      </w:r>
      <w:r w:rsidR="00D947CD" w:rsidRPr="00663193">
        <w:rPr>
          <w:color w:val="auto"/>
          <w:shd w:val="clear" w:color="auto" w:fill="FFFFFF"/>
        </w:rPr>
        <w:t>TI can better support business-research collaboration through both its Registered Research Service Provider (RSP) provisions and the number of innovation active businesses participating in the program, potentially through</w:t>
      </w:r>
      <w:r w:rsidRPr="00663193">
        <w:rPr>
          <w:color w:val="auto"/>
          <w:shd w:val="clear" w:color="auto" w:fill="FFFFFF"/>
        </w:rPr>
        <w:t>:</w:t>
      </w:r>
      <w:r w:rsidR="00D947CD" w:rsidRPr="00663193">
        <w:rPr>
          <w:color w:val="auto"/>
          <w:shd w:val="clear" w:color="auto" w:fill="FFFFFF"/>
        </w:rPr>
        <w:t xml:space="preserve"> </w:t>
      </w:r>
    </w:p>
    <w:p w14:paraId="5B53CD83" w14:textId="77777777" w:rsidR="00D947CD" w:rsidRDefault="00D947CD" w:rsidP="00912F25">
      <w:pPr>
        <w:pStyle w:val="ListParagraph"/>
        <w:numPr>
          <w:ilvl w:val="1"/>
          <w:numId w:val="7"/>
        </w:numPr>
        <w:ind w:left="1434" w:hanging="357"/>
      </w:pPr>
      <w:r>
        <w:t>Expanding cross-promotion with other programs</w:t>
      </w:r>
    </w:p>
    <w:p w14:paraId="390002E4" w14:textId="77777777" w:rsidR="00D947CD" w:rsidRDefault="00D947CD" w:rsidP="00912F25">
      <w:pPr>
        <w:pStyle w:val="ListParagraph"/>
        <w:numPr>
          <w:ilvl w:val="1"/>
          <w:numId w:val="7"/>
        </w:numPr>
        <w:ind w:left="1434" w:hanging="357"/>
      </w:pPr>
      <w:r>
        <w:t>Improving website offerings</w:t>
      </w:r>
    </w:p>
    <w:p w14:paraId="507BB8AC" w14:textId="77777777" w:rsidR="00D947CD" w:rsidRDefault="00D947CD" w:rsidP="00912F25">
      <w:pPr>
        <w:pStyle w:val="ListParagraph"/>
        <w:numPr>
          <w:ilvl w:val="1"/>
          <w:numId w:val="7"/>
        </w:numPr>
        <w:ind w:left="1434" w:hanging="357"/>
      </w:pPr>
      <w:r>
        <w:t>Other outreach, engagement, and communication services</w:t>
      </w:r>
    </w:p>
    <w:p w14:paraId="56292624" w14:textId="506A4229" w:rsidR="00D947CD" w:rsidRDefault="00D947CD" w:rsidP="00912F25">
      <w:pPr>
        <w:pStyle w:val="ListParagraph"/>
        <w:numPr>
          <w:ilvl w:val="1"/>
          <w:numId w:val="7"/>
        </w:numPr>
        <w:ind w:left="1434" w:hanging="357"/>
      </w:pPr>
      <w:r>
        <w:t>Improved linkages with other initiatives</w:t>
      </w:r>
    </w:p>
    <w:p w14:paraId="03A91025" w14:textId="77777777" w:rsidR="00D947CD" w:rsidRDefault="00D947CD" w:rsidP="00D947CD">
      <w:pPr>
        <w:pStyle w:val="Heading3"/>
      </w:pPr>
      <w:r>
        <w:t>2.7 Introduction of new managers</w:t>
      </w:r>
    </w:p>
    <w:p w14:paraId="07DCFF7C" w14:textId="209DB98D" w:rsidR="00D947CD" w:rsidRPr="00663193" w:rsidRDefault="004E178D" w:rsidP="00663193">
      <w:pPr>
        <w:rPr>
          <w:color w:val="auto"/>
          <w:shd w:val="clear" w:color="auto" w:fill="FFFFFF"/>
        </w:rPr>
      </w:pPr>
      <w:r>
        <w:t xml:space="preserve">New members of the R&amp;DTI Branch </w:t>
      </w:r>
      <w:r w:rsidR="00663193">
        <w:t xml:space="preserve">at DISR were introduced to attendees. </w:t>
      </w:r>
      <w:r w:rsidR="00D947CD" w:rsidRPr="00663193">
        <w:rPr>
          <w:color w:val="auto"/>
          <w:shd w:val="clear" w:color="auto" w:fill="FFFFFF"/>
        </w:rPr>
        <w:t xml:space="preserve">Elizabeth </w:t>
      </w:r>
      <w:r w:rsidR="0082349C" w:rsidRPr="00663193">
        <w:rPr>
          <w:color w:val="auto"/>
          <w:shd w:val="clear" w:color="auto" w:fill="FFFFFF"/>
        </w:rPr>
        <w:t xml:space="preserve">Minogue, </w:t>
      </w:r>
      <w:r w:rsidR="00663193" w:rsidRPr="00663193">
        <w:rPr>
          <w:color w:val="auto"/>
          <w:shd w:val="clear" w:color="auto" w:fill="FFFFFF"/>
        </w:rPr>
        <w:t>M</w:t>
      </w:r>
      <w:r w:rsidR="0082349C" w:rsidRPr="00663193">
        <w:rPr>
          <w:color w:val="auto"/>
          <w:shd w:val="clear" w:color="auto" w:fill="FFFFFF"/>
        </w:rPr>
        <w:t>anager of Governance and Stewardship</w:t>
      </w:r>
      <w:r w:rsidR="00663193">
        <w:rPr>
          <w:color w:val="auto"/>
          <w:shd w:val="clear" w:color="auto" w:fill="FFFFFF"/>
        </w:rPr>
        <w:t xml:space="preserve"> and </w:t>
      </w:r>
      <w:r w:rsidR="00D947CD" w:rsidRPr="00663193">
        <w:rPr>
          <w:color w:val="auto"/>
          <w:shd w:val="clear" w:color="auto" w:fill="FFFFFF"/>
        </w:rPr>
        <w:t>Rachel</w:t>
      </w:r>
      <w:r w:rsidR="0082349C" w:rsidRPr="00663193">
        <w:rPr>
          <w:color w:val="auto"/>
          <w:shd w:val="clear" w:color="auto" w:fill="FFFFFF"/>
        </w:rPr>
        <w:t xml:space="preserve"> Lawrence, </w:t>
      </w:r>
      <w:r w:rsidR="00663193" w:rsidRPr="00663193">
        <w:rPr>
          <w:color w:val="auto"/>
          <w:shd w:val="clear" w:color="auto" w:fill="FFFFFF"/>
        </w:rPr>
        <w:t>M</w:t>
      </w:r>
      <w:r w:rsidR="0082349C" w:rsidRPr="00663193">
        <w:rPr>
          <w:color w:val="auto"/>
          <w:shd w:val="clear" w:color="auto" w:fill="FFFFFF"/>
        </w:rPr>
        <w:t>anager of Business Support</w:t>
      </w:r>
    </w:p>
    <w:p w14:paraId="32148CE9" w14:textId="167CA01D" w:rsidR="00D947CD" w:rsidRDefault="00D947CD" w:rsidP="00D947CD">
      <w:pPr>
        <w:pStyle w:val="Heading2"/>
        <w:numPr>
          <w:ilvl w:val="0"/>
          <w:numId w:val="6"/>
        </w:numPr>
        <w:ind w:left="284" w:hanging="284"/>
      </w:pPr>
      <w:bookmarkStart w:id="6" w:name="_ATO_Update_–"/>
      <w:bookmarkEnd w:id="6"/>
      <w:r>
        <w:t xml:space="preserve">ATO Insights </w:t>
      </w:r>
    </w:p>
    <w:p w14:paraId="191E3880" w14:textId="686061EF" w:rsidR="00B719AF" w:rsidRPr="00663193" w:rsidRDefault="00B719AF" w:rsidP="00B719AF">
      <w:pPr>
        <w:pStyle w:val="ListParagraph"/>
        <w:numPr>
          <w:ilvl w:val="0"/>
          <w:numId w:val="6"/>
        </w:numPr>
        <w:contextualSpacing w:val="0"/>
        <w:rPr>
          <w:color w:val="auto"/>
          <w:shd w:val="clear" w:color="auto" w:fill="FFFFFF"/>
        </w:rPr>
      </w:pPr>
      <w:bookmarkStart w:id="7" w:name="_Research_Service_Providers"/>
      <w:bookmarkStart w:id="8" w:name="_Terms_of_Reference"/>
      <w:bookmarkStart w:id="9" w:name="_Litigation_Insights_–"/>
      <w:bookmarkStart w:id="10" w:name="_Hlk131580936"/>
      <w:bookmarkEnd w:id="7"/>
      <w:bookmarkEnd w:id="8"/>
      <w:bookmarkEnd w:id="9"/>
      <w:r>
        <w:t xml:space="preserve">Changes to legislation effective since 1 July 2022 have gone smoothly. General and specific advice requests on uniform clawback provision and feedstock adjustment have increased. Information on feedstock calculation is on the website and new guidance has been released which should help with responding to the advice requests. The ATO is happy to assist in reviewing feedstock </w:t>
      </w:r>
      <w:proofErr w:type="gramStart"/>
      <w:r>
        <w:t>calculations, but</w:t>
      </w:r>
      <w:proofErr w:type="gramEnd"/>
      <w:r>
        <w:t xml:space="preserve"> will require the actual calculations to be sent through so we can follow the methodology and provide feedback.</w:t>
      </w:r>
    </w:p>
    <w:p w14:paraId="376A42AB" w14:textId="77777777" w:rsidR="00B719AF" w:rsidRPr="00663193" w:rsidRDefault="00B719AF" w:rsidP="00B719AF">
      <w:pPr>
        <w:pStyle w:val="ListParagraph"/>
        <w:numPr>
          <w:ilvl w:val="0"/>
          <w:numId w:val="6"/>
        </w:numPr>
        <w:contextualSpacing w:val="0"/>
        <w:rPr>
          <w:color w:val="auto"/>
          <w:shd w:val="clear" w:color="auto" w:fill="FFFFFF"/>
        </w:rPr>
      </w:pPr>
      <w:r>
        <w:t xml:space="preserve">An additional legislative change will occur after 1 July 2024. The ATO will publish R&amp;D claimant information for the 2022 </w:t>
      </w:r>
      <w:proofErr w:type="gramStart"/>
      <w:r>
        <w:t>year</w:t>
      </w:r>
      <w:proofErr w:type="gramEnd"/>
      <w:r>
        <w:t xml:space="preserve"> and this will be an ongoing annual publishing process. This will include R&amp;D entity name, ABN and R&amp;D notional deduction claimed less feedstock.</w:t>
      </w:r>
    </w:p>
    <w:bookmarkEnd w:id="10"/>
    <w:p w14:paraId="05ECCD62" w14:textId="1EA27473" w:rsidR="00D947CD" w:rsidRDefault="00D947CD" w:rsidP="00D947CD">
      <w:pPr>
        <w:pStyle w:val="Heading2"/>
        <w:numPr>
          <w:ilvl w:val="0"/>
          <w:numId w:val="6"/>
        </w:numPr>
        <w:ind w:left="284" w:hanging="284"/>
      </w:pPr>
      <w:r>
        <w:t xml:space="preserve">ATO Guidance updates </w:t>
      </w:r>
    </w:p>
    <w:p w14:paraId="3A9AB642" w14:textId="77777777" w:rsidR="00B719AF" w:rsidRPr="00663193" w:rsidRDefault="00B719AF" w:rsidP="00B719AF">
      <w:pPr>
        <w:pStyle w:val="ListParagraph"/>
        <w:numPr>
          <w:ilvl w:val="0"/>
          <w:numId w:val="8"/>
        </w:numPr>
        <w:ind w:left="426" w:hanging="426"/>
        <w:contextualSpacing w:val="0"/>
        <w:rPr>
          <w:color w:val="auto"/>
          <w:shd w:val="clear" w:color="auto" w:fill="FFFFFF"/>
        </w:rPr>
      </w:pPr>
      <w:bookmarkStart w:id="11" w:name="_Hlk131580958"/>
      <w:r w:rsidRPr="00663193">
        <w:rPr>
          <w:color w:val="auto"/>
          <w:shd w:val="clear" w:color="auto" w:fill="FFFFFF"/>
        </w:rPr>
        <w:t>The ATO website has been updated with new guidance content and improvements to website functionality. Further updates are ongoing with additional content to be released.</w:t>
      </w:r>
    </w:p>
    <w:p w14:paraId="5C4ED838" w14:textId="77777777" w:rsidR="00B719AF" w:rsidRDefault="00B719AF" w:rsidP="00B719AF">
      <w:pPr>
        <w:pStyle w:val="Bullet1"/>
        <w:numPr>
          <w:ilvl w:val="0"/>
          <w:numId w:val="8"/>
        </w:numPr>
      </w:pPr>
      <w:r>
        <w:t xml:space="preserve">Issues are arising with claims for payment to associates. Payments are </w:t>
      </w:r>
      <w:r w:rsidRPr="002E015E">
        <w:rPr>
          <w:u w:val="single"/>
        </w:rPr>
        <w:t>not</w:t>
      </w:r>
      <w:r>
        <w:t xml:space="preserve"> considered made when:</w:t>
      </w:r>
    </w:p>
    <w:p w14:paraId="57C9B8CE" w14:textId="77777777" w:rsidR="00B719AF" w:rsidRDefault="00B719AF" w:rsidP="00B719AF">
      <w:pPr>
        <w:pStyle w:val="Bullet1"/>
        <w:numPr>
          <w:ilvl w:val="3"/>
          <w:numId w:val="22"/>
        </w:numPr>
        <w:ind w:hanging="371"/>
      </w:pPr>
      <w:r>
        <w:t>payment is converted to a loan</w:t>
      </w:r>
    </w:p>
    <w:p w14:paraId="70C39638" w14:textId="77777777" w:rsidR="00B719AF" w:rsidRDefault="00B719AF" w:rsidP="00B719AF">
      <w:pPr>
        <w:pStyle w:val="Bullet1"/>
        <w:numPr>
          <w:ilvl w:val="3"/>
          <w:numId w:val="22"/>
        </w:numPr>
        <w:ind w:hanging="371"/>
      </w:pPr>
      <w:r>
        <w:t>‘</w:t>
      </w:r>
      <w:proofErr w:type="gramStart"/>
      <w:r>
        <w:t>round</w:t>
      </w:r>
      <w:proofErr w:type="gramEnd"/>
      <w:r>
        <w:t xml:space="preserve"> robin’ payments are made where payment is returned so the next payment can be made in a cyclical nature</w:t>
      </w:r>
    </w:p>
    <w:p w14:paraId="1A66C4F4" w14:textId="77777777" w:rsidR="00B719AF" w:rsidRDefault="00B719AF" w:rsidP="00B719AF">
      <w:pPr>
        <w:pStyle w:val="Bullet1"/>
        <w:numPr>
          <w:ilvl w:val="3"/>
          <w:numId w:val="22"/>
        </w:numPr>
        <w:ind w:hanging="371"/>
      </w:pPr>
      <w:r>
        <w:t>loans are being used as contingent payments where payment is expected after an anticipated future event (for example, listing on a stock exchange)</w:t>
      </w:r>
    </w:p>
    <w:p w14:paraId="739E799D" w14:textId="77777777" w:rsidR="00B719AF" w:rsidRDefault="00B719AF" w:rsidP="00B719AF">
      <w:pPr>
        <w:pStyle w:val="Bullet1"/>
        <w:numPr>
          <w:ilvl w:val="3"/>
          <w:numId w:val="22"/>
        </w:numPr>
        <w:ind w:hanging="371"/>
      </w:pPr>
      <w:r>
        <w:t>shares are being issued as payment, which is disallowed by TR 2008/5.</w:t>
      </w:r>
    </w:p>
    <w:p w14:paraId="21AC65FC" w14:textId="77777777" w:rsidR="00B719AF" w:rsidRPr="00663193" w:rsidRDefault="00B719AF" w:rsidP="00B719AF">
      <w:pPr>
        <w:pStyle w:val="ListParagraph"/>
        <w:numPr>
          <w:ilvl w:val="0"/>
          <w:numId w:val="8"/>
        </w:numPr>
        <w:ind w:left="426" w:hanging="426"/>
        <w:contextualSpacing w:val="0"/>
        <w:rPr>
          <w:color w:val="auto"/>
          <w:shd w:val="clear" w:color="auto" w:fill="FFFFFF"/>
        </w:rPr>
      </w:pPr>
      <w:r>
        <w:t>Another issue observed is the use of one apportionment rate for all overhead expenditure claims (for example, a percentage of the profit/loss statement). This is an estimate, correct calculation can only be used for overheads on R&amp;D and the most appropriate apportionment rate.</w:t>
      </w:r>
    </w:p>
    <w:p w14:paraId="6DD14864" w14:textId="77777777" w:rsidR="00B719AF" w:rsidRDefault="00B719AF" w:rsidP="00B719AF">
      <w:pPr>
        <w:pStyle w:val="ListParagraph"/>
        <w:numPr>
          <w:ilvl w:val="0"/>
          <w:numId w:val="8"/>
        </w:numPr>
        <w:ind w:left="426" w:hanging="426"/>
        <w:contextualSpacing w:val="0"/>
        <w:rPr>
          <w:color w:val="auto"/>
          <w:shd w:val="clear" w:color="auto" w:fill="FFFFFF"/>
        </w:rPr>
      </w:pPr>
      <w:r>
        <w:t xml:space="preserve">Record keeping remains a key issue for the program. </w:t>
      </w:r>
    </w:p>
    <w:p w14:paraId="10D307FC" w14:textId="77777777" w:rsidR="00B719AF" w:rsidRPr="00663193" w:rsidRDefault="00B719AF" w:rsidP="00B719AF">
      <w:pPr>
        <w:pStyle w:val="ListParagraph"/>
        <w:numPr>
          <w:ilvl w:val="0"/>
          <w:numId w:val="8"/>
        </w:numPr>
        <w:ind w:left="426" w:hanging="426"/>
        <w:contextualSpacing w:val="0"/>
        <w:rPr>
          <w:color w:val="auto"/>
          <w:shd w:val="clear" w:color="auto" w:fill="FFFFFF"/>
        </w:rPr>
      </w:pPr>
      <w:r w:rsidRPr="00663193">
        <w:rPr>
          <w:color w:val="auto"/>
          <w:shd w:val="clear" w:color="auto" w:fill="FFFFFF"/>
        </w:rPr>
        <w:t xml:space="preserve">The ATO offers support to companies and consultants in the program and is open to </w:t>
      </w:r>
      <w:r>
        <w:rPr>
          <w:color w:val="auto"/>
          <w:shd w:val="clear" w:color="auto" w:fill="FFFFFF"/>
        </w:rPr>
        <w:t>queries</w:t>
      </w:r>
      <w:r w:rsidRPr="00663193">
        <w:rPr>
          <w:color w:val="auto"/>
          <w:shd w:val="clear" w:color="auto" w:fill="FFFFFF"/>
        </w:rPr>
        <w:t xml:space="preserve">. </w:t>
      </w:r>
    </w:p>
    <w:bookmarkEnd w:id="11"/>
    <w:p w14:paraId="0067934A" w14:textId="77777777" w:rsidR="004E178D" w:rsidRPr="004E178D" w:rsidRDefault="004E178D" w:rsidP="004E178D"/>
    <w:p w14:paraId="688FDC84" w14:textId="6FB90B6B" w:rsidR="00D947CD" w:rsidRDefault="00D947CD" w:rsidP="00D947CD">
      <w:pPr>
        <w:pStyle w:val="Heading2"/>
        <w:numPr>
          <w:ilvl w:val="0"/>
          <w:numId w:val="6"/>
        </w:numPr>
        <w:tabs>
          <w:tab w:val="left" w:pos="284"/>
        </w:tabs>
        <w:ind w:left="0" w:firstLine="0"/>
      </w:pPr>
      <w:bookmarkStart w:id="12" w:name="_Advance_and_Overseas"/>
      <w:bookmarkEnd w:id="12"/>
      <w:r>
        <w:lastRenderedPageBreak/>
        <w:t xml:space="preserve">Compliance insights </w:t>
      </w:r>
    </w:p>
    <w:p w14:paraId="720BA02D" w14:textId="77777777" w:rsidR="00D947CD" w:rsidRDefault="00D947CD" w:rsidP="00D947CD">
      <w:pPr>
        <w:pStyle w:val="Heading3"/>
        <w:numPr>
          <w:ilvl w:val="1"/>
          <w:numId w:val="6"/>
        </w:numPr>
        <w:ind w:left="568" w:hanging="284"/>
        <w:rPr>
          <w:rFonts w:eastAsia="Times New Roman" w:cstheme="minorHAnsi"/>
          <w:lang w:eastAsia="en-AU"/>
        </w:rPr>
      </w:pPr>
      <w:r>
        <w:rPr>
          <w:rFonts w:eastAsia="Times New Roman" w:cstheme="minorHAnsi"/>
          <w:lang w:eastAsia="en-AU"/>
        </w:rPr>
        <w:t>Unknown outcome vs new knowledge</w:t>
      </w:r>
    </w:p>
    <w:p w14:paraId="4B5B151B" w14:textId="0CAC148C" w:rsidR="00663193" w:rsidRDefault="00663193" w:rsidP="00912F25">
      <w:pPr>
        <w:pStyle w:val="Bullet1"/>
        <w:numPr>
          <w:ilvl w:val="0"/>
          <w:numId w:val="9"/>
        </w:numPr>
      </w:pPr>
      <w:r>
        <w:t xml:space="preserve">R&amp;DTI entities </w:t>
      </w:r>
      <w:r w:rsidR="005945AB">
        <w:t>typically</w:t>
      </w:r>
      <w:r>
        <w:t xml:space="preserve"> conduct activities for the purpose of generating new knowledge in the form of new or improved materials, products, devices processes or services.</w:t>
      </w:r>
      <w:r w:rsidR="006E2A80">
        <w:t xml:space="preserve"> </w:t>
      </w:r>
    </w:p>
    <w:p w14:paraId="5CC8DB50" w14:textId="1FDA16DE" w:rsidR="00D947CD" w:rsidRDefault="006E2A80" w:rsidP="00912F25">
      <w:pPr>
        <w:pStyle w:val="Bullet1"/>
        <w:numPr>
          <w:ilvl w:val="0"/>
          <w:numId w:val="9"/>
        </w:numPr>
      </w:pPr>
      <w:r>
        <w:t>C</w:t>
      </w:r>
      <w:r w:rsidR="00D947CD">
        <w:t>onducting activities for th</w:t>
      </w:r>
      <w:r w:rsidR="00B82504">
        <w:t>is</w:t>
      </w:r>
      <w:r w:rsidR="00D947CD">
        <w:t xml:space="preserve"> purpose does not necessarily mean that the activities have an outcome that cannot be known or determined in advance </w:t>
      </w:r>
      <w:proofErr w:type="gramStart"/>
      <w:r w:rsidR="00D947CD">
        <w:t>on the basis of</w:t>
      </w:r>
      <w:proofErr w:type="gramEnd"/>
      <w:r w:rsidR="00D947CD">
        <w:t xml:space="preserve"> current knowledge, information and experience. </w:t>
      </w:r>
    </w:p>
    <w:p w14:paraId="156F38AA" w14:textId="77777777" w:rsidR="005945AB" w:rsidRDefault="005945AB" w:rsidP="00912F25">
      <w:pPr>
        <w:pStyle w:val="Bullet1"/>
        <w:numPr>
          <w:ilvl w:val="0"/>
          <w:numId w:val="9"/>
        </w:numPr>
      </w:pPr>
      <w:r>
        <w:t>R&amp;D entities must ensure that they have established that the</w:t>
      </w:r>
      <w:r w:rsidR="00D947CD">
        <w:t xml:space="preserve"> outcome being pursued</w:t>
      </w:r>
      <w:r>
        <w:t xml:space="preserve"> i</w:t>
      </w:r>
      <w:r w:rsidR="00D947CD">
        <w:t xml:space="preserve">s, on a world-wide basis, beyond the scope of competent professional expertise to predict. </w:t>
      </w:r>
    </w:p>
    <w:p w14:paraId="2092854C" w14:textId="3E8D5F07" w:rsidR="00D947CD" w:rsidRDefault="005945AB" w:rsidP="00912F25">
      <w:pPr>
        <w:pStyle w:val="Bullet1"/>
        <w:numPr>
          <w:ilvl w:val="0"/>
          <w:numId w:val="9"/>
        </w:numPr>
      </w:pPr>
      <w:r>
        <w:t xml:space="preserve">Records must be kept evidencing </w:t>
      </w:r>
      <w:r w:rsidR="00B82504">
        <w:t>the steps taken to establish this understanding</w:t>
      </w:r>
      <w:r>
        <w:t>, such as details of literature or resources reviewed or information on experts consulted.</w:t>
      </w:r>
    </w:p>
    <w:p w14:paraId="67910FA6" w14:textId="700AC768" w:rsidR="00B82504" w:rsidRDefault="00B82504" w:rsidP="00912F25">
      <w:pPr>
        <w:pStyle w:val="Bullet1"/>
        <w:numPr>
          <w:ilvl w:val="0"/>
          <w:numId w:val="10"/>
        </w:numPr>
      </w:pPr>
      <w:r>
        <w:t xml:space="preserve">When articulating the unknown outcome in the registration form, if there is insufficient space to </w:t>
      </w:r>
      <w:r w:rsidR="005B5271">
        <w:t xml:space="preserve">provide the required level of detail then the activity may need to be broken down further. </w:t>
      </w:r>
    </w:p>
    <w:p w14:paraId="560C51A6" w14:textId="23F6BB99" w:rsidR="005B5271" w:rsidRDefault="005B5271" w:rsidP="00912F25">
      <w:pPr>
        <w:pStyle w:val="Bullet1"/>
        <w:numPr>
          <w:ilvl w:val="1"/>
          <w:numId w:val="11"/>
        </w:numPr>
      </w:pPr>
      <w:bookmarkStart w:id="13" w:name="_Hlk129079836"/>
      <w:r>
        <w:t xml:space="preserve">DISR </w:t>
      </w:r>
      <w:r w:rsidR="00D947CD">
        <w:t>seek</w:t>
      </w:r>
      <w:r>
        <w:t>s</w:t>
      </w:r>
      <w:r w:rsidR="00D947CD">
        <w:t xml:space="preserve"> to understand the </w:t>
      </w:r>
      <w:r>
        <w:t xml:space="preserve">unknow </w:t>
      </w:r>
      <w:r w:rsidR="00D947CD">
        <w:t>outcome of each registered core activity</w:t>
      </w:r>
      <w:r>
        <w:t xml:space="preserve">. </w:t>
      </w:r>
    </w:p>
    <w:p w14:paraId="52DC450E" w14:textId="4C8538F6" w:rsidR="00D947CD" w:rsidRDefault="005B5271" w:rsidP="005B5271">
      <w:pPr>
        <w:pStyle w:val="Bullet1"/>
        <w:numPr>
          <w:ilvl w:val="1"/>
          <w:numId w:val="11"/>
        </w:numPr>
      </w:pPr>
      <w:r>
        <w:t>T</w:t>
      </w:r>
      <w:r w:rsidR="00D947CD">
        <w:t xml:space="preserve">he scientific uncertainty at the heart of an experiment </w:t>
      </w:r>
      <w:r>
        <w:t xml:space="preserve">can be unclear at the project level however is often easier to identify at the activity level. This approach is consistent with the </w:t>
      </w:r>
      <w:r w:rsidR="00D947CD">
        <w:t xml:space="preserve">legislation </w:t>
      </w:r>
      <w:r>
        <w:t xml:space="preserve">which </w:t>
      </w:r>
      <w:r w:rsidR="00D947CD">
        <w:t xml:space="preserve">refers to activities, not projects. </w:t>
      </w:r>
    </w:p>
    <w:p w14:paraId="6752142F" w14:textId="01065072" w:rsidR="00D947CD" w:rsidRDefault="005B5271" w:rsidP="00912F25">
      <w:pPr>
        <w:pStyle w:val="Bullet1"/>
        <w:numPr>
          <w:ilvl w:val="1"/>
          <w:numId w:val="11"/>
        </w:numPr>
      </w:pPr>
      <w:r>
        <w:t>If an activity does not mee</w:t>
      </w:r>
      <w:r w:rsidR="00FE1D45">
        <w:t>t</w:t>
      </w:r>
      <w:r>
        <w:t xml:space="preserve"> the unknown outcome requirement, it will be reviewed within the overall program of work and considered for eligibility as a supporting activity.</w:t>
      </w:r>
    </w:p>
    <w:bookmarkEnd w:id="13"/>
    <w:p w14:paraId="52DD30B4" w14:textId="77777777" w:rsidR="00D947CD" w:rsidRDefault="00D947CD" w:rsidP="00D947CD">
      <w:pPr>
        <w:pStyle w:val="Heading3"/>
        <w:numPr>
          <w:ilvl w:val="1"/>
          <w:numId w:val="6"/>
        </w:numPr>
        <w:ind w:left="568" w:hanging="284"/>
        <w:rPr>
          <w:rFonts w:eastAsia="Times New Roman" w:cstheme="minorHAnsi"/>
          <w:lang w:eastAsia="en-AU"/>
        </w:rPr>
      </w:pPr>
      <w:r>
        <w:rPr>
          <w:rFonts w:eastAsia="Times New Roman" w:cstheme="minorHAnsi"/>
          <w:lang w:eastAsia="en-AU"/>
        </w:rPr>
        <w:t>Competent professional</w:t>
      </w:r>
    </w:p>
    <w:p w14:paraId="11DF733C" w14:textId="04A28290" w:rsidR="00D947CD" w:rsidRDefault="005B5271" w:rsidP="003C43D4">
      <w:pPr>
        <w:pStyle w:val="Bullet1"/>
        <w:numPr>
          <w:ilvl w:val="0"/>
          <w:numId w:val="12"/>
        </w:numPr>
      </w:pPr>
      <w:r>
        <w:t>Competent professional is a notional concept</w:t>
      </w:r>
      <w:r w:rsidR="00C74004">
        <w:t xml:space="preserve"> describing a</w:t>
      </w:r>
      <w:r w:rsidR="00D947CD" w:rsidRPr="00BA3938">
        <w:t xml:space="preserve"> hypothetical person who has access to the knowledge, skills and qualifications needed to demonstrate expertise in an appropriate field. </w:t>
      </w:r>
      <w:r w:rsidR="00C74004">
        <w:t xml:space="preserve">Having kept up with their </w:t>
      </w:r>
      <w:r w:rsidR="00D947CD">
        <w:t>continuing professional development</w:t>
      </w:r>
      <w:r w:rsidR="00C74004">
        <w:t xml:space="preserve"> they have </w:t>
      </w:r>
      <w:r w:rsidR="00D947CD" w:rsidRPr="00BA3938">
        <w:t xml:space="preserve">access to </w:t>
      </w:r>
      <w:proofErr w:type="gramStart"/>
      <w:r w:rsidR="00D947CD" w:rsidRPr="00BA3938">
        <w:t>all of</w:t>
      </w:r>
      <w:proofErr w:type="gramEnd"/>
      <w:r w:rsidR="00D947CD" w:rsidRPr="00BA3938">
        <w:t xml:space="preserve"> the current knowledge available in the relevant field from anywhere in the world, provided that the information or experience is publicly available or reasonably accessible.</w:t>
      </w:r>
    </w:p>
    <w:p w14:paraId="697770A1" w14:textId="49849F12" w:rsidR="00927D3A" w:rsidRPr="00BA3938" w:rsidRDefault="00927D3A" w:rsidP="00927D3A">
      <w:pPr>
        <w:pStyle w:val="Bullet1"/>
        <w:numPr>
          <w:ilvl w:val="0"/>
          <w:numId w:val="12"/>
        </w:numPr>
      </w:pPr>
      <w:r>
        <w:t>Proprietary knowledge and expertise, that is restricted by N</w:t>
      </w:r>
      <w:r w:rsidR="00584CFD">
        <w:t>D</w:t>
      </w:r>
      <w:r>
        <w:t xml:space="preserve">As and other intellectual property protection measures would not be considered publicly available or reasonably accessible.  </w:t>
      </w:r>
    </w:p>
    <w:p w14:paraId="555F5274" w14:textId="77777777" w:rsidR="00C74004" w:rsidRDefault="00C74004" w:rsidP="00C74004">
      <w:pPr>
        <w:pStyle w:val="Bullet1"/>
        <w:numPr>
          <w:ilvl w:val="0"/>
          <w:numId w:val="12"/>
        </w:numPr>
      </w:pPr>
      <w:r>
        <w:t>In cases where a staff member within the R&amp;D entity is the pre-eminent authority in a field,</w:t>
      </w:r>
      <w:r w:rsidRPr="00BC176A">
        <w:t xml:space="preserve"> </w:t>
      </w:r>
      <w:proofErr w:type="gramStart"/>
      <w:r w:rsidRPr="00BC176A">
        <w:t>records</w:t>
      </w:r>
      <w:proofErr w:type="gramEnd"/>
      <w:r>
        <w:t xml:space="preserve"> or </w:t>
      </w:r>
      <w:r w:rsidRPr="00BC176A">
        <w:t>evidence of t</w:t>
      </w:r>
      <w:r>
        <w:t>his is</w:t>
      </w:r>
      <w:r w:rsidRPr="00BC176A">
        <w:t xml:space="preserve"> compelling</w:t>
      </w:r>
      <w:r>
        <w:t xml:space="preserve">. This could include </w:t>
      </w:r>
      <w:r w:rsidRPr="00BC176A">
        <w:t>presentations to industry associations</w:t>
      </w:r>
      <w:r>
        <w:t xml:space="preserve"> or published papers. </w:t>
      </w:r>
    </w:p>
    <w:p w14:paraId="44546D42" w14:textId="6F48F36F" w:rsidR="00D947CD" w:rsidRDefault="00C74004" w:rsidP="00C74004">
      <w:pPr>
        <w:pStyle w:val="Bullet1"/>
        <w:numPr>
          <w:ilvl w:val="0"/>
          <w:numId w:val="12"/>
        </w:numPr>
      </w:pPr>
      <w:r>
        <w:t>This staff member will need to e</w:t>
      </w:r>
      <w:r w:rsidR="00D947CD">
        <w:t>vidence that th</w:t>
      </w:r>
      <w:r>
        <w:t>ey have</w:t>
      </w:r>
      <w:r w:rsidR="00D947CD">
        <w:t xml:space="preserve"> used their own knowledge and </w:t>
      </w:r>
      <w:r>
        <w:t>expertise and</w:t>
      </w:r>
      <w:r w:rsidR="00D947CD">
        <w:t xml:space="preserve"> sought out the knowledge and expertise of others to establish that the only way to </w:t>
      </w:r>
      <w:r>
        <w:t>determine the outcome of the hypothesis is to</w:t>
      </w:r>
      <w:r w:rsidR="00D947CD">
        <w:t xml:space="preserve"> conduct scientific experimentation</w:t>
      </w:r>
      <w:r>
        <w:t>.</w:t>
      </w:r>
    </w:p>
    <w:p w14:paraId="5318BE58" w14:textId="5BEFA002" w:rsidR="00D947CD" w:rsidRDefault="00D947CD" w:rsidP="00D947CD">
      <w:pPr>
        <w:pStyle w:val="Heading2"/>
        <w:numPr>
          <w:ilvl w:val="0"/>
          <w:numId w:val="6"/>
        </w:numPr>
        <w:tabs>
          <w:tab w:val="left" w:pos="284"/>
        </w:tabs>
        <w:ind w:left="0" w:firstLine="0"/>
      </w:pPr>
      <w:r>
        <w:t xml:space="preserve">Digital Games Tax Offset </w:t>
      </w:r>
    </w:p>
    <w:p w14:paraId="706C22E1" w14:textId="052EC070" w:rsidR="00B949A5" w:rsidRDefault="00E7345D" w:rsidP="0030396A">
      <w:pPr>
        <w:spacing w:before="0"/>
      </w:pPr>
      <w:r>
        <w:t xml:space="preserve">Legislation for </w:t>
      </w:r>
      <w:r w:rsidR="00B949A5" w:rsidRPr="00DE2427">
        <w:t>T</w:t>
      </w:r>
      <w:r w:rsidR="00B949A5">
        <w:t xml:space="preserve">he </w:t>
      </w:r>
      <w:r w:rsidR="0036297E">
        <w:t xml:space="preserve">Digital Games Tax Offset </w:t>
      </w:r>
      <w:r w:rsidR="00B949A5">
        <w:t xml:space="preserve">(DGTO) is </w:t>
      </w:r>
      <w:r w:rsidR="00927D3A">
        <w:t xml:space="preserve">currently before </w:t>
      </w:r>
      <w:r w:rsidR="00B949A5">
        <w:t>Parliament</w:t>
      </w:r>
      <w:r w:rsidR="00DE2427">
        <w:t xml:space="preserve"> and</w:t>
      </w:r>
      <w:r w:rsidR="00B949A5">
        <w:t xml:space="preserve"> is subject to change</w:t>
      </w:r>
      <w:r>
        <w:t xml:space="preserve">. This information is </w:t>
      </w:r>
      <w:r w:rsidR="00DE2427">
        <w:t>provisional only.</w:t>
      </w:r>
      <w:r w:rsidR="001F7059">
        <w:t xml:space="preserve"> The program will be established under Division 378 of the </w:t>
      </w:r>
      <w:r w:rsidR="00AA1DE9" w:rsidRPr="00AA1DE9">
        <w:rPr>
          <w:i/>
          <w:iCs/>
        </w:rPr>
        <w:t>I</w:t>
      </w:r>
      <w:r w:rsidR="001F7059" w:rsidRPr="00AA1DE9">
        <w:rPr>
          <w:i/>
          <w:iCs/>
        </w:rPr>
        <w:t>ncome Tax Assessment Act 1997</w:t>
      </w:r>
      <w:r w:rsidR="001F7059">
        <w:t>.</w:t>
      </w:r>
    </w:p>
    <w:p w14:paraId="245906C0" w14:textId="219C19EC" w:rsidR="0030396A" w:rsidRDefault="0030396A" w:rsidP="001F7059">
      <w:pPr>
        <w:pStyle w:val="ListParagraph"/>
        <w:numPr>
          <w:ilvl w:val="0"/>
          <w:numId w:val="13"/>
        </w:numPr>
        <w:spacing w:before="0"/>
        <w:contextualSpacing w:val="0"/>
      </w:pPr>
      <w:r>
        <w:t>Penelope Sherburn from Digital Games and Business Development, Office of the Arts provided an overview of the program and advised that the DGTO is:</w:t>
      </w:r>
    </w:p>
    <w:p w14:paraId="4425ECD8" w14:textId="35A7DCCF" w:rsidR="001F7059" w:rsidRDefault="001F7059" w:rsidP="001F7059">
      <w:pPr>
        <w:pStyle w:val="ListParagraph"/>
        <w:numPr>
          <w:ilvl w:val="1"/>
          <w:numId w:val="13"/>
        </w:numPr>
        <w:spacing w:before="0"/>
        <w:contextualSpacing w:val="0"/>
      </w:pPr>
      <w:r>
        <w:t>a</w:t>
      </w:r>
      <w:r w:rsidR="00DE2427">
        <w:t xml:space="preserve"> refundable tax offset</w:t>
      </w:r>
      <w:r w:rsidR="00CB1B59">
        <w:t xml:space="preserve"> </w:t>
      </w:r>
      <w:r w:rsidR="00DE2427">
        <w:t xml:space="preserve">designed to support the growth of the digital games industry in Australia by providing concessional tax treatment for Australian expenditure on developing </w:t>
      </w:r>
      <w:r w:rsidR="00A34FF1">
        <w:t>game</w:t>
      </w:r>
      <w:r w:rsidR="00756E3A">
        <w:t>s</w:t>
      </w:r>
      <w:r>
        <w:t xml:space="preserve"> </w:t>
      </w:r>
    </w:p>
    <w:p w14:paraId="48D834B2" w14:textId="03CED2C3" w:rsidR="00DE2427" w:rsidRDefault="001F7059" w:rsidP="001F7059">
      <w:pPr>
        <w:pStyle w:val="ListParagraph"/>
        <w:numPr>
          <w:ilvl w:val="1"/>
          <w:numId w:val="13"/>
        </w:numPr>
        <w:spacing w:before="0"/>
        <w:contextualSpacing w:val="0"/>
      </w:pPr>
      <w:r>
        <w:t>intended to</w:t>
      </w:r>
      <w:r w:rsidR="00DE2427">
        <w:t xml:space="preserve"> make Australia </w:t>
      </w:r>
      <w:r w:rsidR="00756E3A">
        <w:t xml:space="preserve">a </w:t>
      </w:r>
      <w:r w:rsidR="00DE2427">
        <w:t>more attractive and competitive destination for international digital games development</w:t>
      </w:r>
      <w:r w:rsidR="00756E3A">
        <w:t xml:space="preserve"> and </w:t>
      </w:r>
      <w:r w:rsidR="00DE2427">
        <w:t>support investment and highly skilled transferable jobs in Australia</w:t>
      </w:r>
    </w:p>
    <w:p w14:paraId="7137415B" w14:textId="70CFBEDE" w:rsidR="001F7059" w:rsidRDefault="001F7059" w:rsidP="001F7059">
      <w:pPr>
        <w:pStyle w:val="ListParagraph"/>
        <w:numPr>
          <w:ilvl w:val="1"/>
          <w:numId w:val="13"/>
        </w:numPr>
        <w:spacing w:before="0"/>
        <w:contextualSpacing w:val="0"/>
      </w:pPr>
      <w:r>
        <w:t>cl</w:t>
      </w:r>
      <w:r w:rsidR="00DE2427">
        <w:t xml:space="preserve">aimable for expenditure incurred from </w:t>
      </w:r>
      <w:r>
        <w:t>1</w:t>
      </w:r>
      <w:r w:rsidR="00DE2427">
        <w:t xml:space="preserve"> July 2022</w:t>
      </w:r>
      <w:r>
        <w:t xml:space="preserve">, providing </w:t>
      </w:r>
      <w:r w:rsidR="00A34FF1">
        <w:t>a 30% refundable tax offset</w:t>
      </w:r>
      <w:r>
        <w:t xml:space="preserve"> which </w:t>
      </w:r>
      <w:r w:rsidR="00DE2427">
        <w:t xml:space="preserve">will </w:t>
      </w:r>
      <w:r w:rsidR="00A34FF1">
        <w:t xml:space="preserve">be </w:t>
      </w:r>
      <w:r w:rsidR="00DE2427">
        <w:t>appl</w:t>
      </w:r>
      <w:r w:rsidR="00A34FF1">
        <w:t>ied</w:t>
      </w:r>
      <w:r w:rsidR="00DE2427">
        <w:t xml:space="preserve"> retrospectively</w:t>
      </w:r>
      <w:r>
        <w:t>.</w:t>
      </w:r>
    </w:p>
    <w:p w14:paraId="55F48FB8" w14:textId="77777777" w:rsidR="001F7059" w:rsidRDefault="001F7059" w:rsidP="00912F25">
      <w:pPr>
        <w:pStyle w:val="ListParagraph"/>
        <w:numPr>
          <w:ilvl w:val="0"/>
          <w:numId w:val="13"/>
        </w:numPr>
        <w:spacing w:before="0"/>
        <w:contextualSpacing w:val="0"/>
      </w:pPr>
      <w:r>
        <w:t>To be eligible, a business must:</w:t>
      </w:r>
    </w:p>
    <w:p w14:paraId="4C3C7AC5" w14:textId="6C95679E" w:rsidR="001F7059" w:rsidRDefault="001F7059" w:rsidP="001F7059">
      <w:pPr>
        <w:pStyle w:val="ListParagraph"/>
        <w:numPr>
          <w:ilvl w:val="1"/>
          <w:numId w:val="13"/>
        </w:numPr>
        <w:spacing w:before="0"/>
        <w:contextualSpacing w:val="0"/>
      </w:pPr>
      <w:r>
        <w:t xml:space="preserve">be an Australian resident company or a foreign resident company with a permanent establishment in Australia </w:t>
      </w:r>
    </w:p>
    <w:p w14:paraId="46AFBAC6" w14:textId="4DDFDBE6" w:rsidR="001F7059" w:rsidRDefault="001F7059" w:rsidP="001F7059">
      <w:pPr>
        <w:pStyle w:val="ListParagraph"/>
        <w:numPr>
          <w:ilvl w:val="1"/>
          <w:numId w:val="13"/>
        </w:numPr>
        <w:spacing w:before="0"/>
        <w:contextualSpacing w:val="0"/>
      </w:pPr>
      <w:r>
        <w:lastRenderedPageBreak/>
        <w:t>s</w:t>
      </w:r>
      <w:r w:rsidR="00DE2427">
        <w:t xml:space="preserve">pend a minimum of </w:t>
      </w:r>
      <w:r w:rsidR="00A34FF1">
        <w:t>$</w:t>
      </w:r>
      <w:r w:rsidR="00DE2427">
        <w:t xml:space="preserve">500,000 on </w:t>
      </w:r>
      <w:r w:rsidR="00A34FF1">
        <w:t>Q</w:t>
      </w:r>
      <w:r w:rsidR="00DE2427">
        <w:t xml:space="preserve">ualifying Australian </w:t>
      </w:r>
      <w:r w:rsidR="00A34FF1">
        <w:t>D</w:t>
      </w:r>
      <w:r w:rsidR="00DE2427">
        <w:t xml:space="preserve">evelopment </w:t>
      </w:r>
      <w:r w:rsidR="00A34FF1">
        <w:t>E</w:t>
      </w:r>
      <w:r w:rsidR="00DE2427">
        <w:t>xpenditure</w:t>
      </w:r>
      <w:r w:rsidR="00A34FF1">
        <w:t xml:space="preserve"> (</w:t>
      </w:r>
      <w:r w:rsidR="00DE2427">
        <w:t>QADE</w:t>
      </w:r>
      <w:r w:rsidR="00A34FF1">
        <w:t>)</w:t>
      </w:r>
      <w:r>
        <w:t>.</w:t>
      </w:r>
    </w:p>
    <w:p w14:paraId="5FDEF52B" w14:textId="1E4EF441" w:rsidR="003E096A" w:rsidRDefault="003E096A" w:rsidP="001F7059">
      <w:pPr>
        <w:pStyle w:val="ListParagraph"/>
        <w:numPr>
          <w:ilvl w:val="0"/>
          <w:numId w:val="13"/>
        </w:numPr>
        <w:spacing w:before="0"/>
        <w:contextualSpacing w:val="0"/>
      </w:pPr>
      <w:r>
        <w:t xml:space="preserve">An eligible company, or group of related eligible companies, can claim a maximum offset of $20 million rebate per year. </w:t>
      </w:r>
    </w:p>
    <w:p w14:paraId="6A32D89C" w14:textId="77777777" w:rsidR="001F7059" w:rsidRDefault="001F7059" w:rsidP="001F7059">
      <w:pPr>
        <w:pStyle w:val="ListParagraph"/>
        <w:numPr>
          <w:ilvl w:val="0"/>
          <w:numId w:val="13"/>
        </w:numPr>
        <w:spacing w:before="120"/>
        <w:contextualSpacing w:val="0"/>
      </w:pPr>
      <w:r>
        <w:t>There is no limit on how many claims a company can make in a single income year.</w:t>
      </w:r>
    </w:p>
    <w:p w14:paraId="6BE8BF34" w14:textId="62B9C6DC" w:rsidR="003E096A" w:rsidRDefault="003E096A" w:rsidP="00912F25">
      <w:pPr>
        <w:pStyle w:val="ListParagraph"/>
        <w:numPr>
          <w:ilvl w:val="0"/>
          <w:numId w:val="13"/>
        </w:numPr>
        <w:spacing w:before="0"/>
        <w:contextualSpacing w:val="0"/>
      </w:pPr>
      <w:r>
        <w:t xml:space="preserve">Eligible games must be publicly available through the </w:t>
      </w:r>
      <w:r w:rsidR="00756E3A">
        <w:t>i</w:t>
      </w:r>
      <w:r>
        <w:t xml:space="preserve">nternet and be made for educational or entertainment purposes. </w:t>
      </w:r>
    </w:p>
    <w:p w14:paraId="098411A4" w14:textId="49CA1F3C" w:rsidR="003E096A" w:rsidRDefault="001F7059" w:rsidP="00912F25">
      <w:pPr>
        <w:pStyle w:val="ListParagraph"/>
        <w:numPr>
          <w:ilvl w:val="0"/>
          <w:numId w:val="13"/>
        </w:numPr>
        <w:spacing w:before="0"/>
        <w:contextualSpacing w:val="0"/>
      </w:pPr>
      <w:r>
        <w:t>I</w:t>
      </w:r>
      <w:r w:rsidR="00756E3A">
        <w:t xml:space="preserve">neligible </w:t>
      </w:r>
      <w:r>
        <w:t xml:space="preserve">games </w:t>
      </w:r>
      <w:r w:rsidR="00756E3A">
        <w:t xml:space="preserve">include those which are designed for industrial, corporate, </w:t>
      </w:r>
      <w:proofErr w:type="gramStart"/>
      <w:r w:rsidR="00756E3A">
        <w:t>institutional</w:t>
      </w:r>
      <w:proofErr w:type="gramEnd"/>
      <w:r w:rsidR="00756E3A">
        <w:t xml:space="preserve"> or advertising purposes. </w:t>
      </w:r>
      <w:r w:rsidR="003E096A">
        <w:t xml:space="preserve">Games with gambling elements and </w:t>
      </w:r>
      <w:r w:rsidR="00A36E87">
        <w:t xml:space="preserve">those unable </w:t>
      </w:r>
      <w:r w:rsidR="003E096A">
        <w:t>to achieve classification by the classification Board are</w:t>
      </w:r>
      <w:r w:rsidR="00756E3A">
        <w:t xml:space="preserve"> also</w:t>
      </w:r>
      <w:r w:rsidR="003E096A">
        <w:t xml:space="preserve"> ineligible</w:t>
      </w:r>
      <w:r>
        <w:t>.</w:t>
      </w:r>
    </w:p>
    <w:p w14:paraId="1CCFC190" w14:textId="7B644F62" w:rsidR="004D68D0" w:rsidRPr="00F87EBB" w:rsidRDefault="004D68D0" w:rsidP="00912F25">
      <w:pPr>
        <w:pStyle w:val="ListParagraph"/>
        <w:numPr>
          <w:ilvl w:val="0"/>
          <w:numId w:val="13"/>
        </w:numPr>
        <w:spacing w:before="0"/>
        <w:contextualSpacing w:val="0"/>
      </w:pPr>
      <w:r w:rsidRPr="00F87EBB">
        <w:t xml:space="preserve">There are three certificates </w:t>
      </w:r>
      <w:r w:rsidR="00756E3A">
        <w:t xml:space="preserve">available </w:t>
      </w:r>
      <w:r w:rsidRPr="00F87EBB">
        <w:t>under the DGTO</w:t>
      </w:r>
      <w:r w:rsidR="001F7059">
        <w:t>:</w:t>
      </w:r>
    </w:p>
    <w:p w14:paraId="694182C2" w14:textId="2003EF02" w:rsidR="004D68D0" w:rsidRDefault="001F7059" w:rsidP="00912F25">
      <w:pPr>
        <w:pStyle w:val="ListParagraph"/>
        <w:numPr>
          <w:ilvl w:val="1"/>
          <w:numId w:val="13"/>
        </w:numPr>
        <w:spacing w:before="80"/>
        <w:ind w:left="924" w:hanging="357"/>
        <w:contextualSpacing w:val="0"/>
      </w:pPr>
      <w:r>
        <w:t>C</w:t>
      </w:r>
      <w:r w:rsidR="00756E3A">
        <w:t xml:space="preserve">ompletion </w:t>
      </w:r>
      <w:r w:rsidR="0036297E">
        <w:t>Certificate</w:t>
      </w:r>
      <w:r>
        <w:t>:</w:t>
      </w:r>
      <w:r w:rsidR="0036297E">
        <w:t xml:space="preserve"> </w:t>
      </w:r>
      <w:r w:rsidR="004D68D0">
        <w:t xml:space="preserve">for the development of a new game. </w:t>
      </w:r>
    </w:p>
    <w:p w14:paraId="03953C0E" w14:textId="51F4DB25" w:rsidR="004D68D0" w:rsidRDefault="00756E3A" w:rsidP="00912F25">
      <w:pPr>
        <w:pStyle w:val="ListParagraph"/>
        <w:numPr>
          <w:ilvl w:val="1"/>
          <w:numId w:val="13"/>
        </w:numPr>
        <w:spacing w:before="80"/>
        <w:ind w:left="924" w:hanging="357"/>
        <w:contextualSpacing w:val="0"/>
      </w:pPr>
      <w:r>
        <w:t xml:space="preserve">Porting </w:t>
      </w:r>
      <w:r w:rsidR="0036297E">
        <w:t>Certificate</w:t>
      </w:r>
      <w:r w:rsidR="001F7059">
        <w:t>:</w:t>
      </w:r>
      <w:r w:rsidR="0036297E">
        <w:t xml:space="preserve"> </w:t>
      </w:r>
      <w:r w:rsidR="004D68D0">
        <w:t xml:space="preserve">for the movement of a game from one platform to another.  </w:t>
      </w:r>
    </w:p>
    <w:p w14:paraId="26086A3D" w14:textId="3987F5DB" w:rsidR="00FB2436" w:rsidRDefault="00756E3A" w:rsidP="001F7059">
      <w:pPr>
        <w:pStyle w:val="ListParagraph"/>
        <w:numPr>
          <w:ilvl w:val="1"/>
          <w:numId w:val="13"/>
        </w:numPr>
        <w:spacing w:before="80"/>
        <w:ind w:left="924" w:hanging="357"/>
        <w:contextualSpacing w:val="0"/>
      </w:pPr>
      <w:r>
        <w:t xml:space="preserve">Ongoing </w:t>
      </w:r>
      <w:r w:rsidR="0036297E">
        <w:t>Work C</w:t>
      </w:r>
      <w:r w:rsidR="004D68D0">
        <w:t>ertificate</w:t>
      </w:r>
      <w:r w:rsidR="001F7059">
        <w:t>:</w:t>
      </w:r>
      <w:r w:rsidR="004D68D0">
        <w:t xml:space="preserve"> for ongoing post release work.  </w:t>
      </w:r>
    </w:p>
    <w:p w14:paraId="51492D92" w14:textId="157F8E19" w:rsidR="001F7059" w:rsidRDefault="00FB2436" w:rsidP="00912F25">
      <w:pPr>
        <w:pStyle w:val="ListParagraph"/>
        <w:numPr>
          <w:ilvl w:val="0"/>
          <w:numId w:val="13"/>
        </w:numPr>
        <w:spacing w:before="0"/>
        <w:contextualSpacing w:val="0"/>
      </w:pPr>
      <w:r>
        <w:t xml:space="preserve">Applications will be </w:t>
      </w:r>
      <w:r w:rsidR="001F7059">
        <w:t xml:space="preserve">submitted </w:t>
      </w:r>
      <w:r>
        <w:t>assessed by the Office for the Arts with the assistance of independent industry experts</w:t>
      </w:r>
      <w:r w:rsidR="001F7059">
        <w:t>.</w:t>
      </w:r>
    </w:p>
    <w:p w14:paraId="63262F0A" w14:textId="6A1D0CD9" w:rsidR="00A36E87" w:rsidRDefault="00A36E87" w:rsidP="00A36E87">
      <w:pPr>
        <w:pStyle w:val="ListParagraph"/>
        <w:numPr>
          <w:ilvl w:val="0"/>
          <w:numId w:val="13"/>
        </w:numPr>
        <w:spacing w:before="0"/>
        <w:contextualSpacing w:val="0"/>
      </w:pPr>
      <w:r>
        <w:t>Every application will be reviewed by the Digital Games Tax Offset Advisory Board. The membership of the board will comprise of one departmental executive and two industry members.</w:t>
      </w:r>
    </w:p>
    <w:p w14:paraId="0782781F" w14:textId="1A703FC7" w:rsidR="003E096A" w:rsidRDefault="003E096A" w:rsidP="00912F25">
      <w:pPr>
        <w:pStyle w:val="ListParagraph"/>
        <w:numPr>
          <w:ilvl w:val="0"/>
          <w:numId w:val="13"/>
        </w:numPr>
        <w:spacing w:before="0"/>
        <w:contextualSpacing w:val="0"/>
      </w:pPr>
      <w:r>
        <w:t>The Arts Minister will be responsible for issuing certificates of eligibility</w:t>
      </w:r>
      <w:r w:rsidR="001F7059">
        <w:t>,</w:t>
      </w:r>
      <w:r>
        <w:t xml:space="preserve"> including determining the amount of qualifying spend.</w:t>
      </w:r>
    </w:p>
    <w:p w14:paraId="2634708B" w14:textId="479D4E23" w:rsidR="001F7059" w:rsidRDefault="001F7059" w:rsidP="001F7059">
      <w:pPr>
        <w:pStyle w:val="ListParagraph"/>
        <w:numPr>
          <w:ilvl w:val="0"/>
          <w:numId w:val="13"/>
        </w:numPr>
        <w:spacing w:before="0"/>
        <w:contextualSpacing w:val="0"/>
      </w:pPr>
      <w:r>
        <w:t>Once issued, the certificate entitles the applicant company to claim the offset through its income tax return relevant to the year in which the certificate is issued.</w:t>
      </w:r>
    </w:p>
    <w:p w14:paraId="5E95F214" w14:textId="77777777" w:rsidR="001F7059" w:rsidRDefault="003E096A" w:rsidP="001F7059">
      <w:pPr>
        <w:pStyle w:val="ListParagraph"/>
        <w:numPr>
          <w:ilvl w:val="0"/>
          <w:numId w:val="13"/>
        </w:numPr>
        <w:spacing w:before="0"/>
        <w:contextualSpacing w:val="0"/>
      </w:pPr>
      <w:r w:rsidRPr="00F87EBB">
        <w:t xml:space="preserve">Qualifying </w:t>
      </w:r>
      <w:r w:rsidR="00FB2436" w:rsidRPr="00F87EBB">
        <w:t xml:space="preserve">Australian </w:t>
      </w:r>
      <w:r w:rsidRPr="00F87EBB">
        <w:t>Development Expenditure</w:t>
      </w:r>
      <w:r w:rsidR="001F7059">
        <w:t xml:space="preserve"> (QADE): </w:t>
      </w:r>
    </w:p>
    <w:p w14:paraId="166B311D" w14:textId="43CD603A" w:rsidR="001F7059" w:rsidRDefault="001F7059" w:rsidP="001F7059">
      <w:pPr>
        <w:pStyle w:val="ListParagraph"/>
        <w:numPr>
          <w:ilvl w:val="1"/>
          <w:numId w:val="13"/>
        </w:numPr>
        <w:spacing w:before="0"/>
        <w:contextualSpacing w:val="0"/>
      </w:pPr>
      <w:r>
        <w:t>d</w:t>
      </w:r>
      <w:r w:rsidR="00CB1B59">
        <w:t>evelopment expenditure incurred for</w:t>
      </w:r>
      <w:r w:rsidR="00235D78">
        <w:t>,</w:t>
      </w:r>
      <w:r w:rsidR="00CB1B59">
        <w:t xml:space="preserve"> or reasonably attributable to</w:t>
      </w:r>
      <w:r w:rsidR="00235D78">
        <w:t>,</w:t>
      </w:r>
      <w:r w:rsidR="00CB1B59">
        <w:t xml:space="preserve"> goods and services provided</w:t>
      </w:r>
      <w:r w:rsidR="00235D78">
        <w:t>,</w:t>
      </w:r>
      <w:r w:rsidR="00CB1B59">
        <w:t xml:space="preserve"> or acquired</w:t>
      </w:r>
      <w:r w:rsidR="00235D78">
        <w:t>,</w:t>
      </w:r>
      <w:r w:rsidR="00CB1B59">
        <w:t xml:space="preserve"> in Australia on the development of the game</w:t>
      </w:r>
      <w:r w:rsidR="00235D78">
        <w:t xml:space="preserve"> </w:t>
      </w:r>
    </w:p>
    <w:p w14:paraId="0112F1B4" w14:textId="77777777" w:rsidR="00A36E87" w:rsidRDefault="00235D78" w:rsidP="00A36E87">
      <w:pPr>
        <w:pStyle w:val="ListParagraph"/>
        <w:numPr>
          <w:ilvl w:val="1"/>
          <w:numId w:val="13"/>
        </w:numPr>
        <w:spacing w:before="0"/>
        <w:contextualSpacing w:val="0"/>
      </w:pPr>
      <w:r>
        <w:t>include</w:t>
      </w:r>
      <w:r w:rsidR="001F7059">
        <w:t>s</w:t>
      </w:r>
      <w:r w:rsidR="00CB1B59">
        <w:t xml:space="preserve"> salary and wages for employees and contractors who work on the game expenditure and research, prototyping, testing, debugging, collecting user data, </w:t>
      </w:r>
      <w:proofErr w:type="gramStart"/>
      <w:r w:rsidR="00CB1B59">
        <w:t>updating</w:t>
      </w:r>
      <w:proofErr w:type="gramEnd"/>
      <w:r w:rsidR="00CB1B59">
        <w:t xml:space="preserve"> and adapting the game, and achieving and maintaining classification.</w:t>
      </w:r>
    </w:p>
    <w:p w14:paraId="6DA5BC3F" w14:textId="7667A431" w:rsidR="00CB1B59" w:rsidRDefault="00CB1B59" w:rsidP="00A36E87">
      <w:pPr>
        <w:pStyle w:val="ListParagraph"/>
        <w:numPr>
          <w:ilvl w:val="0"/>
          <w:numId w:val="13"/>
        </w:numPr>
        <w:spacing w:before="0"/>
        <w:contextualSpacing w:val="0"/>
      </w:pPr>
      <w:r>
        <w:t>Costs, which are specifically excluded from qualifying spend as per the legislation are</w:t>
      </w:r>
      <w:r w:rsidR="00235D78">
        <w:t>:</w:t>
      </w:r>
    </w:p>
    <w:p w14:paraId="46C7D300" w14:textId="5C8D0B34" w:rsidR="00CB1B59" w:rsidRDefault="00CB1B59" w:rsidP="00A36E87">
      <w:pPr>
        <w:pStyle w:val="ListParagraph"/>
        <w:numPr>
          <w:ilvl w:val="1"/>
          <w:numId w:val="13"/>
        </w:numPr>
        <w:spacing w:before="0"/>
        <w:contextualSpacing w:val="0"/>
      </w:pPr>
      <w:r>
        <w:t>Any activities not directly related to the development of the game.</w:t>
      </w:r>
    </w:p>
    <w:p w14:paraId="75A54A71" w14:textId="64E020FF" w:rsidR="00CB1B59" w:rsidRDefault="00CB1B59" w:rsidP="00A36E87">
      <w:pPr>
        <w:pStyle w:val="ListParagraph"/>
        <w:numPr>
          <w:ilvl w:val="1"/>
          <w:numId w:val="13"/>
        </w:numPr>
        <w:spacing w:before="0"/>
        <w:contextualSpacing w:val="0"/>
      </w:pPr>
      <w:r>
        <w:t xml:space="preserve">General business overheads, travel and entertainment marketing and promotion, </w:t>
      </w:r>
      <w:proofErr w:type="gramStart"/>
      <w:r>
        <w:t>hardware</w:t>
      </w:r>
      <w:proofErr w:type="gramEnd"/>
      <w:r>
        <w:t xml:space="preserve"> and distribution.</w:t>
      </w:r>
    </w:p>
    <w:p w14:paraId="4E84ABA1" w14:textId="17CEE266" w:rsidR="00A36E87" w:rsidRDefault="00CB1B59" w:rsidP="00A36E87">
      <w:pPr>
        <w:pStyle w:val="ListParagraph"/>
        <w:numPr>
          <w:ilvl w:val="1"/>
          <w:numId w:val="13"/>
        </w:numPr>
        <w:spacing w:before="0"/>
        <w:contextualSpacing w:val="0"/>
      </w:pPr>
      <w:r>
        <w:t xml:space="preserve">Expenditure incurred in connection to a transaction where the applicant company and another party are associates </w:t>
      </w:r>
      <w:r w:rsidR="00A36E87">
        <w:t>as</w:t>
      </w:r>
      <w:r>
        <w:t xml:space="preserve"> defined in </w:t>
      </w:r>
      <w:r w:rsidR="00A36E87">
        <w:t xml:space="preserve">section 318 of the </w:t>
      </w:r>
      <w:r w:rsidR="00AA1DE9" w:rsidRPr="00440E0F">
        <w:rPr>
          <w:i/>
          <w:iCs/>
        </w:rPr>
        <w:t>Income Tax Assessment Act 1936</w:t>
      </w:r>
      <w:r w:rsidR="00AA1DE9">
        <w:t>.</w:t>
      </w:r>
    </w:p>
    <w:p w14:paraId="23BA4382" w14:textId="756E7ED8" w:rsidR="00CB1B59" w:rsidRDefault="00CB1B59" w:rsidP="00A36E87">
      <w:pPr>
        <w:pStyle w:val="ListParagraph"/>
        <w:numPr>
          <w:ilvl w:val="1"/>
          <w:numId w:val="13"/>
        </w:numPr>
        <w:spacing w:before="0"/>
        <w:contextualSpacing w:val="0"/>
      </w:pPr>
      <w:r>
        <w:t>There is a very limited exception to this rule</w:t>
      </w:r>
      <w:r w:rsidR="00A36E87">
        <w:t xml:space="preserve">, where </w:t>
      </w:r>
      <w:r>
        <w:t xml:space="preserve">influential employees perform work on the game. </w:t>
      </w:r>
      <w:r w:rsidR="00235D78">
        <w:t>T</w:t>
      </w:r>
      <w:r>
        <w:t xml:space="preserve">his exception </w:t>
      </w:r>
      <w:r w:rsidR="00235D78">
        <w:t>relates to</w:t>
      </w:r>
      <w:r>
        <w:t xml:space="preserve"> circumstances </w:t>
      </w:r>
      <w:r w:rsidR="00A36E87">
        <w:t xml:space="preserve">where </w:t>
      </w:r>
      <w:r>
        <w:t xml:space="preserve">a game studio founder or CEO is also </w:t>
      </w:r>
      <w:r w:rsidR="00A36E87">
        <w:t>a</w:t>
      </w:r>
      <w:r>
        <w:t xml:space="preserve"> lead developer</w:t>
      </w:r>
      <w:r w:rsidR="00A36E87">
        <w:t>.</w:t>
      </w:r>
    </w:p>
    <w:p w14:paraId="23CEF3F7" w14:textId="1C688988" w:rsidR="00CB1B59" w:rsidRDefault="00235D78" w:rsidP="00A36E87">
      <w:pPr>
        <w:pStyle w:val="ListParagraph"/>
        <w:numPr>
          <w:ilvl w:val="2"/>
          <w:numId w:val="13"/>
        </w:numPr>
        <w:spacing w:before="0"/>
        <w:contextualSpacing w:val="0"/>
      </w:pPr>
      <w:r>
        <w:t>T</w:t>
      </w:r>
      <w:r w:rsidR="00CB1B59">
        <w:t>he salary</w:t>
      </w:r>
      <w:r>
        <w:t xml:space="preserve"> of this influential employee</w:t>
      </w:r>
      <w:r w:rsidR="00CB1B59">
        <w:t xml:space="preserve"> would</w:t>
      </w:r>
      <w:r>
        <w:t xml:space="preserve"> </w:t>
      </w:r>
      <w:r w:rsidR="00CB1B59">
        <w:t>n</w:t>
      </w:r>
      <w:r>
        <w:t>o</w:t>
      </w:r>
      <w:r w:rsidR="00CB1B59">
        <w:t>t pass this associate's integrity test as the individual, as the founder</w:t>
      </w:r>
      <w:r>
        <w:t>,</w:t>
      </w:r>
      <w:r w:rsidR="00CB1B59">
        <w:t xml:space="preserve"> </w:t>
      </w:r>
      <w:r w:rsidR="00F87EBB">
        <w:t xml:space="preserve">could </w:t>
      </w:r>
      <w:r w:rsidR="00CB1B59">
        <w:t>set their own salary.</w:t>
      </w:r>
    </w:p>
    <w:p w14:paraId="39E42EA3" w14:textId="325D9ED1" w:rsidR="00CB1B59" w:rsidRDefault="00D33B5B" w:rsidP="00A36E87">
      <w:pPr>
        <w:pStyle w:val="ListParagraph"/>
        <w:numPr>
          <w:ilvl w:val="2"/>
          <w:numId w:val="13"/>
        </w:numPr>
        <w:spacing w:before="0"/>
        <w:contextualSpacing w:val="0"/>
      </w:pPr>
      <w:r>
        <w:t>It is acknowledged that t</w:t>
      </w:r>
      <w:r w:rsidR="00CB1B59">
        <w:t xml:space="preserve">his type of business structure is very common in the digital games industry and in and in start-ups, and it is not the intention of this provision or the </w:t>
      </w:r>
      <w:r>
        <w:t>D</w:t>
      </w:r>
      <w:r w:rsidR="00CB1B59">
        <w:t>GTO to rule out such transactions.</w:t>
      </w:r>
    </w:p>
    <w:p w14:paraId="7B7B22D3" w14:textId="6B2FAE46" w:rsidR="00CB1B59" w:rsidRDefault="00D33B5B" w:rsidP="00A36E87">
      <w:pPr>
        <w:pStyle w:val="ListParagraph"/>
        <w:numPr>
          <w:ilvl w:val="2"/>
          <w:numId w:val="13"/>
        </w:numPr>
        <w:spacing w:before="0"/>
        <w:contextualSpacing w:val="0"/>
      </w:pPr>
      <w:r>
        <w:t xml:space="preserve">The </w:t>
      </w:r>
      <w:r w:rsidR="00CB1B59">
        <w:t xml:space="preserve">legislation provides that expenditure incurred on the remuneration of an influential employee for eligible activities can be claimed up to a limit of </w:t>
      </w:r>
      <w:r w:rsidR="00D827C8">
        <w:t>$</w:t>
      </w:r>
      <w:r w:rsidR="00CB1B59">
        <w:t>65,000 per employee per year.</w:t>
      </w:r>
    </w:p>
    <w:p w14:paraId="7B465B4D" w14:textId="77777777" w:rsidR="00A36E87" w:rsidRDefault="00CB1B59" w:rsidP="00912F25">
      <w:pPr>
        <w:pStyle w:val="ListParagraph"/>
        <w:numPr>
          <w:ilvl w:val="0"/>
          <w:numId w:val="13"/>
        </w:numPr>
        <w:spacing w:before="0"/>
        <w:contextualSpacing w:val="0"/>
      </w:pPr>
      <w:r>
        <w:t xml:space="preserve">The department will be releasing a detailed handbook of eligible and </w:t>
      </w:r>
      <w:r w:rsidR="00D827C8">
        <w:t>in</w:t>
      </w:r>
      <w:r>
        <w:t>eligible DGTO expenditure which will assist applicants working in this space navigate this new legislation.</w:t>
      </w:r>
      <w:r w:rsidR="00D33B5B">
        <w:t xml:space="preserve"> </w:t>
      </w:r>
    </w:p>
    <w:p w14:paraId="6DBC9E0B" w14:textId="5F123326" w:rsidR="00CB1B59" w:rsidRDefault="00D33B5B" w:rsidP="00912F25">
      <w:pPr>
        <w:pStyle w:val="ListParagraph"/>
        <w:numPr>
          <w:ilvl w:val="0"/>
          <w:numId w:val="13"/>
        </w:numPr>
        <w:spacing w:before="0"/>
        <w:contextualSpacing w:val="0"/>
      </w:pPr>
      <w:r>
        <w:t xml:space="preserve">Further information will be available on </w:t>
      </w:r>
      <w:r w:rsidR="00CB1B59">
        <w:t>arts.gov.</w:t>
      </w:r>
      <w:r>
        <w:t>au</w:t>
      </w:r>
      <w:r w:rsidR="00A36E87">
        <w:t xml:space="preserve"> </w:t>
      </w:r>
      <w:r w:rsidR="00CB1B59">
        <w:t>once the legislation</w:t>
      </w:r>
      <w:r w:rsidR="00D827C8">
        <w:t xml:space="preserve"> has</w:t>
      </w:r>
      <w:r w:rsidR="00A36E87">
        <w:t xml:space="preserve"> </w:t>
      </w:r>
      <w:r w:rsidR="00CB1B59">
        <w:t>receive</w:t>
      </w:r>
      <w:r w:rsidR="00D827C8">
        <w:t>d</w:t>
      </w:r>
      <w:r w:rsidR="00CB1B59">
        <w:t xml:space="preserve"> Royal assent</w:t>
      </w:r>
      <w:r w:rsidR="00A36E87">
        <w:t>.</w:t>
      </w:r>
    </w:p>
    <w:p w14:paraId="0F8B4AAE" w14:textId="79748B03" w:rsidR="00CB1B59" w:rsidRDefault="00A36E87" w:rsidP="00912F25">
      <w:pPr>
        <w:pStyle w:val="ListParagraph"/>
        <w:numPr>
          <w:ilvl w:val="0"/>
          <w:numId w:val="13"/>
        </w:numPr>
        <w:spacing w:before="0"/>
        <w:contextualSpacing w:val="0"/>
      </w:pPr>
      <w:r>
        <w:t>Q</w:t>
      </w:r>
      <w:r w:rsidR="00CB1B59">
        <w:t xml:space="preserve">uestions can be </w:t>
      </w:r>
      <w:r w:rsidR="00D33B5B">
        <w:t>directed to</w:t>
      </w:r>
      <w:r w:rsidR="00CB1B59">
        <w:t xml:space="preserve"> </w:t>
      </w:r>
      <w:hyperlink r:id="rId12" w:history="1">
        <w:r w:rsidR="00D33B5B" w:rsidRPr="00692233">
          <w:rPr>
            <w:rStyle w:val="Hyperlink"/>
          </w:rPr>
          <w:t>digitalgames@arts.gov.au</w:t>
        </w:r>
      </w:hyperlink>
      <w:r w:rsidR="00CB1B59">
        <w:t xml:space="preserve"> or 02</w:t>
      </w:r>
      <w:r w:rsidR="00D33B5B">
        <w:t xml:space="preserve"> </w:t>
      </w:r>
      <w:r w:rsidR="00CB1B59">
        <w:t>6271</w:t>
      </w:r>
      <w:r w:rsidR="00D33B5B">
        <w:t xml:space="preserve"> </w:t>
      </w:r>
      <w:r w:rsidR="00CB1B59">
        <w:t>1006.</w:t>
      </w:r>
    </w:p>
    <w:p w14:paraId="11CA3CB1" w14:textId="77777777" w:rsidR="003251E6" w:rsidRPr="007D1BB3" w:rsidRDefault="003251E6" w:rsidP="003251E6">
      <w:pPr>
        <w:pStyle w:val="Heading2"/>
      </w:pPr>
      <w:r w:rsidRPr="007D1BB3">
        <w:t>Action Items</w:t>
      </w:r>
    </w:p>
    <w:p w14:paraId="1575AB89" w14:textId="77777777" w:rsidR="003251E6" w:rsidRDefault="003251E6" w:rsidP="003251E6">
      <w:pPr>
        <w:rPr>
          <w:color w:val="auto"/>
          <w:shd w:val="clear" w:color="auto" w:fill="FFFFFF"/>
        </w:rPr>
      </w:pPr>
      <w:r>
        <w:rPr>
          <w:color w:val="auto"/>
          <w:shd w:val="clear" w:color="auto" w:fill="FFFFFF"/>
        </w:rPr>
        <w:t>The following action items were collated over the course of all four meetings:</w:t>
      </w:r>
    </w:p>
    <w:p w14:paraId="31BB1E00" w14:textId="77777777" w:rsidR="003251E6" w:rsidRDefault="003251E6" w:rsidP="003251E6">
      <w:pPr>
        <w:rPr>
          <w:color w:val="auto"/>
          <w:shd w:val="clear" w:color="auto" w:fill="FFFFFF"/>
        </w:rPr>
      </w:pPr>
    </w:p>
    <w:p w14:paraId="4547615E" w14:textId="314020B8" w:rsidR="003251E6" w:rsidRDefault="003251E6" w:rsidP="003251E6">
      <w:pPr>
        <w:pStyle w:val="ListParagraph"/>
        <w:numPr>
          <w:ilvl w:val="0"/>
          <w:numId w:val="21"/>
        </w:numPr>
        <w:rPr>
          <w:rFonts w:ascii="Calibri" w:hAnsi="Calibri" w:cs="Calibri"/>
        </w:rPr>
      </w:pPr>
      <w:r>
        <w:rPr>
          <w:rFonts w:ascii="Calibri" w:hAnsi="Calibri" w:cs="Calibri"/>
        </w:rPr>
        <w:lastRenderedPageBreak/>
        <w:t xml:space="preserve">DISR to consider a deep-dive workshop or deeper discussion at future SRG meetings on how to better understand technical uncertainties of company R&amp;D activities. </w:t>
      </w:r>
    </w:p>
    <w:p w14:paraId="5E6F1A8E" w14:textId="77777777" w:rsidR="003251E6" w:rsidRDefault="003251E6" w:rsidP="003251E6">
      <w:pPr>
        <w:pStyle w:val="ListParagraph"/>
        <w:numPr>
          <w:ilvl w:val="0"/>
          <w:numId w:val="21"/>
        </w:numPr>
        <w:rPr>
          <w:rFonts w:ascii="Calibri" w:hAnsi="Calibri" w:cs="Calibri"/>
        </w:rPr>
      </w:pPr>
      <w:r>
        <w:rPr>
          <w:rFonts w:ascii="Calibri" w:hAnsi="Calibri" w:cs="Calibri"/>
        </w:rPr>
        <w:t>DISR to review clarity of guidance on applying determinations to activities.</w:t>
      </w:r>
    </w:p>
    <w:p w14:paraId="675AAE66" w14:textId="77777777" w:rsidR="003251E6" w:rsidRDefault="003251E6" w:rsidP="003251E6">
      <w:pPr>
        <w:pStyle w:val="ListParagraph"/>
        <w:numPr>
          <w:ilvl w:val="0"/>
          <w:numId w:val="21"/>
        </w:numPr>
        <w:rPr>
          <w:rFonts w:ascii="Calibri" w:hAnsi="Calibri" w:cs="Calibri"/>
        </w:rPr>
      </w:pPr>
      <w:r>
        <w:rPr>
          <w:rFonts w:ascii="Calibri" w:hAnsi="Calibri" w:cs="Calibri"/>
        </w:rPr>
        <w:t>DISR to review customer portal guidance, including clarifying access tile instructions.</w:t>
      </w:r>
    </w:p>
    <w:p w14:paraId="1CE15FB7" w14:textId="77777777" w:rsidR="003251E6" w:rsidRDefault="003251E6" w:rsidP="003251E6">
      <w:pPr>
        <w:pStyle w:val="ListParagraph"/>
        <w:numPr>
          <w:ilvl w:val="0"/>
          <w:numId w:val="21"/>
        </w:numPr>
        <w:rPr>
          <w:rFonts w:ascii="Calibri" w:hAnsi="Calibri" w:cs="Calibri"/>
        </w:rPr>
      </w:pPr>
      <w:r>
        <w:rPr>
          <w:rFonts w:ascii="Calibri" w:hAnsi="Calibri" w:cs="Calibri"/>
        </w:rPr>
        <w:t>ATO to raise with Tax Practitioners Board that R&amp;D Advisors can’t provide advice on programmes in innovation space.</w:t>
      </w:r>
    </w:p>
    <w:p w14:paraId="60470DB9" w14:textId="77777777" w:rsidR="003251E6" w:rsidRDefault="003251E6" w:rsidP="003251E6">
      <w:pPr>
        <w:pStyle w:val="ListParagraph"/>
        <w:numPr>
          <w:ilvl w:val="0"/>
          <w:numId w:val="21"/>
        </w:numPr>
        <w:rPr>
          <w:rFonts w:ascii="Calibri" w:hAnsi="Calibri" w:cs="Calibri"/>
        </w:rPr>
      </w:pPr>
      <w:r>
        <w:rPr>
          <w:rFonts w:ascii="Calibri" w:hAnsi="Calibri" w:cs="Calibri"/>
        </w:rPr>
        <w:t>DISR to provide data at future SRG meetings on:</w:t>
      </w:r>
    </w:p>
    <w:p w14:paraId="20E66287" w14:textId="77777777" w:rsidR="003251E6" w:rsidRDefault="003251E6" w:rsidP="003251E6">
      <w:pPr>
        <w:pStyle w:val="ListParagraph"/>
        <w:numPr>
          <w:ilvl w:val="1"/>
          <w:numId w:val="21"/>
        </w:numPr>
        <w:rPr>
          <w:rFonts w:ascii="Calibri" w:hAnsi="Calibri" w:cs="Calibri"/>
        </w:rPr>
      </w:pPr>
      <w:r>
        <w:rPr>
          <w:rFonts w:ascii="Calibri" w:hAnsi="Calibri" w:cs="Calibri"/>
        </w:rPr>
        <w:t>numbers of R&amp;DTI claimants</w:t>
      </w:r>
    </w:p>
    <w:p w14:paraId="415E933C" w14:textId="4018D3F3" w:rsidR="003251E6" w:rsidRDefault="003251E6" w:rsidP="003251E6">
      <w:pPr>
        <w:pStyle w:val="ListParagraph"/>
        <w:numPr>
          <w:ilvl w:val="1"/>
          <w:numId w:val="21"/>
        </w:numPr>
        <w:rPr>
          <w:rFonts w:ascii="Calibri" w:hAnsi="Calibri" w:cs="Calibri"/>
        </w:rPr>
      </w:pPr>
      <w:r>
        <w:rPr>
          <w:rFonts w:ascii="Calibri" w:hAnsi="Calibri" w:cs="Calibri"/>
        </w:rPr>
        <w:t>correlation of company revenue growth with R&amp;DTI claims</w:t>
      </w:r>
    </w:p>
    <w:p w14:paraId="1387ECFE" w14:textId="609B8C56" w:rsidR="0039366E" w:rsidRDefault="0039366E" w:rsidP="003251E6">
      <w:pPr>
        <w:pStyle w:val="ListParagraph"/>
        <w:numPr>
          <w:ilvl w:val="1"/>
          <w:numId w:val="21"/>
        </w:numPr>
        <w:rPr>
          <w:rFonts w:ascii="Calibri" w:hAnsi="Calibri" w:cs="Calibri"/>
        </w:rPr>
      </w:pPr>
      <w:r>
        <w:rPr>
          <w:rFonts w:ascii="Calibri" w:hAnsi="Calibri" w:cs="Calibri"/>
        </w:rPr>
        <w:t>average R&amp;DTI claims values for companies under 2 years old</w:t>
      </w:r>
    </w:p>
    <w:p w14:paraId="6443357E" w14:textId="1FF259C5" w:rsidR="003251E6" w:rsidRDefault="003251E6" w:rsidP="003251E6">
      <w:pPr>
        <w:pStyle w:val="ListParagraph"/>
        <w:numPr>
          <w:ilvl w:val="0"/>
          <w:numId w:val="21"/>
        </w:numPr>
        <w:rPr>
          <w:rFonts w:ascii="Calibri" w:hAnsi="Calibri" w:cs="Calibri"/>
        </w:rPr>
      </w:pPr>
      <w:r>
        <w:rPr>
          <w:rFonts w:ascii="Calibri" w:hAnsi="Calibri" w:cs="Calibri"/>
        </w:rPr>
        <w:t>DISR and ATO to consider communication improvements around information updates</w:t>
      </w:r>
    </w:p>
    <w:p w14:paraId="00E3F679" w14:textId="3BFA66DF" w:rsidR="0073319D" w:rsidRDefault="0073319D" w:rsidP="0073319D">
      <w:pPr>
        <w:spacing w:before="0" w:after="200" w:line="276" w:lineRule="auto"/>
      </w:pPr>
      <w:bookmarkStart w:id="14" w:name="_Justified_Trust_&amp;"/>
      <w:bookmarkStart w:id="15" w:name="_Other_Business_and"/>
      <w:bookmarkEnd w:id="14"/>
      <w:bookmarkEnd w:id="15"/>
    </w:p>
    <w:p w14:paraId="627EB870" w14:textId="77777777" w:rsidR="00D166DE" w:rsidRDefault="00296568" w:rsidP="00D166DE">
      <w:pPr>
        <w:spacing w:before="0" w:after="200" w:line="276" w:lineRule="auto"/>
        <w:jc w:val="center"/>
        <w:rPr>
          <w:b/>
          <w:bCs/>
        </w:rPr>
      </w:pPr>
      <w:r w:rsidRPr="00296568">
        <w:rPr>
          <w:b/>
          <w:bCs/>
        </w:rPr>
        <w:t>End of Summary</w:t>
      </w:r>
    </w:p>
    <w:p w14:paraId="55B8EC42" w14:textId="77777777" w:rsidR="003251E6" w:rsidRDefault="003251E6">
      <w:pPr>
        <w:rPr>
          <w:rFonts w:asciiTheme="majorHAnsi" w:eastAsiaTheme="majorEastAsia" w:hAnsiTheme="majorHAnsi" w:cstheme="majorBidi"/>
          <w:b/>
          <w:color w:val="212A4C" w:themeColor="text2"/>
          <w:sz w:val="28"/>
          <w:szCs w:val="26"/>
        </w:rPr>
      </w:pPr>
      <w:r>
        <w:br w:type="page"/>
      </w:r>
    </w:p>
    <w:p w14:paraId="42DF5994" w14:textId="3AAB3910" w:rsidR="00D166DE" w:rsidRDefault="00D166DE" w:rsidP="00D166DE">
      <w:pPr>
        <w:pStyle w:val="Heading2"/>
      </w:pPr>
      <w:r w:rsidRPr="00D166DE">
        <w:lastRenderedPageBreak/>
        <w:t>Appendix A</w:t>
      </w:r>
    </w:p>
    <w:p w14:paraId="7623185C" w14:textId="77777777" w:rsidR="00741CD1" w:rsidRDefault="00741CD1" w:rsidP="00741CD1">
      <w:pPr>
        <w:pStyle w:val="Title"/>
        <w:jc w:val="center"/>
        <w:rPr>
          <w:sz w:val="52"/>
          <w:szCs w:val="52"/>
        </w:rPr>
      </w:pPr>
      <w:r w:rsidRPr="79E4B837">
        <w:rPr>
          <w:sz w:val="52"/>
          <w:szCs w:val="52"/>
        </w:rPr>
        <w:t>R&amp;D Tax Incentive</w:t>
      </w:r>
      <w:r>
        <w:br/>
      </w:r>
      <w:r>
        <w:rPr>
          <w:sz w:val="52"/>
          <w:szCs w:val="52"/>
        </w:rPr>
        <w:t>Program Update – March 2023</w:t>
      </w:r>
    </w:p>
    <w:p w14:paraId="3B6A79D5" w14:textId="77777777" w:rsidR="00741CD1" w:rsidRPr="0084583E" w:rsidRDefault="00741CD1" w:rsidP="00741CD1">
      <w:r>
        <w:rPr>
          <w:noProof/>
          <w:sz w:val="22"/>
          <w:lang w:eastAsia="en-AU"/>
        </w:rPr>
        <mc:AlternateContent>
          <mc:Choice Requires="wps">
            <w:drawing>
              <wp:anchor distT="0" distB="0" distL="114300" distR="114300" simplePos="0" relativeHeight="251660288" behindDoc="1" locked="0" layoutInCell="1" allowOverlap="1" wp14:anchorId="7EABB7DA" wp14:editId="205EDFB7">
                <wp:simplePos x="0" y="0"/>
                <wp:positionH relativeFrom="margin">
                  <wp:align>right</wp:align>
                </wp:positionH>
                <wp:positionV relativeFrom="paragraph">
                  <wp:posOffset>400519</wp:posOffset>
                </wp:positionV>
                <wp:extent cx="6753225" cy="3498574"/>
                <wp:effectExtent l="0" t="0" r="28575" b="2603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53225" cy="3498574"/>
                        </a:xfrm>
                        <a:prstGeom prst="rect">
                          <a:avLst/>
                        </a:prstGeom>
                        <a:solidFill>
                          <a:srgbClr val="DFE7F6"/>
                        </a:solidFill>
                        <a:ln>
                          <a:solidFill>
                            <a:srgbClr val="DFE7F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60670" id="Rectangle 1" o:spid="_x0000_s1026" alt="&quot;&quot;" style="position:absolute;margin-left:480.55pt;margin-top:31.55pt;width:531.75pt;height:275.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" fillcolor="#dfe7f6" strokecolor="#dfe7f6" strokeweight="1pt">
                <w10:wrap anchorx="margin"/>
              </v:rect>
            </w:pict>
          </mc:Fallback>
        </mc:AlternateContent>
      </w:r>
    </w:p>
    <w:p w14:paraId="7ED0B651" w14:textId="77777777" w:rsidR="00741CD1" w:rsidRDefault="00741CD1" w:rsidP="00741CD1">
      <w:pPr>
        <w:spacing w:before="0" w:after="0" w:line="240" w:lineRule="auto"/>
      </w:pPr>
    </w:p>
    <w:p w14:paraId="27EF4EBE" w14:textId="77777777" w:rsidR="00741CD1" w:rsidRDefault="00741CD1" w:rsidP="00741CD1">
      <w:pPr>
        <w:pStyle w:val="ListParagraph"/>
        <w:numPr>
          <w:ilvl w:val="0"/>
          <w:numId w:val="18"/>
        </w:numPr>
        <w:spacing w:before="0"/>
        <w:rPr>
          <w:color w:val="264F90" w:themeColor="accent2"/>
          <w:sz w:val="22"/>
          <w:szCs w:val="22"/>
        </w:rPr>
      </w:pPr>
      <w:r w:rsidRPr="000D7CB8">
        <w:rPr>
          <w:color w:val="264F90" w:themeColor="accent2"/>
          <w:sz w:val="22"/>
          <w:szCs w:val="22"/>
        </w:rPr>
        <w:t>Departmental Changes</w:t>
      </w:r>
    </w:p>
    <w:p w14:paraId="22AC98AE" w14:textId="77777777" w:rsidR="00741CD1" w:rsidRPr="000D7CB8" w:rsidRDefault="00741CD1" w:rsidP="00741CD1">
      <w:pPr>
        <w:pStyle w:val="ListParagraph"/>
        <w:spacing w:before="0"/>
        <w:rPr>
          <w:color w:val="264F90" w:themeColor="accent2"/>
          <w:sz w:val="22"/>
          <w:szCs w:val="22"/>
        </w:rPr>
      </w:pPr>
    </w:p>
    <w:p w14:paraId="526A13E4" w14:textId="77777777" w:rsidR="00741CD1" w:rsidRPr="000D7CB8" w:rsidRDefault="00741CD1" w:rsidP="00741CD1">
      <w:pPr>
        <w:pStyle w:val="ListParagraph"/>
        <w:numPr>
          <w:ilvl w:val="0"/>
          <w:numId w:val="18"/>
        </w:numPr>
        <w:spacing w:before="0"/>
        <w:rPr>
          <w:color w:val="264F90" w:themeColor="accent2"/>
          <w:sz w:val="22"/>
          <w:szCs w:val="22"/>
        </w:rPr>
      </w:pPr>
      <w:r w:rsidRPr="000D7CB8">
        <w:rPr>
          <w:color w:val="264F90" w:themeColor="accent2"/>
          <w:sz w:val="22"/>
          <w:szCs w:val="22"/>
        </w:rPr>
        <w:t>Registrations updates</w:t>
      </w:r>
      <w:bookmarkStart w:id="16" w:name="_Determinations"/>
      <w:bookmarkEnd w:id="16"/>
    </w:p>
    <w:p w14:paraId="4A89F303" w14:textId="30EA186C" w:rsidR="00741CD1" w:rsidRPr="00F01EEC" w:rsidRDefault="00741CD1" w:rsidP="00741CD1">
      <w:pPr>
        <w:spacing w:before="0" w:after="0"/>
        <w:ind w:firstLine="720"/>
        <w:rPr>
          <w:color w:val="264F90" w:themeColor="accent2"/>
          <w:sz w:val="22"/>
          <w:szCs w:val="22"/>
        </w:rPr>
      </w:pPr>
    </w:p>
    <w:p w14:paraId="293C841F" w14:textId="77777777" w:rsidR="00741CD1" w:rsidRDefault="00741CD1" w:rsidP="00741CD1">
      <w:pPr>
        <w:spacing w:before="0" w:after="0"/>
        <w:ind w:firstLine="720"/>
        <w:rPr>
          <w:color w:val="264F90" w:themeColor="accent2"/>
          <w:sz w:val="22"/>
          <w:szCs w:val="22"/>
        </w:rPr>
      </w:pPr>
      <w:r w:rsidRPr="00F01EEC">
        <w:rPr>
          <w:color w:val="264F90" w:themeColor="accent2"/>
          <w:sz w:val="22"/>
          <w:szCs w:val="22"/>
        </w:rPr>
        <w:t xml:space="preserve">- </w:t>
      </w:r>
      <w:r>
        <w:rPr>
          <w:color w:val="264F90" w:themeColor="accent2"/>
          <w:sz w:val="22"/>
          <w:szCs w:val="22"/>
        </w:rPr>
        <w:t xml:space="preserve">30 April deadline </w:t>
      </w:r>
    </w:p>
    <w:p w14:paraId="11A55E6C" w14:textId="77777777" w:rsidR="00741CD1" w:rsidRDefault="00741CD1" w:rsidP="00741CD1">
      <w:pPr>
        <w:spacing w:before="0" w:after="0"/>
        <w:ind w:firstLine="720"/>
        <w:rPr>
          <w:color w:val="264F90" w:themeColor="accent2"/>
          <w:sz w:val="22"/>
          <w:szCs w:val="22"/>
        </w:rPr>
      </w:pPr>
      <w:r>
        <w:rPr>
          <w:color w:val="264F90" w:themeColor="accent2"/>
          <w:sz w:val="22"/>
          <w:szCs w:val="22"/>
        </w:rPr>
        <w:t xml:space="preserve">- </w:t>
      </w:r>
      <w:r w:rsidRPr="00F01EEC">
        <w:rPr>
          <w:color w:val="264F90" w:themeColor="accent2"/>
          <w:sz w:val="22"/>
          <w:szCs w:val="22"/>
        </w:rPr>
        <w:t>Registration insights</w:t>
      </w:r>
    </w:p>
    <w:p w14:paraId="102421D0" w14:textId="77777777" w:rsidR="00741CD1" w:rsidRDefault="00741CD1" w:rsidP="00741CD1">
      <w:pPr>
        <w:spacing w:before="0" w:after="0"/>
        <w:rPr>
          <w:color w:val="264F90" w:themeColor="accent2"/>
          <w:sz w:val="22"/>
          <w:szCs w:val="22"/>
        </w:rPr>
      </w:pPr>
      <w:r>
        <w:rPr>
          <w:color w:val="264F90" w:themeColor="accent2"/>
          <w:sz w:val="22"/>
          <w:szCs w:val="22"/>
        </w:rPr>
        <w:t xml:space="preserve"> </w:t>
      </w:r>
    </w:p>
    <w:p w14:paraId="5531F477" w14:textId="77777777" w:rsidR="00741CD1" w:rsidRPr="00F01EEC" w:rsidRDefault="00741CD1" w:rsidP="00741CD1">
      <w:pPr>
        <w:pStyle w:val="ListParagraph"/>
        <w:numPr>
          <w:ilvl w:val="0"/>
          <w:numId w:val="18"/>
        </w:numPr>
        <w:spacing w:before="0"/>
        <w:rPr>
          <w:color w:val="264F90" w:themeColor="accent2"/>
          <w:sz w:val="22"/>
          <w:szCs w:val="22"/>
        </w:rPr>
      </w:pPr>
      <w:r w:rsidRPr="00F01EEC">
        <w:rPr>
          <w:color w:val="264F90" w:themeColor="accent2"/>
          <w:sz w:val="22"/>
          <w:szCs w:val="22"/>
        </w:rPr>
        <w:t>Program guidance</w:t>
      </w:r>
    </w:p>
    <w:p w14:paraId="787C5324" w14:textId="77777777" w:rsidR="00741CD1" w:rsidRPr="00F01EEC" w:rsidRDefault="00741CD1" w:rsidP="00741CD1">
      <w:pPr>
        <w:spacing w:before="0" w:after="0"/>
        <w:ind w:firstLine="720"/>
        <w:rPr>
          <w:color w:val="264F90" w:themeColor="accent2"/>
          <w:sz w:val="22"/>
          <w:szCs w:val="22"/>
        </w:rPr>
      </w:pPr>
      <w:r w:rsidRPr="00F01EEC">
        <w:rPr>
          <w:color w:val="264F90" w:themeColor="accent2"/>
          <w:sz w:val="22"/>
          <w:szCs w:val="22"/>
        </w:rPr>
        <w:t>- Information sessions</w:t>
      </w:r>
    </w:p>
    <w:p w14:paraId="548E8B15" w14:textId="77777777" w:rsidR="00741CD1" w:rsidRDefault="00741CD1" w:rsidP="00741CD1">
      <w:pPr>
        <w:spacing w:before="0" w:after="0"/>
        <w:ind w:firstLine="720"/>
        <w:rPr>
          <w:color w:val="264F90" w:themeColor="accent2"/>
          <w:sz w:val="22"/>
          <w:szCs w:val="22"/>
        </w:rPr>
      </w:pPr>
      <w:r w:rsidRPr="00F01EEC">
        <w:rPr>
          <w:color w:val="264F90" w:themeColor="accent2"/>
          <w:sz w:val="22"/>
          <w:szCs w:val="22"/>
        </w:rPr>
        <w:t>- Website updates</w:t>
      </w:r>
    </w:p>
    <w:p w14:paraId="7B7A79F8" w14:textId="77777777" w:rsidR="00741CD1" w:rsidRPr="00F01EEC" w:rsidRDefault="00741CD1" w:rsidP="00741CD1">
      <w:pPr>
        <w:spacing w:before="0" w:after="0"/>
        <w:ind w:firstLine="720"/>
        <w:rPr>
          <w:color w:val="264F90" w:themeColor="accent2"/>
          <w:sz w:val="22"/>
          <w:szCs w:val="22"/>
        </w:rPr>
      </w:pPr>
    </w:p>
    <w:p w14:paraId="24A61B07" w14:textId="77777777" w:rsidR="00741CD1" w:rsidRDefault="00741CD1" w:rsidP="00741CD1">
      <w:pPr>
        <w:pStyle w:val="ListParagraph"/>
        <w:numPr>
          <w:ilvl w:val="0"/>
          <w:numId w:val="18"/>
        </w:numPr>
        <w:spacing w:before="0"/>
        <w:rPr>
          <w:color w:val="264F90" w:themeColor="accent2"/>
          <w:sz w:val="22"/>
          <w:szCs w:val="22"/>
        </w:rPr>
      </w:pPr>
      <w:r w:rsidRPr="00F01EEC">
        <w:rPr>
          <w:color w:val="264F90" w:themeColor="accent2"/>
          <w:sz w:val="22"/>
          <w:szCs w:val="22"/>
        </w:rPr>
        <w:t>Advance finding pilot</w:t>
      </w:r>
    </w:p>
    <w:p w14:paraId="13679FCE" w14:textId="77777777" w:rsidR="00741CD1" w:rsidRPr="00F01EEC" w:rsidRDefault="00741CD1" w:rsidP="00741CD1">
      <w:pPr>
        <w:pStyle w:val="ListParagraph"/>
        <w:spacing w:before="0"/>
        <w:rPr>
          <w:color w:val="264F90" w:themeColor="accent2"/>
          <w:sz w:val="22"/>
          <w:szCs w:val="22"/>
        </w:rPr>
      </w:pPr>
      <w:r w:rsidRPr="00F01EEC">
        <w:rPr>
          <w:color w:val="264F90" w:themeColor="accent2"/>
          <w:sz w:val="22"/>
          <w:szCs w:val="22"/>
        </w:rPr>
        <w:t xml:space="preserve"> </w:t>
      </w:r>
    </w:p>
    <w:p w14:paraId="096A6786" w14:textId="77777777" w:rsidR="00741CD1" w:rsidRDefault="00741CD1" w:rsidP="00741CD1">
      <w:pPr>
        <w:pStyle w:val="ListParagraph"/>
        <w:numPr>
          <w:ilvl w:val="0"/>
          <w:numId w:val="18"/>
        </w:numPr>
        <w:spacing w:before="0"/>
        <w:rPr>
          <w:color w:val="264F90" w:themeColor="accent2"/>
          <w:sz w:val="22"/>
          <w:szCs w:val="22"/>
        </w:rPr>
      </w:pPr>
      <w:r w:rsidRPr="00F01EEC">
        <w:rPr>
          <w:color w:val="264F90" w:themeColor="accent2"/>
          <w:sz w:val="22"/>
          <w:szCs w:val="22"/>
        </w:rPr>
        <w:t>Research service providers</w:t>
      </w:r>
    </w:p>
    <w:p w14:paraId="5212304F" w14:textId="77777777" w:rsidR="00741CD1" w:rsidRPr="00E807F0" w:rsidRDefault="00741CD1" w:rsidP="00741CD1">
      <w:pPr>
        <w:pStyle w:val="ListParagraph"/>
        <w:spacing w:before="0" w:after="0"/>
        <w:ind w:left="709"/>
        <w:rPr>
          <w:color w:val="264F90" w:themeColor="accent2"/>
          <w:sz w:val="22"/>
          <w:szCs w:val="22"/>
        </w:rPr>
      </w:pPr>
      <w:r>
        <w:rPr>
          <w:color w:val="264F90" w:themeColor="accent2"/>
          <w:sz w:val="22"/>
          <w:szCs w:val="22"/>
        </w:rPr>
        <w:t xml:space="preserve">- </w:t>
      </w:r>
      <w:r w:rsidRPr="00E807F0">
        <w:rPr>
          <w:color w:val="264F90" w:themeColor="accent2"/>
          <w:sz w:val="22"/>
          <w:szCs w:val="22"/>
        </w:rPr>
        <w:t>Guidance</w:t>
      </w:r>
    </w:p>
    <w:p w14:paraId="1ED41C1F" w14:textId="77777777" w:rsidR="00741CD1" w:rsidRDefault="00741CD1" w:rsidP="00741CD1">
      <w:pPr>
        <w:spacing w:before="0" w:after="0"/>
        <w:ind w:firstLine="720"/>
        <w:rPr>
          <w:color w:val="264F90" w:themeColor="accent2"/>
          <w:sz w:val="22"/>
          <w:szCs w:val="22"/>
        </w:rPr>
      </w:pPr>
      <w:r>
        <w:rPr>
          <w:color w:val="264F90" w:themeColor="accent2"/>
          <w:sz w:val="22"/>
          <w:szCs w:val="22"/>
        </w:rPr>
        <w:t>- Registration updates</w:t>
      </w:r>
    </w:p>
    <w:p w14:paraId="4A47876F" w14:textId="77777777" w:rsidR="00741CD1" w:rsidRDefault="00741CD1" w:rsidP="00741CD1">
      <w:pPr>
        <w:spacing w:before="0" w:after="0"/>
        <w:ind w:firstLine="720"/>
        <w:rPr>
          <w:color w:val="264F90" w:themeColor="accent2"/>
          <w:sz w:val="22"/>
          <w:szCs w:val="22"/>
        </w:rPr>
      </w:pPr>
    </w:p>
    <w:p w14:paraId="352393AD" w14:textId="77777777" w:rsidR="00741CD1" w:rsidRDefault="00741CD1" w:rsidP="00741CD1">
      <w:pPr>
        <w:pStyle w:val="ListParagraph"/>
        <w:numPr>
          <w:ilvl w:val="0"/>
          <w:numId w:val="18"/>
        </w:numPr>
        <w:spacing w:before="0"/>
        <w:rPr>
          <w:color w:val="264F90" w:themeColor="accent2"/>
          <w:sz w:val="22"/>
          <w:szCs w:val="22"/>
        </w:rPr>
      </w:pPr>
      <w:r w:rsidRPr="00F01EEC">
        <w:rPr>
          <w:color w:val="264F90" w:themeColor="accent2"/>
          <w:sz w:val="22"/>
          <w:szCs w:val="22"/>
        </w:rPr>
        <w:t>Registrations and claims data</w:t>
      </w:r>
      <w:bookmarkStart w:id="17" w:name="_Software_Guidance"/>
      <w:bookmarkStart w:id="18" w:name="_30_April_deadline"/>
      <w:bookmarkStart w:id="19" w:name="_Registration_Data"/>
      <w:bookmarkEnd w:id="17"/>
      <w:bookmarkEnd w:id="18"/>
      <w:bookmarkEnd w:id="19"/>
    </w:p>
    <w:p w14:paraId="30E53255" w14:textId="77777777" w:rsidR="00741CD1" w:rsidRPr="00AD6D18" w:rsidRDefault="00741CD1" w:rsidP="00741CD1">
      <w:pPr>
        <w:spacing w:before="0"/>
        <w:rPr>
          <w:color w:val="264F90" w:themeColor="accent2"/>
          <w:sz w:val="22"/>
          <w:szCs w:val="22"/>
        </w:rPr>
      </w:pPr>
    </w:p>
    <w:p w14:paraId="63C8C297" w14:textId="77777777" w:rsidR="00741CD1" w:rsidRDefault="00741CD1" w:rsidP="00741CD1">
      <w:pPr>
        <w:pStyle w:val="Heading2"/>
      </w:pPr>
      <w:r>
        <w:t>Departmental Changes</w:t>
      </w:r>
    </w:p>
    <w:p w14:paraId="27DE0149" w14:textId="77777777" w:rsidR="00741CD1" w:rsidRDefault="00741CD1" w:rsidP="00741CD1">
      <w:r>
        <w:t>The Department of Industry Science and Resources recently underwent a restructure. This included the integration of the R&amp;DTI branch with Venture Capital and Entrepreneurship and the Office of Industry Innovation and Science Australia in the Commercialisation Division led by Nick Purtell. This division sits within Industry and Commercialisation under the purview of Deputy Secretary Julia Pickworth.</w:t>
      </w:r>
    </w:p>
    <w:p w14:paraId="0AE40C9D" w14:textId="77777777" w:rsidR="00741CD1" w:rsidRPr="000D7CB8" w:rsidRDefault="00741CD1" w:rsidP="00741CD1">
      <w:r>
        <w:t xml:space="preserve">For more information, please see the full organisation chart available at </w:t>
      </w:r>
      <w:hyperlink r:id="rId13" w:history="1">
        <w:r w:rsidRPr="000D7CB8">
          <w:rPr>
            <w:rStyle w:val="Hyperlink"/>
          </w:rPr>
          <w:t>industry.gov.au.</w:t>
        </w:r>
      </w:hyperlink>
      <w:r>
        <w:t xml:space="preserve"> </w:t>
      </w:r>
    </w:p>
    <w:p w14:paraId="4CB4F0CF" w14:textId="675E1F2E" w:rsidR="00AA1DE9" w:rsidRPr="00A74072" w:rsidRDefault="00741CD1" w:rsidP="00A74072">
      <w:pPr>
        <w:pStyle w:val="Heading2"/>
      </w:pPr>
      <w:r>
        <w:t xml:space="preserve">Registrations </w:t>
      </w:r>
      <w:proofErr w:type="spellStart"/>
      <w:r>
        <w:t>updates</w:t>
      </w:r>
      <w:r w:rsidR="00934793">
        <w:t>march</w:t>
      </w:r>
      <w:proofErr w:type="spellEnd"/>
      <w:r w:rsidR="00934793">
        <w:t xml:space="preserve"> </w:t>
      </w:r>
    </w:p>
    <w:p w14:paraId="3AF768D5" w14:textId="77777777" w:rsidR="00741CD1" w:rsidRDefault="00741CD1" w:rsidP="00741CD1">
      <w:pPr>
        <w:pStyle w:val="Heading3"/>
      </w:pPr>
      <w:r>
        <w:t>30 April deadline</w:t>
      </w:r>
    </w:p>
    <w:p w14:paraId="407D7A30" w14:textId="77777777" w:rsidR="00741CD1" w:rsidRDefault="00741CD1" w:rsidP="00741CD1">
      <w:r w:rsidRPr="1D3F86BC">
        <w:t xml:space="preserve">The R&amp;DTI </w:t>
      </w:r>
      <w:r>
        <w:t xml:space="preserve">registration </w:t>
      </w:r>
      <w:r w:rsidRPr="1D3F86BC">
        <w:t>deadline for applicants with a financial year that ended on 30 June 202</w:t>
      </w:r>
      <w:r>
        <w:t>2</w:t>
      </w:r>
      <w:r w:rsidRPr="1D3F86BC">
        <w:t xml:space="preserve"> is </w:t>
      </w:r>
      <w:r w:rsidRPr="0084583E">
        <w:rPr>
          <w:b/>
          <w:bCs/>
        </w:rPr>
        <w:t>2</w:t>
      </w:r>
      <w:r w:rsidRPr="1D3F86BC">
        <w:rPr>
          <w:b/>
          <w:bCs/>
        </w:rPr>
        <w:t xml:space="preserve"> May 202</w:t>
      </w:r>
      <w:r>
        <w:rPr>
          <w:b/>
          <w:bCs/>
        </w:rPr>
        <w:t>3</w:t>
      </w:r>
      <w:r w:rsidRPr="1D3F86BC">
        <w:t>. This deadline has been amended from 30 April 202</w:t>
      </w:r>
      <w:r>
        <w:t>3</w:t>
      </w:r>
      <w:r w:rsidRPr="1D3F86BC">
        <w:t xml:space="preserve"> as </w:t>
      </w:r>
      <w:r>
        <w:t>this date</w:t>
      </w:r>
      <w:r w:rsidRPr="1D3F86BC">
        <w:t xml:space="preserve"> falls on a S</w:t>
      </w:r>
      <w:r>
        <w:t>unday</w:t>
      </w:r>
      <w:r w:rsidRPr="1D3F86BC">
        <w:t xml:space="preserve"> and the next business day is a public holiday in Queensland</w:t>
      </w:r>
      <w:r>
        <w:t xml:space="preserve"> and</w:t>
      </w:r>
      <w:r w:rsidRPr="1D3F86BC">
        <w:t xml:space="preserve"> the Northern Territory.</w:t>
      </w:r>
    </w:p>
    <w:p w14:paraId="28C54FDE" w14:textId="77777777" w:rsidR="00741CD1" w:rsidRPr="002540E9" w:rsidRDefault="00741CD1" w:rsidP="00741CD1">
      <w:pPr>
        <w:rPr>
          <w:rFonts w:asciiTheme="majorHAnsi" w:eastAsiaTheme="majorEastAsia" w:hAnsiTheme="majorHAnsi" w:cstheme="majorBidi"/>
          <w:color w:val="264F90" w:themeColor="accent2"/>
          <w:sz w:val="24"/>
          <w:szCs w:val="24"/>
        </w:rPr>
      </w:pPr>
      <w:r w:rsidRPr="1D3F86BC">
        <w:t xml:space="preserve">To avoid significant processing delays created by numerous </w:t>
      </w:r>
      <w:proofErr w:type="gramStart"/>
      <w:r w:rsidRPr="1D3F86BC">
        <w:t>extension</w:t>
      </w:r>
      <w:proofErr w:type="gramEnd"/>
      <w:r w:rsidRPr="1D3F86BC">
        <w:t xml:space="preserve"> of time requests in the peak April period, we are advising applicants to establish portal access well ahead of the </w:t>
      </w:r>
      <w:r>
        <w:t>2</w:t>
      </w:r>
      <w:r w:rsidRPr="1D3F86BC">
        <w:t xml:space="preserve"> May deadline. We also ask that tax agents and R&amp;D consultants remind their clients that the principal authority for an R&amp;D entity must first establish access to the portal before they are able to grant authority for others to access the portal on their behalf.</w:t>
      </w:r>
    </w:p>
    <w:p w14:paraId="3495B59D" w14:textId="77777777" w:rsidR="00741CD1" w:rsidRPr="006D0A57" w:rsidRDefault="00741CD1" w:rsidP="00741CD1">
      <w:pPr>
        <w:pStyle w:val="Heading3"/>
      </w:pPr>
      <w:r>
        <w:lastRenderedPageBreak/>
        <w:t>Registration insights</w:t>
      </w:r>
    </w:p>
    <w:p w14:paraId="6E652A30" w14:textId="77777777" w:rsidR="00741CD1" w:rsidRDefault="00741CD1" w:rsidP="00741CD1">
      <w:pPr>
        <w:rPr>
          <w:lang w:eastAsia="en-AU"/>
        </w:rPr>
      </w:pPr>
      <w:r w:rsidRPr="0072669A">
        <w:rPr>
          <w:lang w:eastAsia="en-AU"/>
        </w:rPr>
        <w:t xml:space="preserve">There are several </w:t>
      </w:r>
      <w:r w:rsidRPr="002540E9">
        <w:rPr>
          <w:lang w:eastAsia="en-AU"/>
        </w:rPr>
        <w:t>common mistakes</w:t>
      </w:r>
      <w:r w:rsidRPr="0072669A">
        <w:rPr>
          <w:lang w:eastAsia="en-AU"/>
        </w:rPr>
        <w:t xml:space="preserve"> </w:t>
      </w:r>
      <w:r>
        <w:rPr>
          <w:lang w:eastAsia="en-AU"/>
        </w:rPr>
        <w:t xml:space="preserve">made by </w:t>
      </w:r>
      <w:r w:rsidRPr="0072669A">
        <w:rPr>
          <w:lang w:eastAsia="en-AU"/>
        </w:rPr>
        <w:t xml:space="preserve">applicants </w:t>
      </w:r>
      <w:r>
        <w:rPr>
          <w:lang w:eastAsia="en-AU"/>
        </w:rPr>
        <w:t xml:space="preserve">that can </w:t>
      </w:r>
      <w:r w:rsidRPr="0072669A">
        <w:rPr>
          <w:lang w:eastAsia="en-AU"/>
        </w:rPr>
        <w:t xml:space="preserve">cause a delay in </w:t>
      </w:r>
      <w:r>
        <w:rPr>
          <w:lang w:eastAsia="en-AU"/>
        </w:rPr>
        <w:t>their registration</w:t>
      </w:r>
      <w:r w:rsidRPr="0072669A">
        <w:rPr>
          <w:lang w:eastAsia="en-AU"/>
        </w:rPr>
        <w:t xml:space="preserve">. </w:t>
      </w:r>
    </w:p>
    <w:p w14:paraId="3A1071B1" w14:textId="77777777" w:rsidR="00741CD1" w:rsidRDefault="00741CD1" w:rsidP="00741CD1">
      <w:pPr>
        <w:pStyle w:val="Heading4"/>
      </w:pPr>
      <w:r w:rsidRPr="004518D3">
        <w:t>Tax agent is</w:t>
      </w:r>
      <w:r>
        <w:t xml:space="preserve"> </w:t>
      </w:r>
      <w:r w:rsidRPr="004518D3">
        <w:t>given authorised access to the incorrect ABN</w:t>
      </w:r>
      <w:r>
        <w:t xml:space="preserve"> </w:t>
      </w:r>
    </w:p>
    <w:p w14:paraId="23E66FB0" w14:textId="77777777" w:rsidR="00741CD1" w:rsidRPr="00D33E05" w:rsidRDefault="00741CD1" w:rsidP="00741CD1">
      <w:pPr>
        <w:spacing w:before="0" w:after="0" w:line="240" w:lineRule="auto"/>
        <w:rPr>
          <w:rFonts w:eastAsia="Times New Roman"/>
        </w:rPr>
      </w:pPr>
      <w:r w:rsidRPr="00D33E05">
        <w:rPr>
          <w:rFonts w:eastAsia="Times New Roman"/>
        </w:rPr>
        <w:t>The ABN used must be that of the head entity for taxation purposes</w:t>
      </w:r>
      <w:r>
        <w:rPr>
          <w:rFonts w:eastAsia="Times New Roman"/>
        </w:rPr>
        <w:t>, not any of the subsidiaries</w:t>
      </w:r>
      <w:r w:rsidRPr="00D33E05">
        <w:rPr>
          <w:rFonts w:eastAsia="Times New Roman"/>
        </w:rPr>
        <w:t xml:space="preserve">. This should be checked before the application is started as </w:t>
      </w:r>
      <w:r>
        <w:rPr>
          <w:rFonts w:eastAsia="Times New Roman"/>
        </w:rPr>
        <w:t>it’s</w:t>
      </w:r>
      <w:r w:rsidRPr="00D33E05">
        <w:rPr>
          <w:rFonts w:eastAsia="Times New Roman"/>
        </w:rPr>
        <w:t xml:space="preserve"> not possible for the ABN to be changed in the portal after an application has been drafted or submitted. </w:t>
      </w:r>
    </w:p>
    <w:p w14:paraId="5A578B5A" w14:textId="77777777" w:rsidR="00741CD1" w:rsidRPr="00DC0809" w:rsidRDefault="00741CD1" w:rsidP="00741CD1">
      <w:pPr>
        <w:spacing w:before="0" w:after="0" w:line="240" w:lineRule="auto"/>
        <w:rPr>
          <w:rFonts w:eastAsia="Times New Roman"/>
        </w:rPr>
      </w:pPr>
    </w:p>
    <w:p w14:paraId="6B89E26B" w14:textId="77777777" w:rsidR="00741CD1" w:rsidRPr="00D33E05" w:rsidRDefault="00741CD1" w:rsidP="00741CD1">
      <w:pPr>
        <w:spacing w:before="0" w:line="240" w:lineRule="auto"/>
        <w:rPr>
          <w:rFonts w:eastAsia="Times New Roman"/>
        </w:rPr>
      </w:pPr>
      <w:r w:rsidRPr="00D33E05">
        <w:rPr>
          <w:rStyle w:val="Heading4Char"/>
        </w:rPr>
        <w:t>Incorrect financial year selected</w:t>
      </w:r>
      <w:r w:rsidRPr="00D33E05">
        <w:rPr>
          <w:rFonts w:eastAsia="Times New Roman"/>
        </w:rPr>
        <w:t xml:space="preserve"> </w:t>
      </w:r>
    </w:p>
    <w:p w14:paraId="23C02433" w14:textId="77777777" w:rsidR="00741CD1" w:rsidRDefault="00741CD1" w:rsidP="00741CD1">
      <w:pPr>
        <w:spacing w:before="0" w:after="0" w:line="240" w:lineRule="auto"/>
        <w:rPr>
          <w:lang w:eastAsia="en-AU"/>
        </w:rPr>
      </w:pPr>
      <w:r>
        <w:rPr>
          <w:lang w:eastAsia="en-AU"/>
        </w:rPr>
        <w:t xml:space="preserve">This is particularly an issue with </w:t>
      </w:r>
      <w:r w:rsidRPr="00D33E05">
        <w:rPr>
          <w:rFonts w:eastAsia="Times New Roman"/>
        </w:rPr>
        <w:t xml:space="preserve">substituted accounting periods as the portal includes both early and late options. The income period and income year cannot be changed after the application is submitted, </w:t>
      </w:r>
      <w:r>
        <w:rPr>
          <w:lang w:eastAsia="en-AU"/>
        </w:rPr>
        <w:t>t</w:t>
      </w:r>
      <w:r w:rsidRPr="0072669A">
        <w:rPr>
          <w:lang w:eastAsia="en-AU"/>
        </w:rPr>
        <w:t xml:space="preserve">he application </w:t>
      </w:r>
      <w:r>
        <w:rPr>
          <w:lang w:eastAsia="en-AU"/>
        </w:rPr>
        <w:t xml:space="preserve">must </w:t>
      </w:r>
      <w:r w:rsidRPr="0072669A">
        <w:rPr>
          <w:lang w:eastAsia="en-AU"/>
        </w:rPr>
        <w:t xml:space="preserve">be withdrawn and resubmitted </w:t>
      </w:r>
      <w:r>
        <w:rPr>
          <w:lang w:eastAsia="en-AU"/>
        </w:rPr>
        <w:t xml:space="preserve">for </w:t>
      </w:r>
      <w:r w:rsidRPr="0072669A">
        <w:rPr>
          <w:lang w:eastAsia="en-AU"/>
        </w:rPr>
        <w:t>the correct financial year</w:t>
      </w:r>
      <w:r>
        <w:rPr>
          <w:lang w:eastAsia="en-AU"/>
        </w:rPr>
        <w:t>.</w:t>
      </w:r>
    </w:p>
    <w:p w14:paraId="1D397FC9" w14:textId="77777777" w:rsidR="00741CD1" w:rsidRPr="00DC0809" w:rsidRDefault="00741CD1" w:rsidP="00741CD1">
      <w:pPr>
        <w:spacing w:before="0" w:after="0" w:line="240" w:lineRule="auto"/>
        <w:rPr>
          <w:rFonts w:eastAsia="Times New Roman"/>
        </w:rPr>
      </w:pPr>
    </w:p>
    <w:p w14:paraId="41E811E5" w14:textId="77777777" w:rsidR="00741CD1" w:rsidRPr="00D33E05" w:rsidRDefault="00741CD1" w:rsidP="00741CD1">
      <w:pPr>
        <w:pStyle w:val="Heading4"/>
        <w:spacing w:before="0"/>
      </w:pPr>
      <w:r w:rsidRPr="00D33E05">
        <w:t xml:space="preserve">Tax agent portal access has expired </w:t>
      </w:r>
    </w:p>
    <w:p w14:paraId="7F0349CA" w14:textId="77777777" w:rsidR="00741CD1" w:rsidRPr="00D33E05" w:rsidRDefault="00741CD1" w:rsidP="00741CD1">
      <w:pPr>
        <w:spacing w:before="0" w:after="0" w:line="240" w:lineRule="auto"/>
        <w:rPr>
          <w:rFonts w:eastAsia="Times New Roman"/>
        </w:rPr>
      </w:pPr>
      <w:r>
        <w:rPr>
          <w:rFonts w:eastAsia="Times New Roman"/>
        </w:rPr>
        <w:t xml:space="preserve">Customer </w:t>
      </w:r>
      <w:r w:rsidRPr="00D33E05">
        <w:rPr>
          <w:rFonts w:eastAsia="Times New Roman"/>
        </w:rPr>
        <w:t xml:space="preserve">portal authorisation access is granted for a set </w:t>
      </w:r>
      <w:proofErr w:type="gramStart"/>
      <w:r w:rsidRPr="00D33E05">
        <w:rPr>
          <w:rFonts w:eastAsia="Times New Roman"/>
        </w:rPr>
        <w:t>period of time</w:t>
      </w:r>
      <w:proofErr w:type="gramEnd"/>
      <w:r w:rsidRPr="00D33E05">
        <w:rPr>
          <w:rFonts w:eastAsia="Times New Roman"/>
        </w:rPr>
        <w:t xml:space="preserve">, if this expires </w:t>
      </w:r>
      <w:r>
        <w:rPr>
          <w:rFonts w:eastAsia="Times New Roman"/>
        </w:rPr>
        <w:t xml:space="preserve">it’s </w:t>
      </w:r>
      <w:r w:rsidRPr="00D33E05">
        <w:rPr>
          <w:rFonts w:eastAsia="Times New Roman"/>
        </w:rPr>
        <w:t xml:space="preserve">no longer possible for the tax agent to access the portal on behalf of the company. </w:t>
      </w:r>
    </w:p>
    <w:p w14:paraId="3C32D527" w14:textId="77777777" w:rsidR="00741CD1" w:rsidRDefault="00741CD1" w:rsidP="00741CD1">
      <w:pPr>
        <w:spacing w:before="0" w:after="0" w:line="240" w:lineRule="auto"/>
        <w:rPr>
          <w:rFonts w:eastAsia="Times New Roman"/>
        </w:rPr>
      </w:pPr>
    </w:p>
    <w:p w14:paraId="0527FBEF" w14:textId="77777777" w:rsidR="00741CD1" w:rsidRPr="00D33E05" w:rsidRDefault="00741CD1" w:rsidP="00741CD1">
      <w:pPr>
        <w:spacing w:before="0" w:after="0" w:line="240" w:lineRule="auto"/>
        <w:rPr>
          <w:rFonts w:eastAsia="Times New Roman"/>
        </w:rPr>
      </w:pPr>
      <w:r w:rsidRPr="00D33E05">
        <w:rPr>
          <w:rFonts w:eastAsia="Times New Roman"/>
        </w:rPr>
        <w:t xml:space="preserve">Individual authorisation is established via ATO’s Relationship Authorisation Manager (RAM). The authorisation details in RAM will show the end date for each ABN’s authorisation. </w:t>
      </w:r>
    </w:p>
    <w:p w14:paraId="69F8AD3B" w14:textId="77777777" w:rsidR="00741CD1" w:rsidRPr="0049054F" w:rsidRDefault="00741CD1" w:rsidP="00741CD1">
      <w:pPr>
        <w:pStyle w:val="ListParagraph"/>
        <w:spacing w:before="0" w:after="0" w:line="240" w:lineRule="auto"/>
        <w:rPr>
          <w:rFonts w:eastAsia="Times New Roman"/>
        </w:rPr>
      </w:pPr>
    </w:p>
    <w:p w14:paraId="041A8D20" w14:textId="77777777" w:rsidR="00741CD1" w:rsidRPr="00D33E05" w:rsidRDefault="00741CD1" w:rsidP="00741CD1">
      <w:pPr>
        <w:spacing w:before="0" w:after="0" w:line="240" w:lineRule="auto"/>
        <w:rPr>
          <w:rFonts w:eastAsia="Times New Roman"/>
        </w:rPr>
      </w:pPr>
      <w:r w:rsidRPr="00D33E05">
        <w:rPr>
          <w:rFonts w:eastAsia="Times New Roman"/>
        </w:rPr>
        <w:t xml:space="preserve">Tax agency authorisation is established via the </w:t>
      </w:r>
      <w:r>
        <w:rPr>
          <w:rFonts w:eastAsia="Times New Roman"/>
        </w:rPr>
        <w:t>‘M</w:t>
      </w:r>
      <w:r w:rsidRPr="00D33E05">
        <w:rPr>
          <w:rFonts w:eastAsia="Times New Roman"/>
        </w:rPr>
        <w:t xml:space="preserve">anage </w:t>
      </w:r>
      <w:r>
        <w:rPr>
          <w:rFonts w:eastAsia="Times New Roman"/>
        </w:rPr>
        <w:t>A</w:t>
      </w:r>
      <w:r w:rsidRPr="00D33E05">
        <w:rPr>
          <w:rFonts w:eastAsia="Times New Roman"/>
        </w:rPr>
        <w:t>ccess</w:t>
      </w:r>
      <w:r>
        <w:rPr>
          <w:rFonts w:eastAsia="Times New Roman"/>
        </w:rPr>
        <w:t>’</w:t>
      </w:r>
      <w:r w:rsidRPr="00D33E05">
        <w:rPr>
          <w:rFonts w:eastAsia="Times New Roman"/>
        </w:rPr>
        <w:t xml:space="preserve"> tile in the </w:t>
      </w:r>
      <w:r>
        <w:rPr>
          <w:rFonts w:eastAsia="Times New Roman"/>
        </w:rPr>
        <w:t>customer</w:t>
      </w:r>
      <w:r w:rsidRPr="00D33E05">
        <w:rPr>
          <w:rFonts w:eastAsia="Times New Roman"/>
        </w:rPr>
        <w:t xml:space="preserve"> portal</w:t>
      </w:r>
      <w:r>
        <w:rPr>
          <w:rFonts w:eastAsia="Times New Roman"/>
        </w:rPr>
        <w:t>.</w:t>
      </w:r>
      <w:r w:rsidRPr="00D33E05">
        <w:rPr>
          <w:rFonts w:eastAsia="Times New Roman"/>
        </w:rPr>
        <w:t xml:space="preserve"> </w:t>
      </w:r>
      <w:r>
        <w:rPr>
          <w:rFonts w:eastAsia="Times New Roman"/>
        </w:rPr>
        <w:t>G</w:t>
      </w:r>
      <w:r w:rsidRPr="00D33E05">
        <w:rPr>
          <w:rFonts w:eastAsia="Times New Roman"/>
        </w:rPr>
        <w:t xml:space="preserve">o to </w:t>
      </w:r>
      <w:r>
        <w:rPr>
          <w:rFonts w:eastAsia="Times New Roman"/>
        </w:rPr>
        <w:t>‘Switch Business’</w:t>
      </w:r>
      <w:r w:rsidRPr="00D33E05">
        <w:rPr>
          <w:rFonts w:eastAsia="Times New Roman"/>
        </w:rPr>
        <w:t xml:space="preserve"> to view the end date for each authorisation. </w:t>
      </w:r>
    </w:p>
    <w:p w14:paraId="09A4AC31" w14:textId="77777777" w:rsidR="00741CD1" w:rsidRPr="00DC0809" w:rsidRDefault="00741CD1" w:rsidP="00741CD1">
      <w:pPr>
        <w:spacing w:before="0" w:after="0" w:line="240" w:lineRule="auto"/>
        <w:rPr>
          <w:rStyle w:val="ui-provider"/>
          <w:rFonts w:eastAsia="Times New Roman"/>
        </w:rPr>
      </w:pPr>
    </w:p>
    <w:p w14:paraId="0D6E83AF" w14:textId="77777777" w:rsidR="00741CD1" w:rsidRDefault="00741CD1" w:rsidP="00741CD1">
      <w:pPr>
        <w:spacing w:before="0" w:after="0" w:line="240" w:lineRule="auto"/>
        <w:rPr>
          <w:rStyle w:val="ui-provider"/>
          <w:rFonts w:eastAsia="Times New Roman"/>
        </w:rPr>
      </w:pPr>
      <w:r w:rsidRPr="00D33E05">
        <w:rPr>
          <w:rStyle w:val="Heading4Char"/>
        </w:rPr>
        <w:t>Incorrect project/activity end date</w:t>
      </w:r>
      <w:r w:rsidRPr="00D33E05">
        <w:rPr>
          <w:rStyle w:val="ui-provider"/>
          <w:rFonts w:eastAsia="Times New Roman"/>
        </w:rPr>
        <w:t xml:space="preserve"> </w:t>
      </w:r>
    </w:p>
    <w:p w14:paraId="63BE86AC" w14:textId="77777777" w:rsidR="00741CD1" w:rsidRDefault="00741CD1" w:rsidP="00741CD1">
      <w:pPr>
        <w:spacing w:after="0" w:line="240" w:lineRule="auto"/>
        <w:rPr>
          <w:rStyle w:val="ui-provider"/>
          <w:rFonts w:eastAsia="Times New Roman"/>
        </w:rPr>
      </w:pPr>
      <w:r>
        <w:rPr>
          <w:rStyle w:val="ui-provider"/>
          <w:rFonts w:eastAsia="Times New Roman"/>
        </w:rPr>
        <w:t>P</w:t>
      </w:r>
      <w:r w:rsidRPr="00D33E05">
        <w:rPr>
          <w:rStyle w:val="ui-provider"/>
          <w:rFonts w:eastAsia="Times New Roman"/>
        </w:rPr>
        <w:t>re-filling for the next income year will only work for projects/activities that have an end date that continues into the next income year.</w:t>
      </w:r>
    </w:p>
    <w:p w14:paraId="1F4153DF" w14:textId="77777777" w:rsidR="00741CD1" w:rsidRDefault="00741CD1" w:rsidP="00741CD1">
      <w:pPr>
        <w:spacing w:before="0" w:after="0" w:line="240" w:lineRule="auto"/>
        <w:rPr>
          <w:rStyle w:val="ui-provider"/>
          <w:rFonts w:eastAsia="Times New Roman"/>
        </w:rPr>
      </w:pPr>
    </w:p>
    <w:p w14:paraId="283B4E41" w14:textId="77777777" w:rsidR="00741CD1" w:rsidRPr="00D33E05" w:rsidRDefault="00741CD1" w:rsidP="00741CD1">
      <w:pPr>
        <w:spacing w:before="0" w:after="0" w:line="240" w:lineRule="auto"/>
        <w:rPr>
          <w:rStyle w:val="Heading4Char"/>
        </w:rPr>
      </w:pPr>
      <w:r w:rsidRPr="00D33E05">
        <w:rPr>
          <w:rStyle w:val="Heading4Char"/>
        </w:rPr>
        <w:t xml:space="preserve">Delay in establishing customer portal access </w:t>
      </w:r>
    </w:p>
    <w:p w14:paraId="0635EEF4" w14:textId="77777777" w:rsidR="00741CD1" w:rsidRDefault="00741CD1" w:rsidP="00741CD1">
      <w:pPr>
        <w:rPr>
          <w:lang w:eastAsia="en-AU"/>
        </w:rPr>
      </w:pPr>
      <w:r>
        <w:rPr>
          <w:lang w:eastAsia="en-AU"/>
        </w:rPr>
        <w:t>Companies can miss the lodgement deadline if insufficient time is allowed for portal access</w:t>
      </w:r>
      <w:r w:rsidRPr="0072669A">
        <w:rPr>
          <w:lang w:eastAsia="en-AU"/>
        </w:rPr>
        <w:t xml:space="preserve">. </w:t>
      </w:r>
      <w:r>
        <w:rPr>
          <w:lang w:eastAsia="en-AU"/>
        </w:rPr>
        <w:t xml:space="preserve">Setting up a portal account for the first time </w:t>
      </w:r>
      <w:r w:rsidRPr="0072669A">
        <w:rPr>
          <w:lang w:eastAsia="en-AU"/>
        </w:rPr>
        <w:t>can take longer than expected</w:t>
      </w:r>
      <w:r>
        <w:rPr>
          <w:lang w:eastAsia="en-AU"/>
        </w:rPr>
        <w:t>, please encourage clients to commence this proce</w:t>
      </w:r>
      <w:r w:rsidRPr="009A69FA">
        <w:rPr>
          <w:lang w:eastAsia="en-AU"/>
        </w:rPr>
        <w:t>ss well in advance of the deadline.</w:t>
      </w:r>
    </w:p>
    <w:p w14:paraId="1186E6C5" w14:textId="015EB0FC" w:rsidR="00741CD1" w:rsidRPr="003251E6" w:rsidRDefault="00741CD1" w:rsidP="003251E6">
      <w:pPr>
        <w:spacing w:before="0" w:after="0" w:line="240" w:lineRule="auto"/>
        <w:rPr>
          <w:rStyle w:val="ui-provider"/>
          <w:rFonts w:eastAsia="Times New Roman"/>
        </w:rPr>
      </w:pPr>
      <w:r w:rsidRPr="00D33E05">
        <w:rPr>
          <w:rStyle w:val="ui-provider"/>
          <w:rFonts w:eastAsia="Times New Roman"/>
        </w:rPr>
        <w:t xml:space="preserve"> </w:t>
      </w:r>
    </w:p>
    <w:p w14:paraId="7F4FC2EB" w14:textId="77777777" w:rsidR="00741CD1" w:rsidRDefault="00741CD1" w:rsidP="00741CD1">
      <w:pPr>
        <w:pStyle w:val="Heading2"/>
      </w:pPr>
      <w:r>
        <w:t>Program guidance</w:t>
      </w:r>
    </w:p>
    <w:p w14:paraId="31F5A9C8" w14:textId="77777777" w:rsidR="00741CD1" w:rsidRDefault="00741CD1" w:rsidP="00741CD1">
      <w:pPr>
        <w:pStyle w:val="Heading3"/>
      </w:pPr>
      <w:r>
        <w:t xml:space="preserve">Information sessions </w:t>
      </w:r>
    </w:p>
    <w:p w14:paraId="387F339A" w14:textId="77777777" w:rsidR="00741CD1" w:rsidRDefault="00741CD1" w:rsidP="00741CD1">
      <w:r>
        <w:t>DISR and the ATO offer regular online information sessions to explain program requirements and assist companies to self-assess their R&amp;D activities. These sessions are tailored to entities that are new to the program and provide guidance on requirements for both activities and related expenditure, together with information on</w:t>
      </w:r>
      <w:r w:rsidRPr="00192070">
        <w:t xml:space="preserve"> how and when to apply</w:t>
      </w:r>
      <w:r>
        <w:t>,</w:t>
      </w:r>
      <w:r w:rsidRPr="00192070">
        <w:t xml:space="preserve"> and advice on record-keeping</w:t>
      </w:r>
      <w:r>
        <w:t>.</w:t>
      </w:r>
    </w:p>
    <w:p w14:paraId="02EB5B8A" w14:textId="77777777" w:rsidR="00741CD1" w:rsidRDefault="00741CD1" w:rsidP="00741CD1">
      <w:r>
        <w:t xml:space="preserve">To assist with accessing the customer portal, DISR offer information sessions which show attendees how to complete the authorisation process, login to the portal for the first time and authorising access for others such as staff, individual tax agents and a tax agency. </w:t>
      </w:r>
    </w:p>
    <w:p w14:paraId="1A236047" w14:textId="77777777" w:rsidR="00741CD1" w:rsidRPr="00ED5877" w:rsidRDefault="00741CD1" w:rsidP="00741CD1">
      <w:r>
        <w:t xml:space="preserve">All upcoming information sessions are listed on </w:t>
      </w:r>
      <w:hyperlink r:id="rId14" w:history="1">
        <w:r w:rsidRPr="0084583E">
          <w:rPr>
            <w:rStyle w:val="Hyperlink"/>
          </w:rPr>
          <w:t>business.gov.au/</w:t>
        </w:r>
        <w:proofErr w:type="spellStart"/>
        <w:r w:rsidRPr="0084583E">
          <w:rPr>
            <w:rStyle w:val="Hyperlink"/>
          </w:rPr>
          <w:t>rdti</w:t>
        </w:r>
        <w:proofErr w:type="spellEnd"/>
        <w:r w:rsidRPr="0084583E">
          <w:rPr>
            <w:rStyle w:val="Hyperlink"/>
          </w:rPr>
          <w:t>.</w:t>
        </w:r>
      </w:hyperlink>
      <w:r>
        <w:t xml:space="preserve"> </w:t>
      </w:r>
    </w:p>
    <w:p w14:paraId="5A313E8A" w14:textId="77777777" w:rsidR="00741CD1" w:rsidRDefault="00741CD1" w:rsidP="00741CD1">
      <w:pPr>
        <w:pStyle w:val="Heading3"/>
      </w:pPr>
      <w:r>
        <w:t xml:space="preserve">Website updates </w:t>
      </w:r>
    </w:p>
    <w:p w14:paraId="2E390E33" w14:textId="77777777" w:rsidR="00741CD1" w:rsidRDefault="00741CD1" w:rsidP="00741CD1">
      <w:r>
        <w:t xml:space="preserve">You can keep up with </w:t>
      </w:r>
      <w:r w:rsidRPr="37444530">
        <w:t xml:space="preserve">major changes to </w:t>
      </w:r>
      <w:r>
        <w:t xml:space="preserve">R&amp;DTI website content at </w:t>
      </w:r>
      <w:r w:rsidRPr="37444530">
        <w:t>business.gov.au/</w:t>
      </w:r>
      <w:proofErr w:type="spellStart"/>
      <w:r w:rsidRPr="37444530">
        <w:t>rdti</w:t>
      </w:r>
      <w:proofErr w:type="spellEnd"/>
      <w:r w:rsidRPr="37444530">
        <w:t xml:space="preserve"> </w:t>
      </w:r>
      <w:r>
        <w:t>by visiting this p</w:t>
      </w:r>
      <w:r w:rsidRPr="37444530">
        <w:t>age</w:t>
      </w:r>
      <w:r>
        <w:t>:</w:t>
      </w:r>
      <w:r w:rsidRPr="37444530">
        <w:t xml:space="preserve"> </w:t>
      </w:r>
      <w:hyperlink r:id="rId15">
        <w:r w:rsidRPr="00751D14">
          <w:rPr>
            <w:rStyle w:val="Hyperlink"/>
          </w:rPr>
          <w:t>latest updates to the R&amp;D Tax Incentive content</w:t>
        </w:r>
      </w:hyperlink>
      <w:r w:rsidRPr="00883A12">
        <w:t xml:space="preserve">. </w:t>
      </w:r>
      <w:r>
        <w:t xml:space="preserve">We recommend that you regularly </w:t>
      </w:r>
      <w:r w:rsidRPr="00883A12">
        <w:t xml:space="preserve">check this page </w:t>
      </w:r>
      <w:r w:rsidRPr="006E0291">
        <w:t xml:space="preserve">to ensure </w:t>
      </w:r>
      <w:r w:rsidRPr="00EF5889">
        <w:t>any c</w:t>
      </w:r>
      <w:r w:rsidRPr="37444530">
        <w:t xml:space="preserve">ontent you </w:t>
      </w:r>
      <w:r>
        <w:t xml:space="preserve">reference </w:t>
      </w:r>
      <w:r w:rsidRPr="37444530">
        <w:t xml:space="preserve">on your website </w:t>
      </w:r>
      <w:r>
        <w:t xml:space="preserve">is </w:t>
      </w:r>
      <w:r w:rsidRPr="37444530">
        <w:t>up</w:t>
      </w:r>
      <w:r>
        <w:t xml:space="preserve"> </w:t>
      </w:r>
      <w:r w:rsidRPr="37444530">
        <w:t>to</w:t>
      </w:r>
      <w:r>
        <w:t xml:space="preserve"> </w:t>
      </w:r>
      <w:r w:rsidRPr="37444530">
        <w:t xml:space="preserve">date.  </w:t>
      </w:r>
    </w:p>
    <w:p w14:paraId="5DE27ABD" w14:textId="77777777" w:rsidR="00741CD1" w:rsidRDefault="00741CD1" w:rsidP="00741CD1">
      <w:pPr>
        <w:pStyle w:val="Heading2"/>
      </w:pPr>
      <w:r>
        <w:lastRenderedPageBreak/>
        <w:t xml:space="preserve">Advance finding pilot </w:t>
      </w:r>
    </w:p>
    <w:p w14:paraId="548B980C" w14:textId="77777777" w:rsidR="00741CD1" w:rsidRDefault="00741CD1" w:rsidP="00741CD1">
      <w:pPr>
        <w:spacing w:before="0" w:after="0" w:line="240" w:lineRule="auto"/>
      </w:pPr>
      <w:r>
        <w:t xml:space="preserve">Industry feedback highlights the importance of providing program participants with upfront certainty before they register and obtain the tax offset. In response to this feedback, DISR </w:t>
      </w:r>
      <w:r w:rsidRPr="00A155BD">
        <w:t>has worked diligently</w:t>
      </w:r>
      <w:r>
        <w:t xml:space="preserve"> over the past year to streamline the advance finding process and deliver faster decisions. </w:t>
      </w:r>
      <w:r w:rsidRPr="00A155BD">
        <w:t xml:space="preserve">As part of this effort, DISR is now conducting a pilot program with software companies to showcase the progress that has been made </w:t>
      </w:r>
      <w:r>
        <w:t xml:space="preserve">to date </w:t>
      </w:r>
      <w:r w:rsidRPr="00A155BD">
        <w:t>and to test further improvements.</w:t>
      </w:r>
    </w:p>
    <w:p w14:paraId="0A54FA13" w14:textId="77777777" w:rsidR="00741CD1" w:rsidRDefault="00741CD1" w:rsidP="00741CD1">
      <w:pPr>
        <w:spacing w:before="0" w:after="0" w:line="240" w:lineRule="auto"/>
      </w:pPr>
    </w:p>
    <w:p w14:paraId="790A6C16" w14:textId="77777777" w:rsidR="00741CD1" w:rsidRDefault="00741CD1" w:rsidP="00741CD1">
      <w:pPr>
        <w:spacing w:before="0" w:after="0" w:line="240" w:lineRule="auto"/>
      </w:pPr>
      <w:r w:rsidRPr="00A155BD">
        <w:t xml:space="preserve">The pilot team held a webinar on 8 February 2023 to educate potentially eligible companies about advance findings, their </w:t>
      </w:r>
      <w:r>
        <w:t>benefits</w:t>
      </w:r>
      <w:r w:rsidRPr="00A155BD">
        <w:t>, and how to participate in the pilot.</w:t>
      </w:r>
      <w:r>
        <w:t xml:space="preserve"> </w:t>
      </w:r>
      <w:r w:rsidRPr="00A155BD">
        <w:t xml:space="preserve">Interested companies have until </w:t>
      </w:r>
      <w:r>
        <w:t xml:space="preserve">10 </w:t>
      </w:r>
      <w:r w:rsidRPr="00A155BD">
        <w:t>March 2023</w:t>
      </w:r>
      <w:r>
        <w:t xml:space="preserve"> </w:t>
      </w:r>
      <w:r w:rsidRPr="00A155BD">
        <w:t>to register for small group consultation sessions with an R&amp;DTI software expert. These sessions will provide clarity on eligible R&amp;D activities and allow for two-way communication to learn more about advance findings in the software context.</w:t>
      </w:r>
    </w:p>
    <w:p w14:paraId="1FE1893F" w14:textId="77777777" w:rsidR="00741CD1" w:rsidRDefault="00741CD1" w:rsidP="00741CD1">
      <w:pPr>
        <w:spacing w:before="0" w:after="0" w:line="240" w:lineRule="auto"/>
      </w:pPr>
    </w:p>
    <w:p w14:paraId="2A5AF61A" w14:textId="77777777" w:rsidR="00741CD1" w:rsidRPr="00A155BD" w:rsidRDefault="00741CD1" w:rsidP="00741CD1">
      <w:pPr>
        <w:spacing w:before="0" w:after="0" w:line="240" w:lineRule="auto"/>
      </w:pPr>
      <w:r w:rsidRPr="00A155BD">
        <w:t xml:space="preserve">Participants in the pilot program will then have until </w:t>
      </w:r>
      <w:r>
        <w:t xml:space="preserve">26 </w:t>
      </w:r>
      <w:r w:rsidRPr="00A155BD">
        <w:t>April 2023</w:t>
      </w:r>
      <w:r>
        <w:t xml:space="preserve"> </w:t>
      </w:r>
      <w:r w:rsidRPr="00A155BD">
        <w:t>to submit their advance finding applications</w:t>
      </w:r>
      <w:r>
        <w:t>. T</w:t>
      </w:r>
      <w:r w:rsidRPr="00A155BD">
        <w:t xml:space="preserve">he DISR team will conduct a full assessment and release decisions before </w:t>
      </w:r>
      <w:r>
        <w:t xml:space="preserve">30 </w:t>
      </w:r>
      <w:r w:rsidRPr="00A155BD">
        <w:t>June 2023.</w:t>
      </w:r>
    </w:p>
    <w:p w14:paraId="7EA01078" w14:textId="77777777" w:rsidR="00741CD1" w:rsidRDefault="00741CD1" w:rsidP="00741CD1">
      <w:pPr>
        <w:spacing w:before="0" w:after="0" w:line="240" w:lineRule="auto"/>
      </w:pPr>
    </w:p>
    <w:p w14:paraId="5DA4C14E" w14:textId="77777777" w:rsidR="00741CD1" w:rsidRDefault="00741CD1" w:rsidP="00741CD1">
      <w:pPr>
        <w:spacing w:before="0" w:after="0" w:line="240" w:lineRule="auto"/>
      </w:pPr>
      <w:r>
        <w:t xml:space="preserve">Companies interested in participating in the pilot should contact </w:t>
      </w:r>
      <w:hyperlink r:id="rId16" w:history="1">
        <w:r w:rsidRPr="00965F07">
          <w:rPr>
            <w:rStyle w:val="Hyperlink"/>
          </w:rPr>
          <w:t>rdti.engagement@industry.gov.au</w:t>
        </w:r>
      </w:hyperlink>
      <w:r>
        <w:t xml:space="preserve"> for more information. </w:t>
      </w:r>
    </w:p>
    <w:p w14:paraId="1498B4F7" w14:textId="77777777" w:rsidR="00741CD1" w:rsidRDefault="00741CD1" w:rsidP="00741CD1">
      <w:pPr>
        <w:pStyle w:val="Heading2"/>
      </w:pPr>
      <w:r>
        <w:t>Research service providers</w:t>
      </w:r>
    </w:p>
    <w:p w14:paraId="41632339" w14:textId="77777777" w:rsidR="00741CD1" w:rsidRDefault="00741CD1" w:rsidP="00741CD1">
      <w:pPr>
        <w:pStyle w:val="Heading3"/>
      </w:pPr>
      <w:r>
        <w:t>Guidance</w:t>
      </w:r>
    </w:p>
    <w:p w14:paraId="134B2417" w14:textId="77777777" w:rsidR="00741CD1" w:rsidRDefault="00741CD1" w:rsidP="00741CD1">
      <w:r>
        <w:t>We continue to use feedback</w:t>
      </w:r>
      <w:r w:rsidRPr="00120585">
        <w:t xml:space="preserve"> gathered at the 2022 Roundtable working group on Research Service Providers </w:t>
      </w:r>
      <w:r>
        <w:t>(RSPs)</w:t>
      </w:r>
      <w:r w:rsidRPr="00120585">
        <w:t xml:space="preserve"> to</w:t>
      </w:r>
      <w:r>
        <w:t xml:space="preserve"> inform our communication and education strategy. </w:t>
      </w:r>
    </w:p>
    <w:p w14:paraId="44B44CCA" w14:textId="77777777" w:rsidR="00741CD1" w:rsidRDefault="00741CD1" w:rsidP="00741CD1">
      <w:pPr>
        <w:rPr>
          <w:rFonts w:ascii="Calibri" w:hAnsi="Calibri" w:cs="Calibri"/>
          <w:color w:val="333333"/>
          <w:shd w:val="clear" w:color="auto" w:fill="FFFFFF"/>
        </w:rPr>
      </w:pPr>
      <w:r>
        <w:t xml:space="preserve">We have found that RSPs and companies who collaborate with RSPs are willing to share their experiences through customer stories.  We released a short video sharing various stories </w:t>
      </w:r>
      <w:r>
        <w:rPr>
          <w:rFonts w:ascii="Calibri" w:hAnsi="Calibri" w:cs="Calibri"/>
          <w:color w:val="333333"/>
          <w:shd w:val="clear" w:color="auto" w:fill="FFFFFF"/>
        </w:rPr>
        <w:t xml:space="preserve">from companies who have worked with RSPs, and a university professor involved in collaboration with companies. More customer stories are in production for release later in the year. </w:t>
      </w:r>
    </w:p>
    <w:p w14:paraId="53F2B155" w14:textId="77777777" w:rsidR="00741CD1" w:rsidRDefault="00741CD1" w:rsidP="00741CD1">
      <w:pPr>
        <w:rPr>
          <w:rFonts w:ascii="Calibri" w:hAnsi="Calibri" w:cs="Calibri"/>
          <w:color w:val="333333"/>
          <w:shd w:val="clear" w:color="auto" w:fill="FFFFFF"/>
        </w:rPr>
      </w:pPr>
      <w:r>
        <w:rPr>
          <w:rFonts w:ascii="Calibri" w:hAnsi="Calibri" w:cs="Calibri"/>
          <w:color w:val="333333"/>
          <w:shd w:val="clear" w:color="auto" w:fill="FFFFFF"/>
        </w:rPr>
        <w:t xml:space="preserve">We have updated the </w:t>
      </w:r>
      <w:hyperlink r:id="rId17" w:history="1">
        <w:r w:rsidRPr="00D9023F">
          <w:rPr>
            <w:rStyle w:val="Hyperlink"/>
            <w:rFonts w:ascii="Calibri" w:hAnsi="Calibri" w:cs="Calibri"/>
            <w:shd w:val="clear" w:color="auto" w:fill="FFFFFF"/>
          </w:rPr>
          <w:t>business.gov.au</w:t>
        </w:r>
      </w:hyperlink>
      <w:r>
        <w:rPr>
          <w:rFonts w:ascii="Calibri" w:hAnsi="Calibri" w:cs="Calibri"/>
          <w:color w:val="333333"/>
          <w:shd w:val="clear" w:color="auto" w:fill="FFFFFF"/>
        </w:rPr>
        <w:t xml:space="preserve"> webpage advising companies through a step-by-step guide on how to collaborate with RSPs. </w:t>
      </w:r>
    </w:p>
    <w:p w14:paraId="2089DC74" w14:textId="77777777" w:rsidR="00741CD1" w:rsidRPr="009962F0" w:rsidRDefault="00741CD1" w:rsidP="00741CD1">
      <w:pPr>
        <w:pStyle w:val="Heading3"/>
      </w:pPr>
      <w:r>
        <w:t>Registration updates</w:t>
      </w:r>
    </w:p>
    <w:p w14:paraId="63DB080F" w14:textId="77777777" w:rsidR="00741CD1" w:rsidRDefault="00741CD1" w:rsidP="00741CD1">
      <w:pPr>
        <w:rPr>
          <w:rFonts w:cstheme="minorHAnsi"/>
        </w:rPr>
      </w:pPr>
      <w:r>
        <w:rPr>
          <w:rFonts w:cstheme="minorHAnsi"/>
        </w:rPr>
        <w:t xml:space="preserve">The deadline is approaching for Research Service Providers to renew their registration for the 2023/24 financial year. </w:t>
      </w:r>
      <w:r w:rsidRPr="009962F0">
        <w:rPr>
          <w:rFonts w:cstheme="minorHAnsi"/>
        </w:rPr>
        <w:t>An online Smart Form</w:t>
      </w:r>
      <w:r>
        <w:rPr>
          <w:rFonts w:cstheme="minorHAnsi"/>
        </w:rPr>
        <w:t>,</w:t>
      </w:r>
      <w:r w:rsidRPr="009962F0">
        <w:rPr>
          <w:rFonts w:cstheme="minorHAnsi"/>
        </w:rPr>
        <w:t xml:space="preserve"> developed to</w:t>
      </w:r>
      <w:r w:rsidRPr="0021793A">
        <w:rPr>
          <w:rFonts w:cstheme="minorHAnsi"/>
        </w:rPr>
        <w:t xml:space="preserve"> provid</w:t>
      </w:r>
      <w:r>
        <w:rPr>
          <w:rFonts w:cstheme="minorHAnsi"/>
        </w:rPr>
        <w:t>e</w:t>
      </w:r>
      <w:r w:rsidRPr="0021793A">
        <w:rPr>
          <w:rFonts w:cstheme="minorHAnsi"/>
        </w:rPr>
        <w:t xml:space="preserve"> a better and consistent user experience for all RSPs</w:t>
      </w:r>
      <w:r>
        <w:rPr>
          <w:rFonts w:cstheme="minorHAnsi"/>
        </w:rPr>
        <w:t>,</w:t>
      </w:r>
      <w:r w:rsidRPr="009962F0">
        <w:rPr>
          <w:rFonts w:cstheme="minorHAnsi"/>
        </w:rPr>
        <w:t xml:space="preserve"> will be available from </w:t>
      </w:r>
      <w:r w:rsidRPr="00AD6D18">
        <w:rPr>
          <w:rFonts w:cstheme="minorHAnsi"/>
          <w:b/>
        </w:rPr>
        <w:t>Monday 1 May 2023</w:t>
      </w:r>
      <w:r>
        <w:rPr>
          <w:rFonts w:cstheme="minorHAnsi"/>
        </w:rPr>
        <w:t>. This form will be distributed to all RSPs currently registered with the program</w:t>
      </w:r>
      <w:r w:rsidRPr="009962F0">
        <w:rPr>
          <w:rFonts w:cstheme="minorHAnsi"/>
        </w:rPr>
        <w:t xml:space="preserve"> through our annual renewal communication. </w:t>
      </w:r>
    </w:p>
    <w:p w14:paraId="64D110F2" w14:textId="77777777" w:rsidR="00741CD1" w:rsidRPr="009962F0" w:rsidRDefault="00741CD1" w:rsidP="00741CD1">
      <w:pPr>
        <w:pStyle w:val="Heading4"/>
      </w:pPr>
      <w:r>
        <w:t>What you need to know</w:t>
      </w:r>
    </w:p>
    <w:p w14:paraId="43840A87" w14:textId="77777777" w:rsidR="00741CD1" w:rsidRPr="002E03C2" w:rsidRDefault="00741CD1" w:rsidP="00741CD1">
      <w:pPr>
        <w:pStyle w:val="ListParagraph"/>
        <w:numPr>
          <w:ilvl w:val="0"/>
          <w:numId w:val="19"/>
        </w:numPr>
        <w:rPr>
          <w:rFonts w:cstheme="minorHAnsi"/>
        </w:rPr>
      </w:pPr>
      <w:r w:rsidRPr="002E03C2">
        <w:rPr>
          <w:rFonts w:cstheme="minorHAnsi"/>
        </w:rPr>
        <w:t xml:space="preserve">Registrants can review their existing </w:t>
      </w:r>
      <w:r w:rsidRPr="00AD6D18">
        <w:rPr>
          <w:rFonts w:cstheme="minorHAnsi"/>
          <w:i/>
        </w:rPr>
        <w:t>Fields of Research</w:t>
      </w:r>
      <w:r w:rsidRPr="002E03C2">
        <w:rPr>
          <w:rFonts w:cstheme="minorHAnsi"/>
        </w:rPr>
        <w:t xml:space="preserve"> on the </w:t>
      </w:r>
      <w:hyperlink r:id="rId18" w:history="1">
        <w:r w:rsidRPr="002E03C2">
          <w:rPr>
            <w:rStyle w:val="Hyperlink"/>
            <w:rFonts w:cstheme="minorHAnsi"/>
          </w:rPr>
          <w:t>online register</w:t>
        </w:r>
      </w:hyperlink>
      <w:r w:rsidRPr="00282A3A">
        <w:rPr>
          <w:rFonts w:cstheme="minorHAnsi"/>
        </w:rPr>
        <w:t xml:space="preserve"> and reflect  updates to their </w:t>
      </w:r>
      <w:r w:rsidRPr="00AD6D18">
        <w:rPr>
          <w:rFonts w:cstheme="minorHAnsi"/>
          <w:i/>
        </w:rPr>
        <w:t>Fields of Research</w:t>
      </w:r>
      <w:r w:rsidRPr="002E03C2">
        <w:rPr>
          <w:rFonts w:cstheme="minorHAnsi"/>
        </w:rPr>
        <w:t xml:space="preserve"> in the RSP application.</w:t>
      </w:r>
    </w:p>
    <w:p w14:paraId="3B94A520" w14:textId="77777777" w:rsidR="00741CD1" w:rsidRPr="00AD6D18" w:rsidRDefault="00741CD1" w:rsidP="00741CD1">
      <w:pPr>
        <w:pStyle w:val="ListParagraph"/>
        <w:numPr>
          <w:ilvl w:val="0"/>
          <w:numId w:val="19"/>
        </w:numPr>
        <w:rPr>
          <w:rFonts w:cstheme="minorHAnsi"/>
        </w:rPr>
      </w:pPr>
      <w:r w:rsidRPr="00282A3A">
        <w:rPr>
          <w:rFonts w:cstheme="minorHAnsi"/>
        </w:rPr>
        <w:t xml:space="preserve">Applications are due by 31 May 2023 and the smart form will be decommissioned at 11:59pm (AEST) on 30 June 2023. The </w:t>
      </w:r>
      <w:hyperlink r:id="rId19" w:history="1">
        <w:r w:rsidRPr="002E03C2">
          <w:rPr>
            <w:rStyle w:val="Hyperlink"/>
            <w:rFonts w:cstheme="minorHAnsi"/>
          </w:rPr>
          <w:t>online register</w:t>
        </w:r>
      </w:hyperlink>
      <w:r w:rsidRPr="00AD6D18">
        <w:rPr>
          <w:rFonts w:cstheme="minorHAnsi"/>
        </w:rPr>
        <w:t xml:space="preserve"> will be updated in July 2023.</w:t>
      </w:r>
    </w:p>
    <w:p w14:paraId="508F8C6C" w14:textId="77777777" w:rsidR="00741CD1" w:rsidRPr="00AD6D18" w:rsidRDefault="00741CD1" w:rsidP="00741CD1">
      <w:pPr>
        <w:pStyle w:val="ListParagraph"/>
        <w:numPr>
          <w:ilvl w:val="0"/>
          <w:numId w:val="19"/>
        </w:numPr>
        <w:rPr>
          <w:rFonts w:cstheme="minorHAnsi"/>
        </w:rPr>
      </w:pPr>
      <w:r w:rsidRPr="00AD6D18">
        <w:rPr>
          <w:rFonts w:cstheme="minorHAnsi"/>
        </w:rPr>
        <w:t xml:space="preserve">With the decommissioning of our Smart Forms, this renewal process will migrate to the R&amp;DTI Customer Portal which will align RSP registrations with registrations for the R&amp;DTI program.  </w:t>
      </w:r>
    </w:p>
    <w:p w14:paraId="2E0AF63C" w14:textId="77777777" w:rsidR="00741CD1" w:rsidRPr="002E03C2" w:rsidRDefault="00741CD1" w:rsidP="00741CD1">
      <w:pPr>
        <w:pStyle w:val="ListParagraph"/>
        <w:numPr>
          <w:ilvl w:val="0"/>
          <w:numId w:val="19"/>
        </w:numPr>
        <w:rPr>
          <w:rFonts w:cstheme="minorHAnsi"/>
        </w:rPr>
      </w:pPr>
      <w:r w:rsidRPr="002E03C2">
        <w:rPr>
          <w:rFonts w:cstheme="minorHAnsi"/>
        </w:rPr>
        <w:t>From 1 July 2023, all RSP application forms will be available in the R&amp;DTI Customer Portal</w:t>
      </w:r>
      <w:r>
        <w:rPr>
          <w:rFonts w:cstheme="minorHAnsi"/>
        </w:rPr>
        <w:t>.</w:t>
      </w:r>
      <w:r w:rsidRPr="00282A3A">
        <w:rPr>
          <w:rFonts w:cstheme="minorHAnsi"/>
        </w:rPr>
        <w:t xml:space="preserve"> This will include New RSP Applications, RSP Variation Applications and RSP Annual Renewal Applications.</w:t>
      </w:r>
    </w:p>
    <w:p w14:paraId="75951DF5" w14:textId="77777777" w:rsidR="00741CD1" w:rsidRPr="00AD6D18" w:rsidRDefault="00741CD1" w:rsidP="00741CD1">
      <w:pPr>
        <w:pStyle w:val="ListParagraph"/>
        <w:numPr>
          <w:ilvl w:val="0"/>
          <w:numId w:val="19"/>
        </w:numPr>
        <w:rPr>
          <w:rFonts w:cstheme="minorHAnsi"/>
        </w:rPr>
      </w:pPr>
      <w:r w:rsidRPr="00282A3A">
        <w:rPr>
          <w:rFonts w:cstheme="minorHAnsi"/>
        </w:rPr>
        <w:t>New users of the R&amp;DTI Customer Portal can view a walk-through of the customer portal on the customer portal help and support page</w:t>
      </w:r>
      <w:r w:rsidRPr="00AD6D18">
        <w:rPr>
          <w:rFonts w:cstheme="minorHAnsi"/>
        </w:rPr>
        <w:t xml:space="preserve"> at </w:t>
      </w:r>
      <w:hyperlink r:id="rId20" w:history="1">
        <w:r w:rsidRPr="002E03C2">
          <w:rPr>
            <w:rStyle w:val="Hyperlink"/>
            <w:rFonts w:cstheme="minorHAnsi"/>
          </w:rPr>
          <w:t>business.gov.au/</w:t>
        </w:r>
        <w:proofErr w:type="spellStart"/>
        <w:r w:rsidRPr="002E03C2">
          <w:rPr>
            <w:rStyle w:val="Hyperlink"/>
            <w:rFonts w:cstheme="minorHAnsi"/>
          </w:rPr>
          <w:t>rdti</w:t>
        </w:r>
        <w:proofErr w:type="spellEnd"/>
        <w:r w:rsidRPr="002E03C2">
          <w:rPr>
            <w:rStyle w:val="Hyperlink"/>
            <w:rFonts w:cstheme="minorHAnsi"/>
          </w:rPr>
          <w:t>.</w:t>
        </w:r>
      </w:hyperlink>
      <w:r w:rsidRPr="00AD6D18">
        <w:rPr>
          <w:rFonts w:cstheme="minorHAnsi"/>
        </w:rPr>
        <w:t xml:space="preserve"> </w:t>
      </w:r>
    </w:p>
    <w:p w14:paraId="74AB28C0" w14:textId="77777777" w:rsidR="00741CD1" w:rsidRPr="009962F0" w:rsidRDefault="00741CD1" w:rsidP="00741CD1">
      <w:pPr>
        <w:rPr>
          <w:rFonts w:cstheme="minorHAnsi"/>
        </w:rPr>
      </w:pPr>
      <w:r w:rsidRPr="009962F0">
        <w:rPr>
          <w:rFonts w:cstheme="minorHAnsi"/>
        </w:rPr>
        <w:t xml:space="preserve">The RSP team can be contacted at </w:t>
      </w:r>
      <w:hyperlink r:id="rId21" w:history="1">
        <w:r w:rsidRPr="009962F0">
          <w:rPr>
            <w:rStyle w:val="Hyperlink"/>
            <w:rFonts w:cstheme="minorHAnsi"/>
          </w:rPr>
          <w:t>rsp@industry.gov.au</w:t>
        </w:r>
      </w:hyperlink>
      <w:r w:rsidRPr="009962F0">
        <w:rPr>
          <w:rFonts w:cstheme="minorHAnsi"/>
        </w:rPr>
        <w:t xml:space="preserve"> for assistance.</w:t>
      </w:r>
    </w:p>
    <w:p w14:paraId="65474B8D" w14:textId="77777777" w:rsidR="00741CD1" w:rsidRDefault="00741CD1" w:rsidP="00741CD1">
      <w:pPr>
        <w:pStyle w:val="Heading2"/>
      </w:pPr>
      <w:r>
        <w:lastRenderedPageBreak/>
        <w:t>Registration and claims data</w:t>
      </w:r>
    </w:p>
    <w:p w14:paraId="7B2A5F86" w14:textId="77777777" w:rsidR="00741CD1" w:rsidRDefault="00741CD1" w:rsidP="00741CD1">
      <w:r w:rsidRPr="1D3F86BC">
        <w:t>The below figures demonstrate R&amp;D</w:t>
      </w:r>
      <w:r>
        <w:t xml:space="preserve"> </w:t>
      </w:r>
      <w:r w:rsidRPr="1D3F86BC">
        <w:t>T</w:t>
      </w:r>
      <w:r>
        <w:t xml:space="preserve">ax </w:t>
      </w:r>
      <w:r w:rsidRPr="1D3F86BC">
        <w:t>I</w:t>
      </w:r>
      <w:r>
        <w:t>ncentive</w:t>
      </w:r>
      <w:r w:rsidRPr="1D3F86BC">
        <w:t xml:space="preserve"> registrations for the 2020/2021 income period. This is the most recent </w:t>
      </w:r>
      <w:r>
        <w:t xml:space="preserve">complete </w:t>
      </w:r>
      <w:r w:rsidRPr="1D3F86BC">
        <w:t xml:space="preserve">dataset due to the application period closing 10 months after the end of the financial year. </w:t>
      </w:r>
    </w:p>
    <w:p w14:paraId="239F88D3" w14:textId="77777777" w:rsidR="00741CD1" w:rsidRDefault="00741CD1" w:rsidP="00741CD1">
      <w:r w:rsidRPr="1D3F86BC">
        <w:t xml:space="preserve">Please note that where the count of registrations for a metric is less than 5, or expenditure is below 1 million dollars, the information is not presented. </w:t>
      </w:r>
    </w:p>
    <w:p w14:paraId="3A50C4EB" w14:textId="77777777" w:rsidR="00741CD1" w:rsidRPr="00751D14" w:rsidRDefault="00741CD1" w:rsidP="00741CD1">
      <w:pPr>
        <w:pStyle w:val="Heading5"/>
        <w:rPr>
          <w:b/>
        </w:rPr>
      </w:pPr>
      <w:r w:rsidRPr="00796BCD">
        <w:rPr>
          <w:i w:val="0"/>
          <w:lang w:eastAsia="en-AU"/>
        </w:rPr>
        <w:t>Table 1:  Overall registrations</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44"/>
        <w:gridCol w:w="3686"/>
      </w:tblGrid>
      <w:tr w:rsidR="00741CD1" w:rsidRPr="0041136F" w14:paraId="43DB9E0A" w14:textId="77777777" w:rsidTr="00822F93">
        <w:trPr>
          <w:trHeight w:val="300"/>
        </w:trPr>
        <w:tc>
          <w:tcPr>
            <w:tcW w:w="7230" w:type="dxa"/>
            <w:gridSpan w:val="2"/>
            <w:tcBorders>
              <w:top w:val="nil"/>
              <w:left w:val="nil"/>
              <w:bottom w:val="nil"/>
              <w:right w:val="nil"/>
            </w:tcBorders>
            <w:shd w:val="clear" w:color="auto" w:fill="auto"/>
            <w:vAlign w:val="bottom"/>
            <w:hideMark/>
          </w:tcPr>
          <w:p w14:paraId="479F4309" w14:textId="77777777" w:rsidR="00741CD1" w:rsidRPr="0041136F" w:rsidRDefault="00741CD1" w:rsidP="00822F93">
            <w:pPr>
              <w:pStyle w:val="TableHeading"/>
              <w:rPr>
                <w:rFonts w:ascii="Times New Roman" w:hAnsi="Times New Roman" w:cs="Times New Roman"/>
                <w:color w:val="auto"/>
                <w:sz w:val="24"/>
                <w:szCs w:val="24"/>
                <w:lang w:eastAsia="en-AU"/>
              </w:rPr>
            </w:pPr>
            <w:r w:rsidRPr="79E4B837">
              <w:rPr>
                <w:lang w:eastAsia="en-AU"/>
              </w:rPr>
              <w:t xml:space="preserve">R&amp;D Tax Incentive Program </w:t>
            </w:r>
            <w:r>
              <w:rPr>
                <w:lang w:eastAsia="en-AU"/>
              </w:rPr>
              <w:t>REGISTRATIONS</w:t>
            </w:r>
            <w:r w:rsidRPr="79E4B837">
              <w:rPr>
                <w:color w:val="auto"/>
                <w:lang w:eastAsia="en-AU"/>
              </w:rPr>
              <w:t> </w:t>
            </w:r>
          </w:p>
        </w:tc>
      </w:tr>
      <w:tr w:rsidR="00741CD1" w:rsidRPr="0041136F" w14:paraId="3FBC2415" w14:textId="77777777" w:rsidTr="00822F93">
        <w:trPr>
          <w:trHeight w:val="300"/>
        </w:trPr>
        <w:tc>
          <w:tcPr>
            <w:tcW w:w="3544" w:type="dxa"/>
            <w:tcBorders>
              <w:top w:val="nil"/>
              <w:left w:val="nil"/>
              <w:bottom w:val="nil"/>
              <w:right w:val="nil"/>
            </w:tcBorders>
            <w:shd w:val="clear" w:color="auto" w:fill="FFFFFF" w:themeFill="background1"/>
            <w:vAlign w:val="bottom"/>
            <w:hideMark/>
          </w:tcPr>
          <w:p w14:paraId="5B4AC371" w14:textId="77777777" w:rsidR="00741CD1" w:rsidRPr="0041136F" w:rsidRDefault="00741CD1" w:rsidP="00822F93">
            <w:pPr>
              <w:rPr>
                <w:rFonts w:ascii="Times New Roman" w:hAnsi="Times New Roman" w:cs="Times New Roman"/>
                <w:color w:val="auto"/>
                <w:sz w:val="24"/>
                <w:szCs w:val="24"/>
                <w:lang w:eastAsia="en-AU"/>
              </w:rPr>
            </w:pPr>
            <w:r w:rsidRPr="79E4B837">
              <w:rPr>
                <w:lang w:eastAsia="en-AU"/>
              </w:rPr>
              <w:t>Number of Registrations</w:t>
            </w:r>
            <w:r w:rsidRPr="79E4B837">
              <w:rPr>
                <w:color w:val="auto"/>
                <w:lang w:eastAsia="en-AU"/>
              </w:rPr>
              <w:t> </w:t>
            </w:r>
          </w:p>
        </w:tc>
        <w:tc>
          <w:tcPr>
            <w:tcW w:w="3686" w:type="dxa"/>
            <w:tcBorders>
              <w:top w:val="nil"/>
              <w:left w:val="nil"/>
              <w:bottom w:val="nil"/>
              <w:right w:val="nil"/>
            </w:tcBorders>
            <w:shd w:val="clear" w:color="auto" w:fill="FFFFFF" w:themeFill="background1"/>
            <w:vAlign w:val="bottom"/>
            <w:hideMark/>
          </w:tcPr>
          <w:p w14:paraId="5E38AFC6" w14:textId="77777777" w:rsidR="00741CD1" w:rsidRPr="0041136F" w:rsidRDefault="00741CD1" w:rsidP="00822F93">
            <w:pPr>
              <w:rPr>
                <w:rFonts w:ascii="Times New Roman" w:hAnsi="Times New Roman" w:cs="Times New Roman"/>
                <w:color w:val="auto"/>
                <w:sz w:val="24"/>
                <w:szCs w:val="24"/>
                <w:lang w:eastAsia="en-AU"/>
              </w:rPr>
            </w:pPr>
            <w:r w:rsidRPr="79E4B837">
              <w:rPr>
                <w:lang w:eastAsia="en-AU"/>
              </w:rPr>
              <w:t>12,</w:t>
            </w:r>
            <w:r>
              <w:rPr>
                <w:lang w:eastAsia="en-AU"/>
              </w:rPr>
              <w:t>403</w:t>
            </w:r>
            <w:r w:rsidRPr="79E4B837">
              <w:rPr>
                <w:color w:val="auto"/>
                <w:lang w:eastAsia="en-AU"/>
              </w:rPr>
              <w:t> </w:t>
            </w:r>
          </w:p>
        </w:tc>
      </w:tr>
      <w:tr w:rsidR="00741CD1" w:rsidRPr="0041136F" w14:paraId="2095EE11" w14:textId="77777777" w:rsidTr="00822F93">
        <w:trPr>
          <w:trHeight w:val="300"/>
        </w:trPr>
        <w:tc>
          <w:tcPr>
            <w:tcW w:w="3544" w:type="dxa"/>
            <w:tcBorders>
              <w:top w:val="nil"/>
              <w:left w:val="nil"/>
              <w:bottom w:val="single" w:sz="4" w:space="0" w:color="auto"/>
              <w:right w:val="nil"/>
            </w:tcBorders>
            <w:shd w:val="clear" w:color="auto" w:fill="auto"/>
            <w:vAlign w:val="bottom"/>
            <w:hideMark/>
          </w:tcPr>
          <w:p w14:paraId="2FC11BB6" w14:textId="77777777" w:rsidR="00741CD1" w:rsidRPr="0041136F" w:rsidRDefault="00741CD1" w:rsidP="00822F93">
            <w:pPr>
              <w:rPr>
                <w:rFonts w:ascii="Times New Roman" w:hAnsi="Times New Roman" w:cs="Times New Roman"/>
                <w:color w:val="auto"/>
                <w:sz w:val="24"/>
                <w:szCs w:val="24"/>
                <w:lang w:eastAsia="en-AU"/>
              </w:rPr>
            </w:pPr>
            <w:r>
              <w:rPr>
                <w:lang w:eastAsia="en-AU"/>
              </w:rPr>
              <w:t>R&amp;D E</w:t>
            </w:r>
            <w:r w:rsidRPr="79E4B837">
              <w:rPr>
                <w:lang w:eastAsia="en-AU"/>
              </w:rPr>
              <w:t>xpenditure (</w:t>
            </w:r>
            <w:r w:rsidRPr="79E4B837">
              <w:rPr>
                <w:b/>
                <w:bCs/>
                <w:lang w:eastAsia="en-AU"/>
              </w:rPr>
              <w:t>billion</w:t>
            </w:r>
            <w:r w:rsidRPr="79E4B837">
              <w:rPr>
                <w:lang w:eastAsia="en-AU"/>
              </w:rPr>
              <w:t>)</w:t>
            </w:r>
            <w:r w:rsidRPr="79E4B837">
              <w:rPr>
                <w:color w:val="auto"/>
                <w:lang w:eastAsia="en-AU"/>
              </w:rPr>
              <w:t> </w:t>
            </w:r>
          </w:p>
        </w:tc>
        <w:tc>
          <w:tcPr>
            <w:tcW w:w="3686" w:type="dxa"/>
            <w:tcBorders>
              <w:top w:val="nil"/>
              <w:left w:val="nil"/>
              <w:bottom w:val="single" w:sz="4" w:space="0" w:color="auto"/>
              <w:right w:val="nil"/>
            </w:tcBorders>
            <w:shd w:val="clear" w:color="auto" w:fill="auto"/>
            <w:vAlign w:val="bottom"/>
            <w:hideMark/>
          </w:tcPr>
          <w:p w14:paraId="1E50E60B" w14:textId="77777777" w:rsidR="00741CD1" w:rsidRPr="0041136F" w:rsidRDefault="00741CD1" w:rsidP="00822F93">
            <w:pPr>
              <w:rPr>
                <w:rFonts w:ascii="Times New Roman" w:hAnsi="Times New Roman" w:cs="Times New Roman"/>
                <w:color w:val="auto"/>
                <w:sz w:val="24"/>
                <w:szCs w:val="24"/>
                <w:lang w:eastAsia="en-AU"/>
              </w:rPr>
            </w:pPr>
            <w:r w:rsidRPr="79E4B837">
              <w:rPr>
                <w:lang w:eastAsia="en-AU"/>
              </w:rPr>
              <w:t>$13.</w:t>
            </w:r>
            <w:r>
              <w:rPr>
                <w:lang w:eastAsia="en-AU"/>
              </w:rPr>
              <w:t>40</w:t>
            </w:r>
            <w:r w:rsidRPr="79E4B837">
              <w:rPr>
                <w:color w:val="auto"/>
                <w:lang w:eastAsia="en-AU"/>
              </w:rPr>
              <w:t> </w:t>
            </w:r>
          </w:p>
        </w:tc>
      </w:tr>
    </w:tbl>
    <w:p w14:paraId="32DAD340" w14:textId="77777777" w:rsidR="00741CD1" w:rsidRPr="00751D14" w:rsidRDefault="00741CD1" w:rsidP="00741CD1">
      <w:pPr>
        <w:pStyle w:val="Heading5"/>
        <w:rPr>
          <w:b/>
          <w:lang w:val="en-US" w:eastAsia="en-AU"/>
        </w:rPr>
      </w:pPr>
      <w:r w:rsidRPr="00796BCD">
        <w:rPr>
          <w:i w:val="0"/>
          <w:lang w:eastAsia="en-AU"/>
        </w:rPr>
        <w:t>Table 2: Comparison of registrations and expenditure by organisation size</w:t>
      </w:r>
    </w:p>
    <w:tbl>
      <w:tblPr>
        <w:tblW w:w="0" w:type="auto"/>
        <w:tblCellMar>
          <w:top w:w="15" w:type="dxa"/>
          <w:left w:w="15" w:type="dxa"/>
          <w:bottom w:w="15" w:type="dxa"/>
          <w:right w:w="15" w:type="dxa"/>
        </w:tblCellMar>
        <w:tblLook w:val="04A0" w:firstRow="1" w:lastRow="0" w:firstColumn="1" w:lastColumn="0" w:noHBand="0" w:noVBand="1"/>
      </w:tblPr>
      <w:tblGrid>
        <w:gridCol w:w="3119"/>
        <w:gridCol w:w="2055"/>
        <w:gridCol w:w="2056"/>
      </w:tblGrid>
      <w:tr w:rsidR="00741CD1" w:rsidRPr="0041136F" w14:paraId="0E851BCB" w14:textId="77777777" w:rsidTr="00822F93">
        <w:trPr>
          <w:trHeight w:val="300"/>
        </w:trPr>
        <w:tc>
          <w:tcPr>
            <w:tcW w:w="3119" w:type="dxa"/>
            <w:shd w:val="clear" w:color="auto" w:fill="auto"/>
            <w:vAlign w:val="bottom"/>
            <w:hideMark/>
          </w:tcPr>
          <w:p w14:paraId="0FE70642" w14:textId="77777777" w:rsidR="00741CD1" w:rsidRPr="0041136F" w:rsidRDefault="00741CD1" w:rsidP="00822F93">
            <w:pPr>
              <w:pStyle w:val="FigureHeading"/>
              <w:rPr>
                <w:rFonts w:ascii="Times New Roman" w:hAnsi="Times New Roman" w:cs="Times New Roman"/>
                <w:sz w:val="24"/>
                <w:szCs w:val="24"/>
                <w:lang w:eastAsia="en-AU"/>
              </w:rPr>
            </w:pPr>
            <w:r>
              <w:rPr>
                <w:lang w:eastAsia="en-AU"/>
              </w:rPr>
              <w:t>registrations/expenditure</w:t>
            </w:r>
          </w:p>
        </w:tc>
        <w:tc>
          <w:tcPr>
            <w:tcW w:w="2055" w:type="dxa"/>
            <w:shd w:val="clear" w:color="auto" w:fill="auto"/>
            <w:vAlign w:val="center"/>
            <w:hideMark/>
          </w:tcPr>
          <w:p w14:paraId="2CE7DACF" w14:textId="77777777" w:rsidR="00741CD1" w:rsidRPr="0041136F" w:rsidRDefault="00741CD1" w:rsidP="00822F93">
            <w:pPr>
              <w:pStyle w:val="FigureHeading"/>
              <w:jc w:val="center"/>
              <w:rPr>
                <w:rFonts w:ascii="Times New Roman" w:hAnsi="Times New Roman" w:cs="Times New Roman"/>
                <w:sz w:val="24"/>
                <w:szCs w:val="24"/>
                <w:lang w:eastAsia="en-AU"/>
              </w:rPr>
            </w:pPr>
            <w:r w:rsidRPr="79E4B837">
              <w:rPr>
                <w:lang w:eastAsia="en-AU"/>
              </w:rPr>
              <w:t>SMEs</w:t>
            </w:r>
          </w:p>
        </w:tc>
        <w:tc>
          <w:tcPr>
            <w:tcW w:w="2056" w:type="dxa"/>
            <w:shd w:val="clear" w:color="auto" w:fill="auto"/>
            <w:vAlign w:val="center"/>
            <w:hideMark/>
          </w:tcPr>
          <w:p w14:paraId="55C1FFF4" w14:textId="77777777" w:rsidR="00741CD1" w:rsidRPr="0041136F" w:rsidRDefault="00741CD1" w:rsidP="00822F93">
            <w:pPr>
              <w:pStyle w:val="FigureHeading"/>
              <w:jc w:val="center"/>
              <w:rPr>
                <w:rFonts w:ascii="Times New Roman" w:hAnsi="Times New Roman" w:cs="Times New Roman"/>
                <w:sz w:val="24"/>
                <w:szCs w:val="24"/>
                <w:lang w:eastAsia="en-AU"/>
              </w:rPr>
            </w:pPr>
            <w:r w:rsidRPr="79E4B837">
              <w:rPr>
                <w:lang w:eastAsia="en-AU"/>
              </w:rPr>
              <w:t>Large Companies</w:t>
            </w:r>
          </w:p>
        </w:tc>
      </w:tr>
      <w:tr w:rsidR="00741CD1" w:rsidRPr="0041136F" w14:paraId="6A417C97" w14:textId="77777777" w:rsidTr="00822F93">
        <w:trPr>
          <w:trHeight w:val="300"/>
        </w:trPr>
        <w:tc>
          <w:tcPr>
            <w:tcW w:w="3119" w:type="dxa"/>
            <w:shd w:val="clear" w:color="auto" w:fill="auto"/>
            <w:vAlign w:val="bottom"/>
            <w:hideMark/>
          </w:tcPr>
          <w:p w14:paraId="238800A8" w14:textId="77777777" w:rsidR="00741CD1" w:rsidRPr="0041136F" w:rsidRDefault="00741CD1" w:rsidP="00822F93">
            <w:pPr>
              <w:rPr>
                <w:rFonts w:ascii="Times New Roman" w:hAnsi="Times New Roman" w:cs="Times New Roman"/>
                <w:color w:val="auto"/>
                <w:sz w:val="24"/>
                <w:szCs w:val="24"/>
                <w:lang w:eastAsia="en-AU"/>
              </w:rPr>
            </w:pPr>
            <w:r w:rsidRPr="79E4B837">
              <w:rPr>
                <w:lang w:eastAsia="en-AU"/>
              </w:rPr>
              <w:t>Number of Registrations</w:t>
            </w:r>
            <w:r w:rsidRPr="79E4B837">
              <w:rPr>
                <w:color w:val="auto"/>
                <w:lang w:eastAsia="en-AU"/>
              </w:rPr>
              <w:t> </w:t>
            </w:r>
          </w:p>
        </w:tc>
        <w:tc>
          <w:tcPr>
            <w:tcW w:w="2055" w:type="dxa"/>
            <w:shd w:val="clear" w:color="auto" w:fill="auto"/>
            <w:vAlign w:val="bottom"/>
            <w:hideMark/>
          </w:tcPr>
          <w:p w14:paraId="338DF291" w14:textId="77777777" w:rsidR="00741CD1" w:rsidRPr="0041136F" w:rsidRDefault="00741CD1" w:rsidP="00822F93">
            <w:pPr>
              <w:jc w:val="center"/>
              <w:rPr>
                <w:rFonts w:ascii="Times New Roman" w:hAnsi="Times New Roman" w:cs="Times New Roman"/>
                <w:color w:val="auto"/>
                <w:sz w:val="24"/>
                <w:szCs w:val="24"/>
                <w:lang w:eastAsia="en-AU"/>
              </w:rPr>
            </w:pPr>
            <w:r>
              <w:rPr>
                <w:rFonts w:eastAsia="Times New Roman"/>
                <w:color w:val="000000"/>
                <w:lang w:eastAsia="en-AU"/>
              </w:rPr>
              <w:t xml:space="preserve">10,871 </w:t>
            </w:r>
          </w:p>
        </w:tc>
        <w:tc>
          <w:tcPr>
            <w:tcW w:w="2056" w:type="dxa"/>
            <w:shd w:val="clear" w:color="auto" w:fill="auto"/>
            <w:vAlign w:val="bottom"/>
            <w:hideMark/>
          </w:tcPr>
          <w:p w14:paraId="679F6DBB" w14:textId="77777777" w:rsidR="00741CD1" w:rsidRPr="0041136F" w:rsidRDefault="00741CD1" w:rsidP="00822F93">
            <w:pPr>
              <w:jc w:val="center"/>
              <w:rPr>
                <w:rFonts w:ascii="Times New Roman" w:hAnsi="Times New Roman" w:cs="Times New Roman"/>
                <w:color w:val="auto"/>
                <w:sz w:val="24"/>
                <w:szCs w:val="24"/>
                <w:lang w:eastAsia="en-AU"/>
              </w:rPr>
            </w:pPr>
            <w:r>
              <w:rPr>
                <w:rFonts w:eastAsia="Times New Roman"/>
                <w:color w:val="000000"/>
                <w:lang w:eastAsia="en-AU"/>
              </w:rPr>
              <w:t xml:space="preserve">1,532 </w:t>
            </w:r>
          </w:p>
        </w:tc>
      </w:tr>
      <w:tr w:rsidR="00741CD1" w:rsidRPr="0041136F" w14:paraId="152A7A2B" w14:textId="77777777" w:rsidTr="00822F93">
        <w:trPr>
          <w:trHeight w:val="300"/>
        </w:trPr>
        <w:tc>
          <w:tcPr>
            <w:tcW w:w="3119" w:type="dxa"/>
            <w:tcBorders>
              <w:bottom w:val="single" w:sz="4" w:space="0" w:color="auto"/>
            </w:tcBorders>
            <w:shd w:val="clear" w:color="auto" w:fill="auto"/>
            <w:vAlign w:val="bottom"/>
            <w:hideMark/>
          </w:tcPr>
          <w:p w14:paraId="6D55AF01" w14:textId="77777777" w:rsidR="00741CD1" w:rsidRPr="0041136F" w:rsidRDefault="00741CD1" w:rsidP="00822F93">
            <w:pPr>
              <w:rPr>
                <w:rFonts w:ascii="Times New Roman" w:hAnsi="Times New Roman" w:cs="Times New Roman"/>
                <w:color w:val="auto"/>
                <w:sz w:val="24"/>
                <w:szCs w:val="24"/>
                <w:lang w:eastAsia="en-AU"/>
              </w:rPr>
            </w:pPr>
            <w:r>
              <w:rPr>
                <w:lang w:eastAsia="en-AU"/>
              </w:rPr>
              <w:t>R&amp;D E</w:t>
            </w:r>
            <w:r w:rsidRPr="79E4B837">
              <w:rPr>
                <w:lang w:eastAsia="en-AU"/>
              </w:rPr>
              <w:t>xpenditure (</w:t>
            </w:r>
            <w:r w:rsidRPr="79E4B837">
              <w:rPr>
                <w:b/>
                <w:bCs/>
                <w:lang w:eastAsia="en-AU"/>
              </w:rPr>
              <w:t>billion</w:t>
            </w:r>
            <w:r w:rsidRPr="79E4B837">
              <w:rPr>
                <w:lang w:eastAsia="en-AU"/>
              </w:rPr>
              <w:t>)</w:t>
            </w:r>
            <w:r w:rsidRPr="79E4B837">
              <w:rPr>
                <w:color w:val="auto"/>
                <w:lang w:eastAsia="en-AU"/>
              </w:rPr>
              <w:t> </w:t>
            </w:r>
          </w:p>
        </w:tc>
        <w:tc>
          <w:tcPr>
            <w:tcW w:w="2055" w:type="dxa"/>
            <w:tcBorders>
              <w:bottom w:val="single" w:sz="4" w:space="0" w:color="auto"/>
            </w:tcBorders>
            <w:shd w:val="clear" w:color="auto" w:fill="auto"/>
            <w:vAlign w:val="bottom"/>
            <w:hideMark/>
          </w:tcPr>
          <w:p w14:paraId="0B27A6C3" w14:textId="77777777" w:rsidR="00741CD1" w:rsidRPr="0041136F" w:rsidRDefault="00741CD1" w:rsidP="00822F93">
            <w:pPr>
              <w:jc w:val="center"/>
              <w:rPr>
                <w:rFonts w:ascii="Times New Roman" w:hAnsi="Times New Roman" w:cs="Times New Roman"/>
                <w:color w:val="auto"/>
                <w:sz w:val="24"/>
                <w:szCs w:val="24"/>
                <w:lang w:eastAsia="en-AU"/>
              </w:rPr>
            </w:pPr>
            <w:r>
              <w:rPr>
                <w:rFonts w:eastAsia="Times New Roman"/>
                <w:color w:val="000000"/>
                <w:lang w:eastAsia="en-AU"/>
              </w:rPr>
              <w:t>$6.91</w:t>
            </w:r>
          </w:p>
        </w:tc>
        <w:tc>
          <w:tcPr>
            <w:tcW w:w="2056" w:type="dxa"/>
            <w:tcBorders>
              <w:bottom w:val="single" w:sz="4" w:space="0" w:color="auto"/>
            </w:tcBorders>
            <w:shd w:val="clear" w:color="auto" w:fill="auto"/>
            <w:vAlign w:val="bottom"/>
            <w:hideMark/>
          </w:tcPr>
          <w:p w14:paraId="0B3541D0" w14:textId="77777777" w:rsidR="00741CD1" w:rsidRPr="0041136F" w:rsidRDefault="00741CD1" w:rsidP="00822F93">
            <w:pPr>
              <w:jc w:val="center"/>
              <w:rPr>
                <w:rFonts w:ascii="Times New Roman" w:hAnsi="Times New Roman" w:cs="Times New Roman"/>
                <w:color w:val="auto"/>
                <w:sz w:val="24"/>
                <w:szCs w:val="24"/>
                <w:lang w:eastAsia="en-AU"/>
              </w:rPr>
            </w:pPr>
            <w:r>
              <w:rPr>
                <w:rFonts w:eastAsia="Times New Roman"/>
                <w:color w:val="000000"/>
                <w:lang w:eastAsia="en-AU"/>
              </w:rPr>
              <w:t>$6.49</w:t>
            </w:r>
          </w:p>
        </w:tc>
      </w:tr>
    </w:tbl>
    <w:p w14:paraId="199D808A" w14:textId="77777777" w:rsidR="00741CD1" w:rsidRDefault="00741CD1" w:rsidP="00741CD1">
      <w:pPr>
        <w:pStyle w:val="Heading5"/>
        <w:rPr>
          <w:i w:val="0"/>
          <w:lang w:eastAsia="en-AU"/>
        </w:rPr>
      </w:pPr>
    </w:p>
    <w:p w14:paraId="4A58FB75" w14:textId="77777777" w:rsidR="00741CD1" w:rsidRDefault="00741CD1" w:rsidP="00741CD1">
      <w:pPr>
        <w:rPr>
          <w:rFonts w:asciiTheme="majorHAnsi" w:eastAsiaTheme="majorEastAsia" w:hAnsiTheme="majorHAnsi" w:cstheme="majorBidi"/>
          <w:iCs/>
          <w:color w:val="264F90" w:themeColor="accent2"/>
          <w:szCs w:val="24"/>
          <w:lang w:eastAsia="en-AU"/>
        </w:rPr>
      </w:pPr>
      <w:r>
        <w:rPr>
          <w:i/>
          <w:lang w:eastAsia="en-AU"/>
        </w:rPr>
        <w:br w:type="page"/>
      </w:r>
    </w:p>
    <w:p w14:paraId="52B3A2BA" w14:textId="77777777" w:rsidR="00741CD1" w:rsidRPr="00751D14" w:rsidRDefault="00741CD1" w:rsidP="00741CD1">
      <w:pPr>
        <w:pStyle w:val="Heading5"/>
        <w:rPr>
          <w:b/>
          <w:lang w:val="en-US" w:eastAsia="en-AU"/>
        </w:rPr>
      </w:pPr>
      <w:r>
        <w:rPr>
          <w:i w:val="0"/>
          <w:lang w:eastAsia="en-AU"/>
        </w:rPr>
        <w:lastRenderedPageBreak/>
        <w:t>Table 3</w:t>
      </w:r>
      <w:r w:rsidRPr="00796BCD">
        <w:rPr>
          <w:i w:val="0"/>
          <w:lang w:eastAsia="en-AU"/>
        </w:rPr>
        <w:t xml:space="preserve">: </w:t>
      </w:r>
      <w:r>
        <w:rPr>
          <w:i w:val="0"/>
          <w:lang w:eastAsia="en-AU"/>
        </w:rPr>
        <w:t>Overall claims for the full 2020/21 financial year (ATO)</w:t>
      </w:r>
    </w:p>
    <w:tbl>
      <w:tblPr>
        <w:tblW w:w="0" w:type="auto"/>
        <w:tblCellMar>
          <w:top w:w="15" w:type="dxa"/>
          <w:left w:w="15" w:type="dxa"/>
          <w:bottom w:w="15" w:type="dxa"/>
          <w:right w:w="15" w:type="dxa"/>
        </w:tblCellMar>
        <w:tblLook w:val="04A0" w:firstRow="1" w:lastRow="0" w:firstColumn="1" w:lastColumn="0" w:noHBand="0" w:noVBand="1"/>
      </w:tblPr>
      <w:tblGrid>
        <w:gridCol w:w="3119"/>
        <w:gridCol w:w="2055"/>
        <w:gridCol w:w="2056"/>
      </w:tblGrid>
      <w:tr w:rsidR="00741CD1" w:rsidRPr="0041136F" w14:paraId="7D2B8D25" w14:textId="77777777" w:rsidTr="00822F93">
        <w:trPr>
          <w:trHeight w:val="300"/>
        </w:trPr>
        <w:tc>
          <w:tcPr>
            <w:tcW w:w="3119" w:type="dxa"/>
            <w:shd w:val="clear" w:color="auto" w:fill="auto"/>
            <w:vAlign w:val="bottom"/>
            <w:hideMark/>
          </w:tcPr>
          <w:p w14:paraId="507690A3" w14:textId="77777777" w:rsidR="00741CD1" w:rsidRPr="0041136F" w:rsidRDefault="00741CD1" w:rsidP="00822F93">
            <w:pPr>
              <w:pStyle w:val="FigureHeading"/>
              <w:rPr>
                <w:rFonts w:ascii="Times New Roman" w:hAnsi="Times New Roman" w:cs="Times New Roman"/>
                <w:sz w:val="24"/>
                <w:szCs w:val="24"/>
                <w:lang w:eastAsia="en-AU"/>
              </w:rPr>
            </w:pPr>
            <w:r>
              <w:rPr>
                <w:lang w:eastAsia="en-AU"/>
              </w:rPr>
              <w:t>claims</w:t>
            </w:r>
          </w:p>
        </w:tc>
        <w:tc>
          <w:tcPr>
            <w:tcW w:w="2055" w:type="dxa"/>
            <w:shd w:val="clear" w:color="auto" w:fill="auto"/>
            <w:vAlign w:val="center"/>
            <w:hideMark/>
          </w:tcPr>
          <w:p w14:paraId="6F979999" w14:textId="77777777" w:rsidR="00741CD1" w:rsidRPr="0041136F" w:rsidRDefault="00741CD1" w:rsidP="00822F93">
            <w:pPr>
              <w:pStyle w:val="FigureHeading"/>
              <w:jc w:val="center"/>
              <w:rPr>
                <w:rFonts w:ascii="Times New Roman" w:hAnsi="Times New Roman" w:cs="Times New Roman"/>
                <w:sz w:val="24"/>
                <w:szCs w:val="24"/>
                <w:lang w:eastAsia="en-AU"/>
              </w:rPr>
            </w:pPr>
            <w:r>
              <w:rPr>
                <w:lang w:eastAsia="en-AU"/>
              </w:rPr>
              <w:t>refundable</w:t>
            </w:r>
          </w:p>
        </w:tc>
        <w:tc>
          <w:tcPr>
            <w:tcW w:w="2056" w:type="dxa"/>
            <w:shd w:val="clear" w:color="auto" w:fill="auto"/>
            <w:vAlign w:val="center"/>
            <w:hideMark/>
          </w:tcPr>
          <w:p w14:paraId="25EC815D" w14:textId="77777777" w:rsidR="00741CD1" w:rsidRPr="0041136F" w:rsidRDefault="00741CD1" w:rsidP="00822F93">
            <w:pPr>
              <w:pStyle w:val="FigureHeading"/>
              <w:jc w:val="center"/>
              <w:rPr>
                <w:rFonts w:ascii="Times New Roman" w:hAnsi="Times New Roman" w:cs="Times New Roman"/>
                <w:sz w:val="24"/>
                <w:szCs w:val="24"/>
                <w:lang w:eastAsia="en-AU"/>
              </w:rPr>
            </w:pPr>
            <w:r>
              <w:rPr>
                <w:lang w:eastAsia="en-AU"/>
              </w:rPr>
              <w:t>non-refundable</w:t>
            </w:r>
          </w:p>
        </w:tc>
      </w:tr>
      <w:tr w:rsidR="00741CD1" w:rsidRPr="0041136F" w14:paraId="13F081A6" w14:textId="77777777" w:rsidTr="00822F93">
        <w:trPr>
          <w:trHeight w:val="300"/>
        </w:trPr>
        <w:tc>
          <w:tcPr>
            <w:tcW w:w="3119" w:type="dxa"/>
            <w:shd w:val="clear" w:color="auto" w:fill="auto"/>
            <w:vAlign w:val="bottom"/>
            <w:hideMark/>
          </w:tcPr>
          <w:p w14:paraId="0AD2C5C5" w14:textId="77777777" w:rsidR="00741CD1" w:rsidRPr="0041136F" w:rsidRDefault="00741CD1" w:rsidP="00822F93">
            <w:pPr>
              <w:rPr>
                <w:rFonts w:ascii="Times New Roman" w:hAnsi="Times New Roman" w:cs="Times New Roman"/>
                <w:color w:val="auto"/>
                <w:sz w:val="24"/>
                <w:szCs w:val="24"/>
                <w:lang w:eastAsia="en-AU"/>
              </w:rPr>
            </w:pPr>
            <w:r>
              <w:rPr>
                <w:lang w:eastAsia="en-AU"/>
              </w:rPr>
              <w:t>Number of Claims</w:t>
            </w:r>
          </w:p>
        </w:tc>
        <w:tc>
          <w:tcPr>
            <w:tcW w:w="2055" w:type="dxa"/>
            <w:shd w:val="clear" w:color="auto" w:fill="auto"/>
            <w:vAlign w:val="center"/>
            <w:hideMark/>
          </w:tcPr>
          <w:p w14:paraId="52F9DDD3" w14:textId="77777777" w:rsidR="00741CD1" w:rsidRPr="0041136F" w:rsidRDefault="00741CD1" w:rsidP="00822F93">
            <w:pPr>
              <w:jc w:val="center"/>
              <w:rPr>
                <w:rFonts w:ascii="Times New Roman" w:hAnsi="Times New Roman" w:cs="Times New Roman"/>
                <w:color w:val="auto"/>
                <w:sz w:val="24"/>
                <w:szCs w:val="24"/>
                <w:lang w:eastAsia="en-AU"/>
              </w:rPr>
            </w:pPr>
            <w:r>
              <w:rPr>
                <w:lang w:eastAsia="en-AU"/>
              </w:rPr>
              <w:t>10,513</w:t>
            </w:r>
          </w:p>
        </w:tc>
        <w:tc>
          <w:tcPr>
            <w:tcW w:w="2056" w:type="dxa"/>
            <w:shd w:val="clear" w:color="auto" w:fill="auto"/>
            <w:vAlign w:val="center"/>
            <w:hideMark/>
          </w:tcPr>
          <w:p w14:paraId="56BFB786" w14:textId="77777777" w:rsidR="00741CD1" w:rsidRPr="0041136F" w:rsidRDefault="00741CD1" w:rsidP="00822F93">
            <w:pPr>
              <w:jc w:val="center"/>
              <w:rPr>
                <w:rFonts w:ascii="Times New Roman" w:hAnsi="Times New Roman" w:cs="Times New Roman"/>
                <w:color w:val="auto"/>
                <w:sz w:val="24"/>
                <w:szCs w:val="24"/>
                <w:lang w:eastAsia="en-AU"/>
              </w:rPr>
            </w:pPr>
            <w:r>
              <w:rPr>
                <w:lang w:eastAsia="en-AU"/>
              </w:rPr>
              <w:t>1,209</w:t>
            </w:r>
          </w:p>
        </w:tc>
      </w:tr>
      <w:tr w:rsidR="00741CD1" w:rsidRPr="0041136F" w14:paraId="637DDC19" w14:textId="77777777" w:rsidTr="00822F93">
        <w:trPr>
          <w:trHeight w:val="300"/>
        </w:trPr>
        <w:tc>
          <w:tcPr>
            <w:tcW w:w="3119" w:type="dxa"/>
            <w:tcBorders>
              <w:bottom w:val="single" w:sz="4" w:space="0" w:color="auto"/>
            </w:tcBorders>
            <w:shd w:val="clear" w:color="auto" w:fill="auto"/>
            <w:vAlign w:val="bottom"/>
            <w:hideMark/>
          </w:tcPr>
          <w:p w14:paraId="0CAA7B59" w14:textId="77777777" w:rsidR="00741CD1" w:rsidRPr="0041136F" w:rsidRDefault="00741CD1" w:rsidP="00822F93">
            <w:pPr>
              <w:rPr>
                <w:rFonts w:ascii="Times New Roman" w:hAnsi="Times New Roman" w:cs="Times New Roman"/>
                <w:color w:val="auto"/>
                <w:sz w:val="24"/>
                <w:szCs w:val="24"/>
                <w:lang w:eastAsia="en-AU"/>
              </w:rPr>
            </w:pPr>
            <w:r>
              <w:rPr>
                <w:lang w:eastAsia="en-AU"/>
              </w:rPr>
              <w:t xml:space="preserve">Offset paid or applied </w:t>
            </w:r>
            <w:r w:rsidRPr="79E4B837">
              <w:rPr>
                <w:lang w:eastAsia="en-AU"/>
              </w:rPr>
              <w:t>(</w:t>
            </w:r>
            <w:r w:rsidRPr="79E4B837">
              <w:rPr>
                <w:b/>
                <w:bCs/>
                <w:lang w:eastAsia="en-AU"/>
              </w:rPr>
              <w:t>billion</w:t>
            </w:r>
            <w:r w:rsidRPr="79E4B837">
              <w:rPr>
                <w:lang w:eastAsia="en-AU"/>
              </w:rPr>
              <w:t>)</w:t>
            </w:r>
            <w:r w:rsidRPr="79E4B837">
              <w:rPr>
                <w:color w:val="auto"/>
                <w:lang w:eastAsia="en-AU"/>
              </w:rPr>
              <w:t> </w:t>
            </w:r>
          </w:p>
        </w:tc>
        <w:tc>
          <w:tcPr>
            <w:tcW w:w="2055" w:type="dxa"/>
            <w:tcBorders>
              <w:bottom w:val="single" w:sz="4" w:space="0" w:color="auto"/>
            </w:tcBorders>
            <w:shd w:val="clear" w:color="auto" w:fill="auto"/>
            <w:vAlign w:val="center"/>
            <w:hideMark/>
          </w:tcPr>
          <w:p w14:paraId="034AC819" w14:textId="77777777" w:rsidR="00741CD1" w:rsidRPr="0041136F" w:rsidRDefault="00741CD1" w:rsidP="00822F93">
            <w:pPr>
              <w:jc w:val="center"/>
              <w:rPr>
                <w:rFonts w:ascii="Times New Roman" w:hAnsi="Times New Roman" w:cs="Times New Roman"/>
                <w:color w:val="auto"/>
                <w:sz w:val="24"/>
                <w:szCs w:val="24"/>
                <w:lang w:eastAsia="en-AU"/>
              </w:rPr>
            </w:pPr>
            <w:r>
              <w:rPr>
                <w:lang w:eastAsia="en-AU"/>
              </w:rPr>
              <w:t>$2.7</w:t>
            </w:r>
          </w:p>
        </w:tc>
        <w:tc>
          <w:tcPr>
            <w:tcW w:w="2056" w:type="dxa"/>
            <w:tcBorders>
              <w:bottom w:val="single" w:sz="4" w:space="0" w:color="auto"/>
            </w:tcBorders>
            <w:shd w:val="clear" w:color="auto" w:fill="auto"/>
            <w:vAlign w:val="center"/>
            <w:hideMark/>
          </w:tcPr>
          <w:p w14:paraId="66EB147D" w14:textId="77777777" w:rsidR="00741CD1" w:rsidRPr="0041136F" w:rsidRDefault="00741CD1" w:rsidP="00822F93">
            <w:pPr>
              <w:jc w:val="center"/>
              <w:rPr>
                <w:rFonts w:ascii="Times New Roman" w:hAnsi="Times New Roman" w:cs="Times New Roman"/>
                <w:color w:val="auto"/>
                <w:sz w:val="24"/>
                <w:szCs w:val="24"/>
                <w:lang w:eastAsia="en-AU"/>
              </w:rPr>
            </w:pPr>
            <w:r>
              <w:rPr>
                <w:lang w:eastAsia="en-AU"/>
              </w:rPr>
              <w:t>$2.0</w:t>
            </w:r>
          </w:p>
        </w:tc>
      </w:tr>
    </w:tbl>
    <w:p w14:paraId="6E719002" w14:textId="77777777" w:rsidR="00741CD1" w:rsidRDefault="00741CD1" w:rsidP="00741CD1">
      <w:pPr>
        <w:pStyle w:val="Heading5"/>
        <w:rPr>
          <w:lang w:eastAsia="en-AU"/>
        </w:rPr>
      </w:pPr>
      <w:r>
        <w:rPr>
          <w:i w:val="0"/>
          <w:lang w:eastAsia="en-AU"/>
        </w:rPr>
        <w:t>Table 4</w:t>
      </w:r>
      <w:r w:rsidRPr="00796BCD">
        <w:rPr>
          <w:i w:val="0"/>
          <w:lang w:eastAsia="en-AU"/>
        </w:rPr>
        <w:t>: Comparison by sector – Australia-wide</w:t>
      </w:r>
    </w:p>
    <w:tbl>
      <w:tblPr>
        <w:tblW w:w="10490" w:type="dxa"/>
        <w:tblLayout w:type="fixed"/>
        <w:tblCellMar>
          <w:top w:w="15" w:type="dxa"/>
          <w:left w:w="15" w:type="dxa"/>
          <w:bottom w:w="15" w:type="dxa"/>
          <w:right w:w="15" w:type="dxa"/>
        </w:tblCellMar>
        <w:tblLook w:val="04A0" w:firstRow="1" w:lastRow="0" w:firstColumn="1" w:lastColumn="0" w:noHBand="0" w:noVBand="1"/>
      </w:tblPr>
      <w:tblGrid>
        <w:gridCol w:w="2268"/>
        <w:gridCol w:w="1560"/>
        <w:gridCol w:w="1842"/>
        <w:gridCol w:w="1531"/>
        <w:gridCol w:w="1644"/>
        <w:gridCol w:w="1645"/>
      </w:tblGrid>
      <w:tr w:rsidR="00741CD1" w:rsidRPr="0041136F" w14:paraId="29216733" w14:textId="77777777" w:rsidTr="00822F93">
        <w:trPr>
          <w:trHeight w:val="300"/>
        </w:trPr>
        <w:tc>
          <w:tcPr>
            <w:tcW w:w="2268" w:type="dxa"/>
            <w:shd w:val="clear" w:color="auto" w:fill="auto"/>
            <w:vAlign w:val="bottom"/>
            <w:hideMark/>
          </w:tcPr>
          <w:p w14:paraId="15AE9045" w14:textId="77777777" w:rsidR="00741CD1" w:rsidRPr="0041136F" w:rsidRDefault="00741CD1" w:rsidP="00822F93">
            <w:pPr>
              <w:pStyle w:val="TableHeading"/>
              <w:rPr>
                <w:rFonts w:ascii="Times New Roman" w:hAnsi="Times New Roman" w:cs="Times New Roman"/>
                <w:color w:val="auto"/>
                <w:lang w:eastAsia="en-AU"/>
              </w:rPr>
            </w:pPr>
            <w:r w:rsidRPr="79E4B837">
              <w:rPr>
                <w:lang w:eastAsia="en-AU"/>
              </w:rPr>
              <w:t>  </w:t>
            </w:r>
            <w:r w:rsidRPr="79E4B837">
              <w:rPr>
                <w:color w:val="auto"/>
                <w:lang w:eastAsia="en-AU"/>
              </w:rPr>
              <w:t> </w:t>
            </w:r>
          </w:p>
        </w:tc>
        <w:tc>
          <w:tcPr>
            <w:tcW w:w="1560" w:type="dxa"/>
            <w:shd w:val="clear" w:color="auto" w:fill="auto"/>
            <w:vAlign w:val="center"/>
            <w:hideMark/>
          </w:tcPr>
          <w:p w14:paraId="64E15E23" w14:textId="77777777" w:rsidR="00741CD1" w:rsidRPr="0041136F" w:rsidRDefault="00741CD1" w:rsidP="00822F93">
            <w:pPr>
              <w:pStyle w:val="TableHeading"/>
              <w:jc w:val="center"/>
              <w:rPr>
                <w:rFonts w:ascii="Times New Roman" w:hAnsi="Times New Roman" w:cs="Times New Roman"/>
                <w:color w:val="auto"/>
                <w:lang w:eastAsia="en-AU"/>
              </w:rPr>
            </w:pPr>
            <w:r w:rsidRPr="79E4B837">
              <w:rPr>
                <w:lang w:eastAsia="en-AU"/>
              </w:rPr>
              <w:t>Services</w:t>
            </w:r>
          </w:p>
        </w:tc>
        <w:tc>
          <w:tcPr>
            <w:tcW w:w="1842" w:type="dxa"/>
            <w:shd w:val="clear" w:color="auto" w:fill="auto"/>
            <w:vAlign w:val="center"/>
            <w:hideMark/>
          </w:tcPr>
          <w:p w14:paraId="34E551F6" w14:textId="77777777" w:rsidR="00741CD1" w:rsidRPr="0041136F" w:rsidRDefault="00741CD1" w:rsidP="00822F93">
            <w:pPr>
              <w:pStyle w:val="TableHeading"/>
              <w:jc w:val="center"/>
              <w:rPr>
                <w:rFonts w:ascii="Times New Roman" w:hAnsi="Times New Roman" w:cs="Times New Roman"/>
                <w:color w:val="auto"/>
                <w:lang w:eastAsia="en-AU"/>
              </w:rPr>
            </w:pPr>
            <w:r w:rsidRPr="79E4B837">
              <w:rPr>
                <w:lang w:eastAsia="en-AU"/>
              </w:rPr>
              <w:t>Manufacturing</w:t>
            </w:r>
          </w:p>
        </w:tc>
        <w:tc>
          <w:tcPr>
            <w:tcW w:w="1531" w:type="dxa"/>
            <w:shd w:val="clear" w:color="auto" w:fill="auto"/>
            <w:vAlign w:val="center"/>
          </w:tcPr>
          <w:p w14:paraId="5C861DC3" w14:textId="77777777" w:rsidR="00741CD1" w:rsidRPr="0041136F" w:rsidRDefault="00741CD1" w:rsidP="00822F93">
            <w:pPr>
              <w:pStyle w:val="TableHeading"/>
              <w:jc w:val="center"/>
              <w:rPr>
                <w:rFonts w:ascii="Times New Roman" w:hAnsi="Times New Roman" w:cs="Times New Roman"/>
                <w:color w:val="auto"/>
                <w:lang w:eastAsia="en-AU"/>
              </w:rPr>
            </w:pPr>
            <w:r w:rsidRPr="79E4B837">
              <w:rPr>
                <w:lang w:eastAsia="en-AU"/>
              </w:rPr>
              <w:t>Agriculture</w:t>
            </w:r>
          </w:p>
        </w:tc>
        <w:tc>
          <w:tcPr>
            <w:tcW w:w="1644" w:type="dxa"/>
            <w:shd w:val="clear" w:color="auto" w:fill="auto"/>
            <w:vAlign w:val="center"/>
          </w:tcPr>
          <w:p w14:paraId="2030A20D" w14:textId="77777777" w:rsidR="00741CD1" w:rsidRPr="0041136F" w:rsidRDefault="00741CD1" w:rsidP="00822F93">
            <w:pPr>
              <w:pStyle w:val="TableHeading"/>
              <w:jc w:val="center"/>
              <w:rPr>
                <w:lang w:eastAsia="en-AU"/>
              </w:rPr>
            </w:pPr>
            <w:r w:rsidRPr="79E4B837">
              <w:rPr>
                <w:lang w:eastAsia="en-AU"/>
              </w:rPr>
              <w:t>Mining</w:t>
            </w:r>
          </w:p>
        </w:tc>
        <w:tc>
          <w:tcPr>
            <w:tcW w:w="1645" w:type="dxa"/>
            <w:shd w:val="clear" w:color="auto" w:fill="auto"/>
            <w:vAlign w:val="center"/>
            <w:hideMark/>
          </w:tcPr>
          <w:p w14:paraId="04C588E5" w14:textId="77777777" w:rsidR="00741CD1" w:rsidRPr="0041136F" w:rsidRDefault="00741CD1" w:rsidP="00822F93">
            <w:pPr>
              <w:pStyle w:val="TableHeading"/>
              <w:jc w:val="center"/>
              <w:rPr>
                <w:rFonts w:ascii="Times New Roman" w:hAnsi="Times New Roman" w:cs="Times New Roman"/>
                <w:color w:val="auto"/>
                <w:lang w:eastAsia="en-AU"/>
              </w:rPr>
            </w:pPr>
            <w:proofErr w:type="gramStart"/>
            <w:r w:rsidRPr="79E4B837">
              <w:rPr>
                <w:lang w:eastAsia="en-AU"/>
              </w:rPr>
              <w:t>E,G</w:t>
            </w:r>
            <w:proofErr w:type="gramEnd"/>
            <w:r w:rsidRPr="79E4B837">
              <w:rPr>
                <w:lang w:eastAsia="en-AU"/>
              </w:rPr>
              <w:t>,W &amp; WS*</w:t>
            </w:r>
          </w:p>
        </w:tc>
      </w:tr>
      <w:tr w:rsidR="00741CD1" w:rsidRPr="0041136F" w14:paraId="53DA7C12" w14:textId="77777777" w:rsidTr="00822F93">
        <w:trPr>
          <w:trHeight w:val="300"/>
        </w:trPr>
        <w:tc>
          <w:tcPr>
            <w:tcW w:w="2268" w:type="dxa"/>
            <w:shd w:val="clear" w:color="auto" w:fill="auto"/>
            <w:vAlign w:val="bottom"/>
            <w:hideMark/>
          </w:tcPr>
          <w:p w14:paraId="0180D73D" w14:textId="77777777" w:rsidR="00741CD1" w:rsidRPr="0041136F" w:rsidRDefault="00741CD1" w:rsidP="00822F93">
            <w:pPr>
              <w:rPr>
                <w:rFonts w:ascii="Times New Roman" w:eastAsia="Times New Roman" w:hAnsi="Times New Roman" w:cs="Times New Roman"/>
                <w:color w:val="auto"/>
                <w:sz w:val="24"/>
                <w:szCs w:val="24"/>
                <w:lang w:eastAsia="en-AU"/>
              </w:rPr>
            </w:pPr>
            <w:r w:rsidRPr="79E4B837">
              <w:rPr>
                <w:rFonts w:ascii="Calibri" w:eastAsia="Times New Roman" w:hAnsi="Calibri" w:cs="Calibri"/>
                <w:lang w:eastAsia="en-AU"/>
              </w:rPr>
              <w:t>Number of Registrations</w:t>
            </w:r>
            <w:r w:rsidRPr="79E4B837">
              <w:rPr>
                <w:rFonts w:ascii="Calibri" w:eastAsia="Times New Roman" w:hAnsi="Calibri" w:cs="Calibri"/>
                <w:color w:val="auto"/>
                <w:lang w:eastAsia="en-AU"/>
              </w:rPr>
              <w:t> </w:t>
            </w:r>
          </w:p>
        </w:tc>
        <w:tc>
          <w:tcPr>
            <w:tcW w:w="1560" w:type="dxa"/>
            <w:shd w:val="clear" w:color="auto" w:fill="auto"/>
            <w:vAlign w:val="bottom"/>
            <w:hideMark/>
          </w:tcPr>
          <w:p w14:paraId="46CDEC1E"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Pr>
                <w:rFonts w:eastAsia="Times New Roman"/>
                <w:color w:val="000000"/>
                <w:lang w:eastAsia="en-AU"/>
              </w:rPr>
              <w:t xml:space="preserve">7,671 </w:t>
            </w:r>
          </w:p>
        </w:tc>
        <w:tc>
          <w:tcPr>
            <w:tcW w:w="1842" w:type="dxa"/>
            <w:shd w:val="clear" w:color="auto" w:fill="auto"/>
            <w:vAlign w:val="bottom"/>
            <w:hideMark/>
          </w:tcPr>
          <w:p w14:paraId="64E81423"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Pr>
                <w:rFonts w:eastAsia="Times New Roman"/>
                <w:color w:val="000000"/>
                <w:lang w:eastAsia="en-AU"/>
              </w:rPr>
              <w:t xml:space="preserve">3,524 </w:t>
            </w:r>
          </w:p>
        </w:tc>
        <w:tc>
          <w:tcPr>
            <w:tcW w:w="1531" w:type="dxa"/>
            <w:shd w:val="clear" w:color="auto" w:fill="auto"/>
            <w:vAlign w:val="bottom"/>
          </w:tcPr>
          <w:p w14:paraId="365974D5"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Pr>
                <w:rFonts w:eastAsia="Times New Roman"/>
                <w:color w:val="000000"/>
                <w:lang w:eastAsia="en-AU"/>
              </w:rPr>
              <w:t xml:space="preserve">515 </w:t>
            </w:r>
          </w:p>
        </w:tc>
        <w:tc>
          <w:tcPr>
            <w:tcW w:w="1644" w:type="dxa"/>
            <w:shd w:val="clear" w:color="auto" w:fill="auto"/>
            <w:vAlign w:val="bottom"/>
          </w:tcPr>
          <w:p w14:paraId="20E3DB5C" w14:textId="77777777" w:rsidR="00741CD1" w:rsidRDefault="00741CD1" w:rsidP="00822F93">
            <w:pPr>
              <w:jc w:val="center"/>
              <w:rPr>
                <w:rFonts w:ascii="Calibri" w:eastAsia="Times New Roman" w:hAnsi="Calibri" w:cs="Calibri"/>
                <w:lang w:eastAsia="en-AU"/>
              </w:rPr>
            </w:pPr>
            <w:r>
              <w:rPr>
                <w:rFonts w:eastAsia="Times New Roman"/>
                <w:color w:val="000000"/>
                <w:lang w:eastAsia="en-AU"/>
              </w:rPr>
              <w:t xml:space="preserve">412 </w:t>
            </w:r>
          </w:p>
        </w:tc>
        <w:tc>
          <w:tcPr>
            <w:tcW w:w="1645" w:type="dxa"/>
            <w:shd w:val="clear" w:color="auto" w:fill="auto"/>
            <w:vAlign w:val="bottom"/>
            <w:hideMark/>
          </w:tcPr>
          <w:p w14:paraId="606312F0"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Pr>
                <w:rFonts w:eastAsia="Times New Roman"/>
                <w:color w:val="000000"/>
                <w:lang w:eastAsia="en-AU"/>
              </w:rPr>
              <w:t xml:space="preserve">281 </w:t>
            </w:r>
          </w:p>
        </w:tc>
      </w:tr>
      <w:tr w:rsidR="00741CD1" w:rsidRPr="0041136F" w14:paraId="1AB35FCF" w14:textId="77777777" w:rsidTr="00822F93">
        <w:trPr>
          <w:trHeight w:val="300"/>
        </w:trPr>
        <w:tc>
          <w:tcPr>
            <w:tcW w:w="2268" w:type="dxa"/>
            <w:tcBorders>
              <w:bottom w:val="single" w:sz="4" w:space="0" w:color="auto"/>
            </w:tcBorders>
            <w:shd w:val="clear" w:color="auto" w:fill="auto"/>
            <w:vAlign w:val="bottom"/>
            <w:hideMark/>
          </w:tcPr>
          <w:p w14:paraId="7FD6942E" w14:textId="77777777" w:rsidR="00741CD1" w:rsidRPr="0041136F" w:rsidRDefault="00741CD1" w:rsidP="00822F93">
            <w:pPr>
              <w:rPr>
                <w:rFonts w:ascii="Times New Roman" w:eastAsia="Times New Roman" w:hAnsi="Times New Roman" w:cs="Times New Roman"/>
                <w:color w:val="auto"/>
                <w:sz w:val="24"/>
                <w:szCs w:val="24"/>
                <w:lang w:eastAsia="en-AU"/>
              </w:rPr>
            </w:pPr>
            <w:r>
              <w:rPr>
                <w:rFonts w:ascii="Calibri" w:eastAsia="Times New Roman" w:hAnsi="Calibri" w:cs="Calibri"/>
                <w:lang w:eastAsia="en-AU"/>
              </w:rPr>
              <w:t>R&amp;D E</w:t>
            </w:r>
            <w:r w:rsidRPr="79E4B837">
              <w:rPr>
                <w:rFonts w:ascii="Calibri" w:eastAsia="Times New Roman" w:hAnsi="Calibri" w:cs="Calibri"/>
                <w:lang w:eastAsia="en-AU"/>
              </w:rPr>
              <w:t>xpenditure (</w:t>
            </w:r>
            <w:r w:rsidRPr="00751D14">
              <w:rPr>
                <w:rFonts w:ascii="Calibri" w:eastAsia="Times New Roman" w:hAnsi="Calibri" w:cs="Calibri"/>
                <w:b/>
                <w:lang w:eastAsia="en-AU"/>
              </w:rPr>
              <w:t>million</w:t>
            </w:r>
            <w:r w:rsidRPr="79E4B837">
              <w:rPr>
                <w:rFonts w:ascii="Calibri" w:eastAsia="Times New Roman" w:hAnsi="Calibri" w:cs="Calibri"/>
                <w:lang w:eastAsia="en-AU"/>
              </w:rPr>
              <w:t>)</w:t>
            </w:r>
            <w:r w:rsidRPr="79E4B837">
              <w:rPr>
                <w:rFonts w:ascii="Calibri" w:eastAsia="Times New Roman" w:hAnsi="Calibri" w:cs="Calibri"/>
                <w:color w:val="auto"/>
                <w:lang w:eastAsia="en-AU"/>
              </w:rPr>
              <w:t> </w:t>
            </w:r>
          </w:p>
        </w:tc>
        <w:tc>
          <w:tcPr>
            <w:tcW w:w="1560" w:type="dxa"/>
            <w:tcBorders>
              <w:bottom w:val="single" w:sz="4" w:space="0" w:color="auto"/>
            </w:tcBorders>
            <w:shd w:val="clear" w:color="auto" w:fill="auto"/>
            <w:vAlign w:val="bottom"/>
            <w:hideMark/>
          </w:tcPr>
          <w:p w14:paraId="65FF9A27"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Pr>
                <w:rFonts w:eastAsia="Times New Roman"/>
                <w:color w:val="000000"/>
                <w:lang w:eastAsia="en-AU"/>
              </w:rPr>
              <w:t>$7,213</w:t>
            </w:r>
          </w:p>
        </w:tc>
        <w:tc>
          <w:tcPr>
            <w:tcW w:w="1842" w:type="dxa"/>
            <w:tcBorders>
              <w:bottom w:val="single" w:sz="4" w:space="0" w:color="auto"/>
            </w:tcBorders>
            <w:shd w:val="clear" w:color="auto" w:fill="auto"/>
            <w:vAlign w:val="bottom"/>
            <w:hideMark/>
          </w:tcPr>
          <w:p w14:paraId="19C9A44F"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Pr>
                <w:rFonts w:eastAsia="Times New Roman"/>
                <w:color w:val="000000"/>
                <w:lang w:eastAsia="en-AU"/>
              </w:rPr>
              <w:t>$3,956</w:t>
            </w:r>
          </w:p>
        </w:tc>
        <w:tc>
          <w:tcPr>
            <w:tcW w:w="1531" w:type="dxa"/>
            <w:tcBorders>
              <w:bottom w:val="single" w:sz="4" w:space="0" w:color="auto"/>
            </w:tcBorders>
            <w:shd w:val="clear" w:color="auto" w:fill="auto"/>
            <w:vAlign w:val="bottom"/>
          </w:tcPr>
          <w:p w14:paraId="67B131E1"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Pr>
                <w:rFonts w:eastAsia="Times New Roman"/>
                <w:color w:val="000000"/>
                <w:lang w:eastAsia="en-AU"/>
              </w:rPr>
              <w:t>$671</w:t>
            </w:r>
          </w:p>
        </w:tc>
        <w:tc>
          <w:tcPr>
            <w:tcW w:w="1644" w:type="dxa"/>
            <w:tcBorders>
              <w:bottom w:val="single" w:sz="4" w:space="0" w:color="auto"/>
            </w:tcBorders>
            <w:shd w:val="clear" w:color="auto" w:fill="auto"/>
            <w:vAlign w:val="bottom"/>
          </w:tcPr>
          <w:p w14:paraId="13D37403" w14:textId="77777777" w:rsidR="00741CD1" w:rsidRPr="0041136F" w:rsidRDefault="00741CD1" w:rsidP="00822F93">
            <w:pPr>
              <w:jc w:val="center"/>
              <w:rPr>
                <w:rFonts w:ascii="Calibri" w:eastAsia="Times New Roman" w:hAnsi="Calibri" w:cs="Calibri"/>
                <w:lang w:eastAsia="en-AU"/>
              </w:rPr>
            </w:pPr>
            <w:r>
              <w:rPr>
                <w:rFonts w:eastAsia="Times New Roman"/>
                <w:color w:val="000000"/>
                <w:lang w:eastAsia="en-AU"/>
              </w:rPr>
              <w:t>$1,216</w:t>
            </w:r>
          </w:p>
        </w:tc>
        <w:tc>
          <w:tcPr>
            <w:tcW w:w="1645" w:type="dxa"/>
            <w:tcBorders>
              <w:bottom w:val="single" w:sz="4" w:space="0" w:color="auto"/>
            </w:tcBorders>
            <w:shd w:val="clear" w:color="auto" w:fill="auto"/>
            <w:vAlign w:val="bottom"/>
            <w:hideMark/>
          </w:tcPr>
          <w:p w14:paraId="32164074"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Pr>
                <w:rFonts w:eastAsia="Times New Roman"/>
                <w:color w:val="000000"/>
                <w:lang w:eastAsia="en-AU"/>
              </w:rPr>
              <w:t>$346</w:t>
            </w:r>
          </w:p>
        </w:tc>
      </w:tr>
    </w:tbl>
    <w:p w14:paraId="6E6F4E7B" w14:textId="77777777" w:rsidR="00741CD1" w:rsidRPr="00F3534F" w:rsidRDefault="00741CD1" w:rsidP="00741CD1">
      <w:pPr>
        <w:pStyle w:val="Heading5"/>
        <w:rPr>
          <w:i w:val="0"/>
          <w:lang w:eastAsia="en-AU"/>
        </w:rPr>
      </w:pPr>
      <w:r>
        <w:rPr>
          <w:i w:val="0"/>
          <w:lang w:eastAsia="en-AU"/>
        </w:rPr>
        <w:t xml:space="preserve">Table 5: </w:t>
      </w:r>
      <w:r w:rsidRPr="00F3534F">
        <w:rPr>
          <w:i w:val="0"/>
          <w:lang w:eastAsia="en-AU"/>
        </w:rPr>
        <w:t xml:space="preserve">Comparison by sector – NSW </w:t>
      </w:r>
    </w:p>
    <w:tbl>
      <w:tblPr>
        <w:tblW w:w="10490" w:type="dxa"/>
        <w:tblLayout w:type="fixed"/>
        <w:tblCellMar>
          <w:top w:w="15" w:type="dxa"/>
          <w:left w:w="15" w:type="dxa"/>
          <w:bottom w:w="15" w:type="dxa"/>
          <w:right w:w="15" w:type="dxa"/>
        </w:tblCellMar>
        <w:tblLook w:val="04A0" w:firstRow="1" w:lastRow="0" w:firstColumn="1" w:lastColumn="0" w:noHBand="0" w:noVBand="1"/>
      </w:tblPr>
      <w:tblGrid>
        <w:gridCol w:w="2268"/>
        <w:gridCol w:w="1560"/>
        <w:gridCol w:w="1842"/>
        <w:gridCol w:w="1531"/>
        <w:gridCol w:w="1644"/>
        <w:gridCol w:w="1645"/>
      </w:tblGrid>
      <w:tr w:rsidR="00741CD1" w:rsidRPr="0041136F" w14:paraId="17088DF7" w14:textId="77777777" w:rsidTr="00822F93">
        <w:trPr>
          <w:trHeight w:val="300"/>
        </w:trPr>
        <w:tc>
          <w:tcPr>
            <w:tcW w:w="2268" w:type="dxa"/>
            <w:shd w:val="clear" w:color="auto" w:fill="auto"/>
            <w:vAlign w:val="bottom"/>
            <w:hideMark/>
          </w:tcPr>
          <w:p w14:paraId="3F22AD0F" w14:textId="77777777" w:rsidR="00741CD1" w:rsidRPr="0041136F" w:rsidRDefault="00741CD1" w:rsidP="00822F93">
            <w:pPr>
              <w:pStyle w:val="TableHeading"/>
              <w:rPr>
                <w:rFonts w:ascii="Times New Roman" w:hAnsi="Times New Roman" w:cs="Times New Roman"/>
                <w:color w:val="auto"/>
                <w:lang w:eastAsia="en-AU"/>
              </w:rPr>
            </w:pPr>
            <w:r w:rsidRPr="79E4B837">
              <w:rPr>
                <w:lang w:eastAsia="en-AU"/>
              </w:rPr>
              <w:t>  </w:t>
            </w:r>
            <w:r w:rsidRPr="79E4B837">
              <w:rPr>
                <w:color w:val="auto"/>
                <w:lang w:eastAsia="en-AU"/>
              </w:rPr>
              <w:t> </w:t>
            </w:r>
          </w:p>
        </w:tc>
        <w:tc>
          <w:tcPr>
            <w:tcW w:w="1560" w:type="dxa"/>
            <w:shd w:val="clear" w:color="auto" w:fill="auto"/>
            <w:vAlign w:val="center"/>
            <w:hideMark/>
          </w:tcPr>
          <w:p w14:paraId="3055F357" w14:textId="77777777" w:rsidR="00741CD1" w:rsidRPr="0041136F" w:rsidRDefault="00741CD1" w:rsidP="00822F93">
            <w:pPr>
              <w:pStyle w:val="TableHeading"/>
              <w:jc w:val="center"/>
              <w:rPr>
                <w:rFonts w:ascii="Times New Roman" w:hAnsi="Times New Roman" w:cs="Times New Roman"/>
                <w:color w:val="auto"/>
                <w:lang w:eastAsia="en-AU"/>
              </w:rPr>
            </w:pPr>
            <w:r w:rsidRPr="79E4B837">
              <w:rPr>
                <w:lang w:eastAsia="en-AU"/>
              </w:rPr>
              <w:t>Services</w:t>
            </w:r>
          </w:p>
        </w:tc>
        <w:tc>
          <w:tcPr>
            <w:tcW w:w="1842" w:type="dxa"/>
            <w:shd w:val="clear" w:color="auto" w:fill="auto"/>
            <w:vAlign w:val="center"/>
            <w:hideMark/>
          </w:tcPr>
          <w:p w14:paraId="6C6510BE" w14:textId="77777777" w:rsidR="00741CD1" w:rsidRPr="0041136F" w:rsidRDefault="00741CD1" w:rsidP="00822F93">
            <w:pPr>
              <w:pStyle w:val="TableHeading"/>
              <w:jc w:val="center"/>
              <w:rPr>
                <w:rFonts w:ascii="Times New Roman" w:hAnsi="Times New Roman" w:cs="Times New Roman"/>
                <w:color w:val="auto"/>
                <w:lang w:eastAsia="en-AU"/>
              </w:rPr>
            </w:pPr>
            <w:r w:rsidRPr="79E4B837">
              <w:rPr>
                <w:lang w:eastAsia="en-AU"/>
              </w:rPr>
              <w:t>Manufacturing</w:t>
            </w:r>
          </w:p>
        </w:tc>
        <w:tc>
          <w:tcPr>
            <w:tcW w:w="1531" w:type="dxa"/>
            <w:shd w:val="clear" w:color="auto" w:fill="auto"/>
            <w:vAlign w:val="center"/>
          </w:tcPr>
          <w:p w14:paraId="7C403571" w14:textId="77777777" w:rsidR="00741CD1" w:rsidRPr="0041136F" w:rsidRDefault="00741CD1" w:rsidP="00822F93">
            <w:pPr>
              <w:pStyle w:val="TableHeading"/>
              <w:jc w:val="center"/>
              <w:rPr>
                <w:rFonts w:ascii="Times New Roman" w:hAnsi="Times New Roman" w:cs="Times New Roman"/>
                <w:color w:val="auto"/>
                <w:lang w:eastAsia="en-AU"/>
              </w:rPr>
            </w:pPr>
            <w:r w:rsidRPr="79E4B837">
              <w:rPr>
                <w:lang w:eastAsia="en-AU"/>
              </w:rPr>
              <w:t>Agriculture</w:t>
            </w:r>
          </w:p>
        </w:tc>
        <w:tc>
          <w:tcPr>
            <w:tcW w:w="1644" w:type="dxa"/>
            <w:shd w:val="clear" w:color="auto" w:fill="auto"/>
            <w:vAlign w:val="center"/>
          </w:tcPr>
          <w:p w14:paraId="464F29F6" w14:textId="77777777" w:rsidR="00741CD1" w:rsidRPr="0041136F" w:rsidRDefault="00741CD1" w:rsidP="00822F93">
            <w:pPr>
              <w:pStyle w:val="TableHeading"/>
              <w:jc w:val="center"/>
              <w:rPr>
                <w:lang w:eastAsia="en-AU"/>
              </w:rPr>
            </w:pPr>
            <w:r w:rsidRPr="79E4B837">
              <w:rPr>
                <w:lang w:eastAsia="en-AU"/>
              </w:rPr>
              <w:t>Mining</w:t>
            </w:r>
          </w:p>
        </w:tc>
        <w:tc>
          <w:tcPr>
            <w:tcW w:w="1645" w:type="dxa"/>
            <w:shd w:val="clear" w:color="auto" w:fill="auto"/>
            <w:vAlign w:val="center"/>
            <w:hideMark/>
          </w:tcPr>
          <w:p w14:paraId="66098A39" w14:textId="77777777" w:rsidR="00741CD1" w:rsidRPr="0041136F" w:rsidRDefault="00741CD1" w:rsidP="00822F93">
            <w:pPr>
              <w:pStyle w:val="TableHeading"/>
              <w:jc w:val="center"/>
              <w:rPr>
                <w:rFonts w:ascii="Times New Roman" w:hAnsi="Times New Roman" w:cs="Times New Roman"/>
                <w:color w:val="auto"/>
                <w:lang w:eastAsia="en-AU"/>
              </w:rPr>
            </w:pPr>
            <w:proofErr w:type="gramStart"/>
            <w:r w:rsidRPr="79E4B837">
              <w:rPr>
                <w:lang w:eastAsia="en-AU"/>
              </w:rPr>
              <w:t>E,G</w:t>
            </w:r>
            <w:proofErr w:type="gramEnd"/>
            <w:r w:rsidRPr="79E4B837">
              <w:rPr>
                <w:lang w:eastAsia="en-AU"/>
              </w:rPr>
              <w:t>,W &amp; WS*</w:t>
            </w:r>
          </w:p>
        </w:tc>
      </w:tr>
      <w:tr w:rsidR="00741CD1" w:rsidRPr="0041136F" w14:paraId="1B849A8F" w14:textId="77777777" w:rsidTr="00822F93">
        <w:trPr>
          <w:trHeight w:val="300"/>
        </w:trPr>
        <w:tc>
          <w:tcPr>
            <w:tcW w:w="2268" w:type="dxa"/>
            <w:shd w:val="clear" w:color="auto" w:fill="auto"/>
            <w:vAlign w:val="bottom"/>
            <w:hideMark/>
          </w:tcPr>
          <w:p w14:paraId="3E3B0DBA" w14:textId="77777777" w:rsidR="00741CD1" w:rsidRPr="0041136F" w:rsidRDefault="00741CD1" w:rsidP="00822F93">
            <w:pPr>
              <w:rPr>
                <w:rFonts w:ascii="Times New Roman" w:eastAsia="Times New Roman" w:hAnsi="Times New Roman" w:cs="Times New Roman"/>
                <w:color w:val="auto"/>
                <w:sz w:val="24"/>
                <w:szCs w:val="24"/>
                <w:lang w:eastAsia="en-AU"/>
              </w:rPr>
            </w:pPr>
            <w:r w:rsidRPr="79E4B837">
              <w:rPr>
                <w:rFonts w:ascii="Calibri" w:eastAsia="Times New Roman" w:hAnsi="Calibri" w:cs="Calibri"/>
                <w:lang w:eastAsia="en-AU"/>
              </w:rPr>
              <w:t>Number of Registrations</w:t>
            </w:r>
            <w:r w:rsidRPr="79E4B837">
              <w:rPr>
                <w:rFonts w:ascii="Calibri" w:eastAsia="Times New Roman" w:hAnsi="Calibri" w:cs="Calibri"/>
                <w:color w:val="auto"/>
                <w:lang w:eastAsia="en-AU"/>
              </w:rPr>
              <w:t> </w:t>
            </w:r>
          </w:p>
        </w:tc>
        <w:tc>
          <w:tcPr>
            <w:tcW w:w="1560" w:type="dxa"/>
            <w:shd w:val="clear" w:color="auto" w:fill="auto"/>
            <w:vAlign w:val="bottom"/>
            <w:hideMark/>
          </w:tcPr>
          <w:p w14:paraId="7A8A7FF8"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3,03</w:t>
            </w:r>
            <w:r>
              <w:rPr>
                <w:rFonts w:eastAsia="Times New Roman"/>
                <w:color w:val="000000"/>
                <w:lang w:eastAsia="en-AU"/>
              </w:rPr>
              <w:t>6</w:t>
            </w:r>
            <w:r w:rsidRPr="001F0903">
              <w:rPr>
                <w:rFonts w:eastAsia="Times New Roman"/>
                <w:color w:val="000000"/>
                <w:lang w:eastAsia="en-AU"/>
              </w:rPr>
              <w:t xml:space="preserve"> </w:t>
            </w:r>
          </w:p>
        </w:tc>
        <w:tc>
          <w:tcPr>
            <w:tcW w:w="1842" w:type="dxa"/>
            <w:shd w:val="clear" w:color="auto" w:fill="auto"/>
            <w:vAlign w:val="bottom"/>
            <w:hideMark/>
          </w:tcPr>
          <w:p w14:paraId="2E5C4069"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 xml:space="preserve">1,074 </w:t>
            </w:r>
          </w:p>
        </w:tc>
        <w:tc>
          <w:tcPr>
            <w:tcW w:w="1531" w:type="dxa"/>
            <w:shd w:val="clear" w:color="auto" w:fill="auto"/>
            <w:vAlign w:val="bottom"/>
          </w:tcPr>
          <w:p w14:paraId="241FC49A"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 xml:space="preserve">113 </w:t>
            </w:r>
          </w:p>
        </w:tc>
        <w:tc>
          <w:tcPr>
            <w:tcW w:w="1644" w:type="dxa"/>
            <w:shd w:val="clear" w:color="auto" w:fill="auto"/>
            <w:vAlign w:val="bottom"/>
          </w:tcPr>
          <w:p w14:paraId="71C61438" w14:textId="77777777" w:rsidR="00741CD1" w:rsidRDefault="00741CD1" w:rsidP="00822F93">
            <w:pPr>
              <w:jc w:val="center"/>
              <w:rPr>
                <w:rFonts w:ascii="Calibri" w:eastAsia="Times New Roman" w:hAnsi="Calibri" w:cs="Calibri"/>
                <w:lang w:eastAsia="en-AU"/>
              </w:rPr>
            </w:pPr>
            <w:r w:rsidRPr="001F0903">
              <w:rPr>
                <w:rFonts w:eastAsia="Times New Roman"/>
                <w:color w:val="000000"/>
                <w:lang w:eastAsia="en-AU"/>
              </w:rPr>
              <w:t xml:space="preserve">51 </w:t>
            </w:r>
          </w:p>
        </w:tc>
        <w:tc>
          <w:tcPr>
            <w:tcW w:w="1645" w:type="dxa"/>
            <w:shd w:val="clear" w:color="auto" w:fill="auto"/>
            <w:vAlign w:val="bottom"/>
            <w:hideMark/>
          </w:tcPr>
          <w:p w14:paraId="5702A519"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 xml:space="preserve">92 </w:t>
            </w:r>
          </w:p>
        </w:tc>
      </w:tr>
      <w:tr w:rsidR="00741CD1" w:rsidRPr="0041136F" w14:paraId="6295A6D7" w14:textId="77777777" w:rsidTr="00822F93">
        <w:trPr>
          <w:trHeight w:val="300"/>
        </w:trPr>
        <w:tc>
          <w:tcPr>
            <w:tcW w:w="2268" w:type="dxa"/>
            <w:tcBorders>
              <w:bottom w:val="single" w:sz="4" w:space="0" w:color="auto"/>
            </w:tcBorders>
            <w:shd w:val="clear" w:color="auto" w:fill="auto"/>
            <w:vAlign w:val="bottom"/>
            <w:hideMark/>
          </w:tcPr>
          <w:p w14:paraId="492A17B2" w14:textId="77777777" w:rsidR="00741CD1" w:rsidRPr="0041136F" w:rsidRDefault="00741CD1" w:rsidP="00822F93">
            <w:pPr>
              <w:rPr>
                <w:rFonts w:ascii="Times New Roman" w:eastAsia="Times New Roman" w:hAnsi="Times New Roman" w:cs="Times New Roman"/>
                <w:color w:val="auto"/>
                <w:sz w:val="24"/>
                <w:szCs w:val="24"/>
                <w:lang w:eastAsia="en-AU"/>
              </w:rPr>
            </w:pPr>
            <w:r>
              <w:rPr>
                <w:rFonts w:ascii="Calibri" w:eastAsia="Times New Roman" w:hAnsi="Calibri" w:cs="Calibri"/>
                <w:lang w:eastAsia="en-AU"/>
              </w:rPr>
              <w:t>R&amp;D E</w:t>
            </w:r>
            <w:r w:rsidRPr="79E4B837">
              <w:rPr>
                <w:rFonts w:ascii="Calibri" w:eastAsia="Times New Roman" w:hAnsi="Calibri" w:cs="Calibri"/>
                <w:lang w:eastAsia="en-AU"/>
              </w:rPr>
              <w:t>xpenditure (</w:t>
            </w:r>
            <w:r w:rsidRPr="00751D14">
              <w:rPr>
                <w:rFonts w:ascii="Calibri" w:eastAsia="Times New Roman" w:hAnsi="Calibri" w:cs="Calibri"/>
                <w:b/>
                <w:lang w:eastAsia="en-AU"/>
              </w:rPr>
              <w:t>million</w:t>
            </w:r>
            <w:r w:rsidRPr="79E4B837">
              <w:rPr>
                <w:rFonts w:ascii="Calibri" w:eastAsia="Times New Roman" w:hAnsi="Calibri" w:cs="Calibri"/>
                <w:lang w:eastAsia="en-AU"/>
              </w:rPr>
              <w:t>)</w:t>
            </w:r>
            <w:r w:rsidRPr="79E4B837">
              <w:rPr>
                <w:rFonts w:ascii="Calibri" w:eastAsia="Times New Roman" w:hAnsi="Calibri" w:cs="Calibri"/>
                <w:color w:val="auto"/>
                <w:lang w:eastAsia="en-AU"/>
              </w:rPr>
              <w:t> </w:t>
            </w:r>
          </w:p>
        </w:tc>
        <w:tc>
          <w:tcPr>
            <w:tcW w:w="1560" w:type="dxa"/>
            <w:tcBorders>
              <w:bottom w:val="single" w:sz="4" w:space="0" w:color="auto"/>
            </w:tcBorders>
            <w:shd w:val="clear" w:color="auto" w:fill="auto"/>
            <w:vAlign w:val="bottom"/>
            <w:hideMark/>
          </w:tcPr>
          <w:p w14:paraId="6EDBE6E5"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$3,348</w:t>
            </w:r>
          </w:p>
        </w:tc>
        <w:tc>
          <w:tcPr>
            <w:tcW w:w="1842" w:type="dxa"/>
            <w:tcBorders>
              <w:bottom w:val="single" w:sz="4" w:space="0" w:color="auto"/>
            </w:tcBorders>
            <w:shd w:val="clear" w:color="auto" w:fill="auto"/>
            <w:vAlign w:val="bottom"/>
            <w:hideMark/>
          </w:tcPr>
          <w:p w14:paraId="0535DA3A"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$1,554</w:t>
            </w:r>
          </w:p>
        </w:tc>
        <w:tc>
          <w:tcPr>
            <w:tcW w:w="1531" w:type="dxa"/>
            <w:tcBorders>
              <w:bottom w:val="single" w:sz="4" w:space="0" w:color="auto"/>
            </w:tcBorders>
            <w:shd w:val="clear" w:color="auto" w:fill="auto"/>
            <w:vAlign w:val="bottom"/>
          </w:tcPr>
          <w:p w14:paraId="7E01A06F"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$218</w:t>
            </w:r>
          </w:p>
        </w:tc>
        <w:tc>
          <w:tcPr>
            <w:tcW w:w="1644" w:type="dxa"/>
            <w:tcBorders>
              <w:bottom w:val="single" w:sz="4" w:space="0" w:color="auto"/>
            </w:tcBorders>
            <w:shd w:val="clear" w:color="auto" w:fill="auto"/>
            <w:vAlign w:val="bottom"/>
          </w:tcPr>
          <w:p w14:paraId="1F74B976" w14:textId="77777777" w:rsidR="00741CD1" w:rsidRPr="0041136F" w:rsidRDefault="00741CD1" w:rsidP="00822F93">
            <w:pPr>
              <w:jc w:val="center"/>
              <w:rPr>
                <w:rFonts w:ascii="Calibri" w:eastAsia="Times New Roman" w:hAnsi="Calibri" w:cs="Calibri"/>
                <w:lang w:eastAsia="en-AU"/>
              </w:rPr>
            </w:pPr>
            <w:r w:rsidRPr="001F0903">
              <w:rPr>
                <w:rFonts w:eastAsia="Times New Roman"/>
                <w:color w:val="000000"/>
                <w:lang w:eastAsia="en-AU"/>
              </w:rPr>
              <w:t>$116</w:t>
            </w:r>
          </w:p>
        </w:tc>
        <w:tc>
          <w:tcPr>
            <w:tcW w:w="1645" w:type="dxa"/>
            <w:tcBorders>
              <w:bottom w:val="single" w:sz="4" w:space="0" w:color="auto"/>
            </w:tcBorders>
            <w:shd w:val="clear" w:color="auto" w:fill="auto"/>
            <w:vAlign w:val="bottom"/>
            <w:hideMark/>
          </w:tcPr>
          <w:p w14:paraId="5BFBB683"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$180</w:t>
            </w:r>
          </w:p>
        </w:tc>
      </w:tr>
    </w:tbl>
    <w:p w14:paraId="222E6B7C" w14:textId="77777777" w:rsidR="00741CD1" w:rsidRPr="00E64C42" w:rsidRDefault="00741CD1" w:rsidP="00741CD1">
      <w:pPr>
        <w:pStyle w:val="Heading5"/>
        <w:rPr>
          <w:i w:val="0"/>
          <w:lang w:eastAsia="en-AU"/>
        </w:rPr>
      </w:pPr>
      <w:r>
        <w:rPr>
          <w:i w:val="0"/>
          <w:lang w:eastAsia="en-AU"/>
        </w:rPr>
        <w:t>Table 6: Compariso</w:t>
      </w:r>
      <w:r w:rsidRPr="00E64C42">
        <w:rPr>
          <w:i w:val="0"/>
          <w:lang w:eastAsia="en-AU"/>
        </w:rPr>
        <w:t xml:space="preserve">n by sector – VIC </w:t>
      </w:r>
    </w:p>
    <w:tbl>
      <w:tblPr>
        <w:tblW w:w="10490" w:type="dxa"/>
        <w:tblLayout w:type="fixed"/>
        <w:tblCellMar>
          <w:top w:w="15" w:type="dxa"/>
          <w:left w:w="15" w:type="dxa"/>
          <w:bottom w:w="15" w:type="dxa"/>
          <w:right w:w="15" w:type="dxa"/>
        </w:tblCellMar>
        <w:tblLook w:val="04A0" w:firstRow="1" w:lastRow="0" w:firstColumn="1" w:lastColumn="0" w:noHBand="0" w:noVBand="1"/>
      </w:tblPr>
      <w:tblGrid>
        <w:gridCol w:w="2268"/>
        <w:gridCol w:w="1560"/>
        <w:gridCol w:w="1842"/>
        <w:gridCol w:w="1531"/>
        <w:gridCol w:w="1644"/>
        <w:gridCol w:w="1645"/>
      </w:tblGrid>
      <w:tr w:rsidR="00741CD1" w:rsidRPr="0041136F" w14:paraId="59C7C06A" w14:textId="77777777" w:rsidTr="00822F93">
        <w:trPr>
          <w:trHeight w:val="300"/>
        </w:trPr>
        <w:tc>
          <w:tcPr>
            <w:tcW w:w="2268" w:type="dxa"/>
            <w:shd w:val="clear" w:color="auto" w:fill="auto"/>
            <w:vAlign w:val="bottom"/>
            <w:hideMark/>
          </w:tcPr>
          <w:p w14:paraId="69DE44AB" w14:textId="77777777" w:rsidR="00741CD1" w:rsidRPr="0041136F" w:rsidRDefault="00741CD1" w:rsidP="00822F93">
            <w:pPr>
              <w:pStyle w:val="TableHeading"/>
              <w:rPr>
                <w:rFonts w:ascii="Times New Roman" w:hAnsi="Times New Roman" w:cs="Times New Roman"/>
                <w:color w:val="auto"/>
                <w:lang w:eastAsia="en-AU"/>
              </w:rPr>
            </w:pPr>
            <w:r w:rsidRPr="79E4B837">
              <w:rPr>
                <w:lang w:eastAsia="en-AU"/>
              </w:rPr>
              <w:t>  </w:t>
            </w:r>
            <w:r w:rsidRPr="79E4B837">
              <w:rPr>
                <w:color w:val="auto"/>
                <w:lang w:eastAsia="en-AU"/>
              </w:rPr>
              <w:t> </w:t>
            </w:r>
          </w:p>
        </w:tc>
        <w:tc>
          <w:tcPr>
            <w:tcW w:w="1560" w:type="dxa"/>
            <w:shd w:val="clear" w:color="auto" w:fill="auto"/>
            <w:vAlign w:val="center"/>
            <w:hideMark/>
          </w:tcPr>
          <w:p w14:paraId="0EFD3F0C" w14:textId="77777777" w:rsidR="00741CD1" w:rsidRPr="0041136F" w:rsidRDefault="00741CD1" w:rsidP="00822F93">
            <w:pPr>
              <w:pStyle w:val="TableHeading"/>
              <w:jc w:val="center"/>
              <w:rPr>
                <w:rFonts w:ascii="Times New Roman" w:hAnsi="Times New Roman" w:cs="Times New Roman"/>
                <w:color w:val="auto"/>
                <w:lang w:eastAsia="en-AU"/>
              </w:rPr>
            </w:pPr>
            <w:r w:rsidRPr="79E4B837">
              <w:rPr>
                <w:lang w:eastAsia="en-AU"/>
              </w:rPr>
              <w:t>Services</w:t>
            </w:r>
          </w:p>
        </w:tc>
        <w:tc>
          <w:tcPr>
            <w:tcW w:w="1842" w:type="dxa"/>
            <w:shd w:val="clear" w:color="auto" w:fill="auto"/>
            <w:vAlign w:val="center"/>
            <w:hideMark/>
          </w:tcPr>
          <w:p w14:paraId="24686A8E" w14:textId="77777777" w:rsidR="00741CD1" w:rsidRPr="0041136F" w:rsidRDefault="00741CD1" w:rsidP="00822F93">
            <w:pPr>
              <w:pStyle w:val="TableHeading"/>
              <w:jc w:val="center"/>
              <w:rPr>
                <w:rFonts w:ascii="Times New Roman" w:hAnsi="Times New Roman" w:cs="Times New Roman"/>
                <w:color w:val="auto"/>
                <w:lang w:eastAsia="en-AU"/>
              </w:rPr>
            </w:pPr>
            <w:r w:rsidRPr="79E4B837">
              <w:rPr>
                <w:lang w:eastAsia="en-AU"/>
              </w:rPr>
              <w:t>Manufacturing</w:t>
            </w:r>
          </w:p>
        </w:tc>
        <w:tc>
          <w:tcPr>
            <w:tcW w:w="1531" w:type="dxa"/>
            <w:shd w:val="clear" w:color="auto" w:fill="auto"/>
            <w:vAlign w:val="center"/>
          </w:tcPr>
          <w:p w14:paraId="54CC9018" w14:textId="77777777" w:rsidR="00741CD1" w:rsidRPr="0041136F" w:rsidRDefault="00741CD1" w:rsidP="00822F93">
            <w:pPr>
              <w:pStyle w:val="TableHeading"/>
              <w:jc w:val="center"/>
              <w:rPr>
                <w:rFonts w:ascii="Times New Roman" w:hAnsi="Times New Roman" w:cs="Times New Roman"/>
                <w:color w:val="auto"/>
                <w:lang w:eastAsia="en-AU"/>
              </w:rPr>
            </w:pPr>
            <w:r w:rsidRPr="79E4B837">
              <w:rPr>
                <w:lang w:eastAsia="en-AU"/>
              </w:rPr>
              <w:t>Agriculture</w:t>
            </w:r>
          </w:p>
        </w:tc>
        <w:tc>
          <w:tcPr>
            <w:tcW w:w="1644" w:type="dxa"/>
            <w:shd w:val="clear" w:color="auto" w:fill="auto"/>
            <w:vAlign w:val="center"/>
          </w:tcPr>
          <w:p w14:paraId="46C0BFA3" w14:textId="77777777" w:rsidR="00741CD1" w:rsidRPr="0041136F" w:rsidRDefault="00741CD1" w:rsidP="00822F93">
            <w:pPr>
              <w:pStyle w:val="TableHeading"/>
              <w:jc w:val="center"/>
              <w:rPr>
                <w:lang w:eastAsia="en-AU"/>
              </w:rPr>
            </w:pPr>
            <w:r w:rsidRPr="79E4B837">
              <w:rPr>
                <w:lang w:eastAsia="en-AU"/>
              </w:rPr>
              <w:t>Mining</w:t>
            </w:r>
          </w:p>
        </w:tc>
        <w:tc>
          <w:tcPr>
            <w:tcW w:w="1645" w:type="dxa"/>
            <w:shd w:val="clear" w:color="auto" w:fill="auto"/>
            <w:vAlign w:val="center"/>
            <w:hideMark/>
          </w:tcPr>
          <w:p w14:paraId="6B849EAA" w14:textId="77777777" w:rsidR="00741CD1" w:rsidRPr="0041136F" w:rsidRDefault="00741CD1" w:rsidP="00822F93">
            <w:pPr>
              <w:pStyle w:val="TableHeading"/>
              <w:jc w:val="center"/>
              <w:rPr>
                <w:rFonts w:ascii="Times New Roman" w:hAnsi="Times New Roman" w:cs="Times New Roman"/>
                <w:color w:val="auto"/>
                <w:lang w:eastAsia="en-AU"/>
              </w:rPr>
            </w:pPr>
            <w:proofErr w:type="gramStart"/>
            <w:r w:rsidRPr="79E4B837">
              <w:rPr>
                <w:lang w:eastAsia="en-AU"/>
              </w:rPr>
              <w:t>E,G</w:t>
            </w:r>
            <w:proofErr w:type="gramEnd"/>
            <w:r w:rsidRPr="79E4B837">
              <w:rPr>
                <w:lang w:eastAsia="en-AU"/>
              </w:rPr>
              <w:t>,W &amp; WS*</w:t>
            </w:r>
          </w:p>
        </w:tc>
      </w:tr>
      <w:tr w:rsidR="00741CD1" w:rsidRPr="0041136F" w14:paraId="4F20F215" w14:textId="77777777" w:rsidTr="00822F93">
        <w:trPr>
          <w:trHeight w:val="300"/>
        </w:trPr>
        <w:tc>
          <w:tcPr>
            <w:tcW w:w="2268" w:type="dxa"/>
            <w:shd w:val="clear" w:color="auto" w:fill="auto"/>
            <w:vAlign w:val="bottom"/>
            <w:hideMark/>
          </w:tcPr>
          <w:p w14:paraId="5F2D88A2" w14:textId="77777777" w:rsidR="00741CD1" w:rsidRPr="0041136F" w:rsidRDefault="00741CD1" w:rsidP="00822F93">
            <w:pPr>
              <w:rPr>
                <w:rFonts w:ascii="Times New Roman" w:eastAsia="Times New Roman" w:hAnsi="Times New Roman" w:cs="Times New Roman"/>
                <w:color w:val="auto"/>
                <w:sz w:val="24"/>
                <w:szCs w:val="24"/>
                <w:lang w:eastAsia="en-AU"/>
              </w:rPr>
            </w:pPr>
            <w:r w:rsidRPr="79E4B837">
              <w:rPr>
                <w:rFonts w:ascii="Calibri" w:eastAsia="Times New Roman" w:hAnsi="Calibri" w:cs="Calibri"/>
                <w:lang w:eastAsia="en-AU"/>
              </w:rPr>
              <w:t>Number of Registrations</w:t>
            </w:r>
            <w:r w:rsidRPr="79E4B837">
              <w:rPr>
                <w:rFonts w:ascii="Calibri" w:eastAsia="Times New Roman" w:hAnsi="Calibri" w:cs="Calibri"/>
                <w:color w:val="auto"/>
                <w:lang w:eastAsia="en-AU"/>
              </w:rPr>
              <w:t> </w:t>
            </w:r>
          </w:p>
        </w:tc>
        <w:tc>
          <w:tcPr>
            <w:tcW w:w="1560" w:type="dxa"/>
            <w:shd w:val="clear" w:color="auto" w:fill="auto"/>
            <w:vAlign w:val="bottom"/>
            <w:hideMark/>
          </w:tcPr>
          <w:p w14:paraId="70DF9ECB"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2,28</w:t>
            </w:r>
            <w:r>
              <w:rPr>
                <w:rFonts w:eastAsia="Times New Roman"/>
                <w:color w:val="000000"/>
                <w:lang w:eastAsia="en-AU"/>
              </w:rPr>
              <w:t>7</w:t>
            </w:r>
            <w:r w:rsidRPr="001F0903">
              <w:rPr>
                <w:rFonts w:eastAsia="Times New Roman"/>
                <w:color w:val="000000"/>
                <w:lang w:eastAsia="en-AU"/>
              </w:rPr>
              <w:t xml:space="preserve"> </w:t>
            </w:r>
          </w:p>
        </w:tc>
        <w:tc>
          <w:tcPr>
            <w:tcW w:w="1842" w:type="dxa"/>
            <w:shd w:val="clear" w:color="auto" w:fill="auto"/>
            <w:vAlign w:val="bottom"/>
            <w:hideMark/>
          </w:tcPr>
          <w:p w14:paraId="4DDBB9D2"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1,06</w:t>
            </w:r>
            <w:r>
              <w:rPr>
                <w:rFonts w:eastAsia="Times New Roman"/>
                <w:color w:val="000000"/>
                <w:lang w:eastAsia="en-AU"/>
              </w:rPr>
              <w:t>6</w:t>
            </w:r>
            <w:r w:rsidRPr="001F0903">
              <w:rPr>
                <w:rFonts w:eastAsia="Times New Roman"/>
                <w:color w:val="000000"/>
                <w:lang w:eastAsia="en-AU"/>
              </w:rPr>
              <w:t xml:space="preserve"> </w:t>
            </w:r>
          </w:p>
        </w:tc>
        <w:tc>
          <w:tcPr>
            <w:tcW w:w="1531" w:type="dxa"/>
            <w:shd w:val="clear" w:color="auto" w:fill="auto"/>
            <w:vAlign w:val="bottom"/>
          </w:tcPr>
          <w:p w14:paraId="017492AC"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 xml:space="preserve">107 </w:t>
            </w:r>
          </w:p>
        </w:tc>
        <w:tc>
          <w:tcPr>
            <w:tcW w:w="1644" w:type="dxa"/>
            <w:shd w:val="clear" w:color="auto" w:fill="auto"/>
            <w:vAlign w:val="bottom"/>
          </w:tcPr>
          <w:p w14:paraId="702B7ABE" w14:textId="77777777" w:rsidR="00741CD1" w:rsidRDefault="00741CD1" w:rsidP="00822F93">
            <w:pPr>
              <w:jc w:val="center"/>
              <w:rPr>
                <w:rFonts w:ascii="Calibri" w:eastAsia="Times New Roman" w:hAnsi="Calibri" w:cs="Calibri"/>
                <w:lang w:eastAsia="en-AU"/>
              </w:rPr>
            </w:pPr>
            <w:r w:rsidRPr="001F0903">
              <w:rPr>
                <w:rFonts w:eastAsia="Times New Roman"/>
                <w:color w:val="000000"/>
                <w:lang w:eastAsia="en-AU"/>
              </w:rPr>
              <w:t xml:space="preserve">30 </w:t>
            </w:r>
          </w:p>
        </w:tc>
        <w:tc>
          <w:tcPr>
            <w:tcW w:w="1645" w:type="dxa"/>
            <w:shd w:val="clear" w:color="auto" w:fill="auto"/>
            <w:vAlign w:val="bottom"/>
            <w:hideMark/>
          </w:tcPr>
          <w:p w14:paraId="4F10B5F2"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 xml:space="preserve">58 </w:t>
            </w:r>
          </w:p>
        </w:tc>
      </w:tr>
      <w:tr w:rsidR="00741CD1" w:rsidRPr="0041136F" w14:paraId="6BAC4865" w14:textId="77777777" w:rsidTr="00822F93">
        <w:trPr>
          <w:trHeight w:val="300"/>
        </w:trPr>
        <w:tc>
          <w:tcPr>
            <w:tcW w:w="2268" w:type="dxa"/>
            <w:tcBorders>
              <w:bottom w:val="single" w:sz="4" w:space="0" w:color="auto"/>
            </w:tcBorders>
            <w:shd w:val="clear" w:color="auto" w:fill="auto"/>
            <w:vAlign w:val="bottom"/>
            <w:hideMark/>
          </w:tcPr>
          <w:p w14:paraId="3DF4026B" w14:textId="77777777" w:rsidR="00741CD1" w:rsidRPr="0041136F" w:rsidRDefault="00741CD1" w:rsidP="00822F93">
            <w:pPr>
              <w:rPr>
                <w:rFonts w:ascii="Times New Roman" w:eastAsia="Times New Roman" w:hAnsi="Times New Roman" w:cs="Times New Roman"/>
                <w:color w:val="auto"/>
                <w:sz w:val="24"/>
                <w:szCs w:val="24"/>
                <w:lang w:eastAsia="en-AU"/>
              </w:rPr>
            </w:pPr>
            <w:r>
              <w:rPr>
                <w:rFonts w:ascii="Calibri" w:eastAsia="Times New Roman" w:hAnsi="Calibri" w:cs="Calibri"/>
                <w:lang w:eastAsia="en-AU"/>
              </w:rPr>
              <w:t>R&amp;D E</w:t>
            </w:r>
            <w:r w:rsidRPr="79E4B837">
              <w:rPr>
                <w:rFonts w:ascii="Calibri" w:eastAsia="Times New Roman" w:hAnsi="Calibri" w:cs="Calibri"/>
                <w:lang w:eastAsia="en-AU"/>
              </w:rPr>
              <w:t>xpenditure (</w:t>
            </w:r>
            <w:r w:rsidRPr="00751D14">
              <w:rPr>
                <w:rFonts w:ascii="Calibri" w:eastAsia="Times New Roman" w:hAnsi="Calibri" w:cs="Calibri"/>
                <w:b/>
                <w:lang w:eastAsia="en-AU"/>
              </w:rPr>
              <w:t>million</w:t>
            </w:r>
            <w:r w:rsidRPr="79E4B837">
              <w:rPr>
                <w:rFonts w:ascii="Calibri" w:eastAsia="Times New Roman" w:hAnsi="Calibri" w:cs="Calibri"/>
                <w:lang w:eastAsia="en-AU"/>
              </w:rPr>
              <w:t>)</w:t>
            </w:r>
            <w:r w:rsidRPr="79E4B837">
              <w:rPr>
                <w:rFonts w:ascii="Calibri" w:eastAsia="Times New Roman" w:hAnsi="Calibri" w:cs="Calibri"/>
                <w:color w:val="auto"/>
                <w:lang w:eastAsia="en-AU"/>
              </w:rPr>
              <w:t> </w:t>
            </w:r>
          </w:p>
        </w:tc>
        <w:tc>
          <w:tcPr>
            <w:tcW w:w="1560" w:type="dxa"/>
            <w:tcBorders>
              <w:bottom w:val="single" w:sz="4" w:space="0" w:color="auto"/>
            </w:tcBorders>
            <w:shd w:val="clear" w:color="auto" w:fill="auto"/>
            <w:vAlign w:val="bottom"/>
            <w:hideMark/>
          </w:tcPr>
          <w:p w14:paraId="550DA733"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$2,307</w:t>
            </w:r>
          </w:p>
        </w:tc>
        <w:tc>
          <w:tcPr>
            <w:tcW w:w="1842" w:type="dxa"/>
            <w:tcBorders>
              <w:bottom w:val="single" w:sz="4" w:space="0" w:color="auto"/>
            </w:tcBorders>
            <w:shd w:val="clear" w:color="auto" w:fill="auto"/>
            <w:vAlign w:val="bottom"/>
            <w:hideMark/>
          </w:tcPr>
          <w:p w14:paraId="07D431B0"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$1,259</w:t>
            </w:r>
          </w:p>
        </w:tc>
        <w:tc>
          <w:tcPr>
            <w:tcW w:w="1531" w:type="dxa"/>
            <w:tcBorders>
              <w:bottom w:val="single" w:sz="4" w:space="0" w:color="auto"/>
            </w:tcBorders>
            <w:shd w:val="clear" w:color="auto" w:fill="auto"/>
            <w:vAlign w:val="bottom"/>
          </w:tcPr>
          <w:p w14:paraId="7282DE76"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$88</w:t>
            </w:r>
          </w:p>
        </w:tc>
        <w:tc>
          <w:tcPr>
            <w:tcW w:w="1644" w:type="dxa"/>
            <w:tcBorders>
              <w:bottom w:val="single" w:sz="4" w:space="0" w:color="auto"/>
            </w:tcBorders>
            <w:shd w:val="clear" w:color="auto" w:fill="auto"/>
            <w:vAlign w:val="bottom"/>
          </w:tcPr>
          <w:p w14:paraId="219D578B" w14:textId="77777777" w:rsidR="00741CD1" w:rsidRPr="0041136F" w:rsidRDefault="00741CD1" w:rsidP="00822F93">
            <w:pPr>
              <w:jc w:val="center"/>
              <w:rPr>
                <w:rFonts w:ascii="Calibri" w:eastAsia="Times New Roman" w:hAnsi="Calibri" w:cs="Calibri"/>
                <w:lang w:eastAsia="en-AU"/>
              </w:rPr>
            </w:pPr>
            <w:r w:rsidRPr="001F0903">
              <w:rPr>
                <w:rFonts w:eastAsia="Times New Roman"/>
                <w:color w:val="000000"/>
                <w:lang w:eastAsia="en-AU"/>
              </w:rPr>
              <w:t>$206</w:t>
            </w:r>
          </w:p>
        </w:tc>
        <w:tc>
          <w:tcPr>
            <w:tcW w:w="1645" w:type="dxa"/>
            <w:tcBorders>
              <w:bottom w:val="single" w:sz="4" w:space="0" w:color="auto"/>
            </w:tcBorders>
            <w:shd w:val="clear" w:color="auto" w:fill="auto"/>
            <w:vAlign w:val="bottom"/>
            <w:hideMark/>
          </w:tcPr>
          <w:p w14:paraId="2C3440F2"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$98</w:t>
            </w:r>
          </w:p>
        </w:tc>
      </w:tr>
    </w:tbl>
    <w:p w14:paraId="4B624BA5" w14:textId="77777777" w:rsidR="00741CD1" w:rsidRPr="00E64C42" w:rsidRDefault="00741CD1" w:rsidP="00741CD1">
      <w:pPr>
        <w:pStyle w:val="Heading5"/>
        <w:rPr>
          <w:i w:val="0"/>
          <w:lang w:eastAsia="en-AU"/>
        </w:rPr>
      </w:pPr>
      <w:r>
        <w:rPr>
          <w:i w:val="0"/>
          <w:lang w:eastAsia="en-AU"/>
        </w:rPr>
        <w:t xml:space="preserve">Table 7: </w:t>
      </w:r>
      <w:r w:rsidRPr="00E64C42">
        <w:rPr>
          <w:i w:val="0"/>
          <w:lang w:eastAsia="en-AU"/>
        </w:rPr>
        <w:t xml:space="preserve">Comparison by sector – QLD </w:t>
      </w:r>
    </w:p>
    <w:tbl>
      <w:tblPr>
        <w:tblW w:w="10490" w:type="dxa"/>
        <w:tblLayout w:type="fixed"/>
        <w:tblCellMar>
          <w:top w:w="15" w:type="dxa"/>
          <w:left w:w="15" w:type="dxa"/>
          <w:bottom w:w="15" w:type="dxa"/>
          <w:right w:w="15" w:type="dxa"/>
        </w:tblCellMar>
        <w:tblLook w:val="04A0" w:firstRow="1" w:lastRow="0" w:firstColumn="1" w:lastColumn="0" w:noHBand="0" w:noVBand="1"/>
      </w:tblPr>
      <w:tblGrid>
        <w:gridCol w:w="2268"/>
        <w:gridCol w:w="1560"/>
        <w:gridCol w:w="1842"/>
        <w:gridCol w:w="1531"/>
        <w:gridCol w:w="1644"/>
        <w:gridCol w:w="1645"/>
      </w:tblGrid>
      <w:tr w:rsidR="00741CD1" w:rsidRPr="0041136F" w14:paraId="674E7E93" w14:textId="77777777" w:rsidTr="00822F93">
        <w:trPr>
          <w:trHeight w:val="300"/>
        </w:trPr>
        <w:tc>
          <w:tcPr>
            <w:tcW w:w="2268" w:type="dxa"/>
            <w:shd w:val="clear" w:color="auto" w:fill="auto"/>
            <w:vAlign w:val="bottom"/>
            <w:hideMark/>
          </w:tcPr>
          <w:p w14:paraId="14FCC3A6" w14:textId="77777777" w:rsidR="00741CD1" w:rsidRPr="0041136F" w:rsidRDefault="00741CD1" w:rsidP="00822F93">
            <w:pPr>
              <w:pStyle w:val="TableHeading"/>
              <w:rPr>
                <w:rFonts w:ascii="Times New Roman" w:hAnsi="Times New Roman" w:cs="Times New Roman"/>
                <w:color w:val="auto"/>
                <w:lang w:eastAsia="en-AU"/>
              </w:rPr>
            </w:pPr>
            <w:r w:rsidRPr="79E4B837">
              <w:rPr>
                <w:lang w:eastAsia="en-AU"/>
              </w:rPr>
              <w:t>  </w:t>
            </w:r>
            <w:r w:rsidRPr="79E4B837">
              <w:rPr>
                <w:color w:val="auto"/>
                <w:lang w:eastAsia="en-AU"/>
              </w:rPr>
              <w:t> </w:t>
            </w:r>
          </w:p>
        </w:tc>
        <w:tc>
          <w:tcPr>
            <w:tcW w:w="1560" w:type="dxa"/>
            <w:shd w:val="clear" w:color="auto" w:fill="auto"/>
            <w:vAlign w:val="center"/>
            <w:hideMark/>
          </w:tcPr>
          <w:p w14:paraId="3FEA6E74" w14:textId="77777777" w:rsidR="00741CD1" w:rsidRPr="0041136F" w:rsidRDefault="00741CD1" w:rsidP="00822F93">
            <w:pPr>
              <w:pStyle w:val="TableHeading"/>
              <w:jc w:val="center"/>
              <w:rPr>
                <w:rFonts w:ascii="Times New Roman" w:hAnsi="Times New Roman" w:cs="Times New Roman"/>
                <w:color w:val="auto"/>
                <w:lang w:eastAsia="en-AU"/>
              </w:rPr>
            </w:pPr>
            <w:r w:rsidRPr="79E4B837">
              <w:rPr>
                <w:lang w:eastAsia="en-AU"/>
              </w:rPr>
              <w:t>Services</w:t>
            </w:r>
          </w:p>
        </w:tc>
        <w:tc>
          <w:tcPr>
            <w:tcW w:w="1842" w:type="dxa"/>
            <w:shd w:val="clear" w:color="auto" w:fill="auto"/>
            <w:vAlign w:val="center"/>
            <w:hideMark/>
          </w:tcPr>
          <w:p w14:paraId="1F9C25FE" w14:textId="77777777" w:rsidR="00741CD1" w:rsidRPr="0041136F" w:rsidRDefault="00741CD1" w:rsidP="00822F93">
            <w:pPr>
              <w:pStyle w:val="TableHeading"/>
              <w:jc w:val="center"/>
              <w:rPr>
                <w:rFonts w:ascii="Times New Roman" w:hAnsi="Times New Roman" w:cs="Times New Roman"/>
                <w:color w:val="auto"/>
                <w:lang w:eastAsia="en-AU"/>
              </w:rPr>
            </w:pPr>
            <w:r w:rsidRPr="79E4B837">
              <w:rPr>
                <w:lang w:eastAsia="en-AU"/>
              </w:rPr>
              <w:t>Manufacturing</w:t>
            </w:r>
          </w:p>
        </w:tc>
        <w:tc>
          <w:tcPr>
            <w:tcW w:w="1531" w:type="dxa"/>
            <w:shd w:val="clear" w:color="auto" w:fill="auto"/>
            <w:vAlign w:val="center"/>
          </w:tcPr>
          <w:p w14:paraId="446A508C" w14:textId="77777777" w:rsidR="00741CD1" w:rsidRPr="0041136F" w:rsidRDefault="00741CD1" w:rsidP="00822F93">
            <w:pPr>
              <w:pStyle w:val="TableHeading"/>
              <w:jc w:val="center"/>
              <w:rPr>
                <w:rFonts w:ascii="Times New Roman" w:hAnsi="Times New Roman" w:cs="Times New Roman"/>
                <w:color w:val="auto"/>
                <w:lang w:eastAsia="en-AU"/>
              </w:rPr>
            </w:pPr>
            <w:r w:rsidRPr="79E4B837">
              <w:rPr>
                <w:lang w:eastAsia="en-AU"/>
              </w:rPr>
              <w:t>Agriculture</w:t>
            </w:r>
          </w:p>
        </w:tc>
        <w:tc>
          <w:tcPr>
            <w:tcW w:w="1644" w:type="dxa"/>
            <w:shd w:val="clear" w:color="auto" w:fill="auto"/>
            <w:vAlign w:val="center"/>
          </w:tcPr>
          <w:p w14:paraId="3DA0EB71" w14:textId="77777777" w:rsidR="00741CD1" w:rsidRPr="0041136F" w:rsidRDefault="00741CD1" w:rsidP="00822F93">
            <w:pPr>
              <w:pStyle w:val="TableHeading"/>
              <w:jc w:val="center"/>
              <w:rPr>
                <w:lang w:eastAsia="en-AU"/>
              </w:rPr>
            </w:pPr>
            <w:r w:rsidRPr="79E4B837">
              <w:rPr>
                <w:lang w:eastAsia="en-AU"/>
              </w:rPr>
              <w:t>Mining</w:t>
            </w:r>
          </w:p>
        </w:tc>
        <w:tc>
          <w:tcPr>
            <w:tcW w:w="1645" w:type="dxa"/>
            <w:shd w:val="clear" w:color="auto" w:fill="auto"/>
            <w:vAlign w:val="center"/>
            <w:hideMark/>
          </w:tcPr>
          <w:p w14:paraId="61752D0F" w14:textId="77777777" w:rsidR="00741CD1" w:rsidRPr="0041136F" w:rsidRDefault="00741CD1" w:rsidP="00822F93">
            <w:pPr>
              <w:pStyle w:val="TableHeading"/>
              <w:jc w:val="center"/>
              <w:rPr>
                <w:rFonts w:ascii="Times New Roman" w:hAnsi="Times New Roman" w:cs="Times New Roman"/>
                <w:color w:val="auto"/>
                <w:lang w:eastAsia="en-AU"/>
              </w:rPr>
            </w:pPr>
            <w:proofErr w:type="gramStart"/>
            <w:r w:rsidRPr="79E4B837">
              <w:rPr>
                <w:lang w:eastAsia="en-AU"/>
              </w:rPr>
              <w:t>E,G</w:t>
            </w:r>
            <w:proofErr w:type="gramEnd"/>
            <w:r w:rsidRPr="79E4B837">
              <w:rPr>
                <w:lang w:eastAsia="en-AU"/>
              </w:rPr>
              <w:t>,W &amp; WS*</w:t>
            </w:r>
          </w:p>
        </w:tc>
      </w:tr>
      <w:tr w:rsidR="00741CD1" w:rsidRPr="0041136F" w14:paraId="0BF594E9" w14:textId="77777777" w:rsidTr="00822F93">
        <w:trPr>
          <w:trHeight w:val="300"/>
        </w:trPr>
        <w:tc>
          <w:tcPr>
            <w:tcW w:w="2268" w:type="dxa"/>
            <w:shd w:val="clear" w:color="auto" w:fill="auto"/>
            <w:vAlign w:val="bottom"/>
            <w:hideMark/>
          </w:tcPr>
          <w:p w14:paraId="495ABD58" w14:textId="77777777" w:rsidR="00741CD1" w:rsidRPr="0041136F" w:rsidRDefault="00741CD1" w:rsidP="00822F93">
            <w:pPr>
              <w:rPr>
                <w:rFonts w:ascii="Times New Roman" w:eastAsia="Times New Roman" w:hAnsi="Times New Roman" w:cs="Times New Roman"/>
                <w:color w:val="auto"/>
                <w:sz w:val="24"/>
                <w:szCs w:val="24"/>
                <w:lang w:eastAsia="en-AU"/>
              </w:rPr>
            </w:pPr>
            <w:r w:rsidRPr="79E4B837">
              <w:rPr>
                <w:rFonts w:ascii="Calibri" w:eastAsia="Times New Roman" w:hAnsi="Calibri" w:cs="Calibri"/>
                <w:lang w:eastAsia="en-AU"/>
              </w:rPr>
              <w:t>Number of Registrations</w:t>
            </w:r>
            <w:r w:rsidRPr="79E4B837">
              <w:rPr>
                <w:rFonts w:ascii="Calibri" w:eastAsia="Times New Roman" w:hAnsi="Calibri" w:cs="Calibri"/>
                <w:color w:val="auto"/>
                <w:lang w:eastAsia="en-AU"/>
              </w:rPr>
              <w:t> </w:t>
            </w:r>
          </w:p>
        </w:tc>
        <w:tc>
          <w:tcPr>
            <w:tcW w:w="1560" w:type="dxa"/>
            <w:shd w:val="clear" w:color="auto" w:fill="auto"/>
            <w:vAlign w:val="bottom"/>
            <w:hideMark/>
          </w:tcPr>
          <w:p w14:paraId="391EC10B"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 xml:space="preserve">1,198 </w:t>
            </w:r>
          </w:p>
        </w:tc>
        <w:tc>
          <w:tcPr>
            <w:tcW w:w="1842" w:type="dxa"/>
            <w:shd w:val="clear" w:color="auto" w:fill="auto"/>
            <w:vAlign w:val="bottom"/>
            <w:hideMark/>
          </w:tcPr>
          <w:p w14:paraId="6BE0A84C"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 xml:space="preserve">736 </w:t>
            </w:r>
          </w:p>
        </w:tc>
        <w:tc>
          <w:tcPr>
            <w:tcW w:w="1531" w:type="dxa"/>
            <w:shd w:val="clear" w:color="auto" w:fill="auto"/>
            <w:vAlign w:val="bottom"/>
          </w:tcPr>
          <w:p w14:paraId="24A55BA1"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 xml:space="preserve">126 </w:t>
            </w:r>
          </w:p>
        </w:tc>
        <w:tc>
          <w:tcPr>
            <w:tcW w:w="1644" w:type="dxa"/>
            <w:shd w:val="clear" w:color="auto" w:fill="auto"/>
            <w:vAlign w:val="bottom"/>
          </w:tcPr>
          <w:p w14:paraId="76B8F83E" w14:textId="77777777" w:rsidR="00741CD1" w:rsidRDefault="00741CD1" w:rsidP="00822F93">
            <w:pPr>
              <w:jc w:val="center"/>
              <w:rPr>
                <w:rFonts w:ascii="Calibri" w:eastAsia="Times New Roman" w:hAnsi="Calibri" w:cs="Calibri"/>
                <w:lang w:eastAsia="en-AU"/>
              </w:rPr>
            </w:pPr>
            <w:r w:rsidRPr="001F0903">
              <w:rPr>
                <w:rFonts w:eastAsia="Times New Roman"/>
                <w:color w:val="000000"/>
                <w:lang w:eastAsia="en-AU"/>
              </w:rPr>
              <w:t xml:space="preserve">90 </w:t>
            </w:r>
          </w:p>
        </w:tc>
        <w:tc>
          <w:tcPr>
            <w:tcW w:w="1645" w:type="dxa"/>
            <w:shd w:val="clear" w:color="auto" w:fill="auto"/>
            <w:vAlign w:val="bottom"/>
            <w:hideMark/>
          </w:tcPr>
          <w:p w14:paraId="31184AAD"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 xml:space="preserve">46 </w:t>
            </w:r>
          </w:p>
        </w:tc>
      </w:tr>
      <w:tr w:rsidR="00741CD1" w:rsidRPr="0041136F" w14:paraId="43FB0025" w14:textId="77777777" w:rsidTr="00822F93">
        <w:trPr>
          <w:trHeight w:val="300"/>
        </w:trPr>
        <w:tc>
          <w:tcPr>
            <w:tcW w:w="2268" w:type="dxa"/>
            <w:tcBorders>
              <w:bottom w:val="single" w:sz="4" w:space="0" w:color="auto"/>
            </w:tcBorders>
            <w:shd w:val="clear" w:color="auto" w:fill="auto"/>
            <w:vAlign w:val="bottom"/>
            <w:hideMark/>
          </w:tcPr>
          <w:p w14:paraId="675E5BC0" w14:textId="77777777" w:rsidR="00741CD1" w:rsidRPr="0041136F" w:rsidRDefault="00741CD1" w:rsidP="00822F93">
            <w:pPr>
              <w:rPr>
                <w:rFonts w:ascii="Times New Roman" w:eastAsia="Times New Roman" w:hAnsi="Times New Roman" w:cs="Times New Roman"/>
                <w:color w:val="auto"/>
                <w:sz w:val="24"/>
                <w:szCs w:val="24"/>
                <w:lang w:eastAsia="en-AU"/>
              </w:rPr>
            </w:pPr>
            <w:r>
              <w:rPr>
                <w:rFonts w:ascii="Calibri" w:eastAsia="Times New Roman" w:hAnsi="Calibri" w:cs="Calibri"/>
                <w:lang w:eastAsia="en-AU"/>
              </w:rPr>
              <w:t>R&amp;D E</w:t>
            </w:r>
            <w:r w:rsidRPr="79E4B837">
              <w:rPr>
                <w:rFonts w:ascii="Calibri" w:eastAsia="Times New Roman" w:hAnsi="Calibri" w:cs="Calibri"/>
                <w:lang w:eastAsia="en-AU"/>
              </w:rPr>
              <w:t>xpenditure (</w:t>
            </w:r>
            <w:r w:rsidRPr="00751D14">
              <w:rPr>
                <w:rFonts w:ascii="Calibri" w:eastAsia="Times New Roman" w:hAnsi="Calibri" w:cs="Calibri"/>
                <w:b/>
                <w:lang w:eastAsia="en-AU"/>
              </w:rPr>
              <w:t>million</w:t>
            </w:r>
            <w:r w:rsidRPr="79E4B837">
              <w:rPr>
                <w:rFonts w:ascii="Calibri" w:eastAsia="Times New Roman" w:hAnsi="Calibri" w:cs="Calibri"/>
                <w:lang w:eastAsia="en-AU"/>
              </w:rPr>
              <w:t>)</w:t>
            </w:r>
            <w:r w:rsidRPr="79E4B837">
              <w:rPr>
                <w:rFonts w:ascii="Calibri" w:eastAsia="Times New Roman" w:hAnsi="Calibri" w:cs="Calibri"/>
                <w:color w:val="auto"/>
                <w:lang w:eastAsia="en-AU"/>
              </w:rPr>
              <w:t> </w:t>
            </w:r>
          </w:p>
        </w:tc>
        <w:tc>
          <w:tcPr>
            <w:tcW w:w="1560" w:type="dxa"/>
            <w:tcBorders>
              <w:bottom w:val="single" w:sz="4" w:space="0" w:color="auto"/>
            </w:tcBorders>
            <w:shd w:val="clear" w:color="auto" w:fill="auto"/>
            <w:vAlign w:val="bottom"/>
            <w:hideMark/>
          </w:tcPr>
          <w:p w14:paraId="29F2BBEE"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$734</w:t>
            </w:r>
          </w:p>
        </w:tc>
        <w:tc>
          <w:tcPr>
            <w:tcW w:w="1842" w:type="dxa"/>
            <w:tcBorders>
              <w:bottom w:val="single" w:sz="4" w:space="0" w:color="auto"/>
            </w:tcBorders>
            <w:shd w:val="clear" w:color="auto" w:fill="auto"/>
            <w:vAlign w:val="bottom"/>
            <w:hideMark/>
          </w:tcPr>
          <w:p w14:paraId="60205181"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$623</w:t>
            </w:r>
          </w:p>
        </w:tc>
        <w:tc>
          <w:tcPr>
            <w:tcW w:w="1531" w:type="dxa"/>
            <w:tcBorders>
              <w:bottom w:val="single" w:sz="4" w:space="0" w:color="auto"/>
            </w:tcBorders>
            <w:shd w:val="clear" w:color="auto" w:fill="auto"/>
            <w:vAlign w:val="bottom"/>
          </w:tcPr>
          <w:p w14:paraId="52E3BCF8"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$107</w:t>
            </w:r>
          </w:p>
        </w:tc>
        <w:tc>
          <w:tcPr>
            <w:tcW w:w="1644" w:type="dxa"/>
            <w:tcBorders>
              <w:bottom w:val="single" w:sz="4" w:space="0" w:color="auto"/>
            </w:tcBorders>
            <w:shd w:val="clear" w:color="auto" w:fill="auto"/>
            <w:vAlign w:val="bottom"/>
          </w:tcPr>
          <w:p w14:paraId="05D560A5" w14:textId="77777777" w:rsidR="00741CD1" w:rsidRPr="0041136F" w:rsidRDefault="00741CD1" w:rsidP="00822F93">
            <w:pPr>
              <w:jc w:val="center"/>
              <w:rPr>
                <w:rFonts w:ascii="Calibri" w:eastAsia="Times New Roman" w:hAnsi="Calibri" w:cs="Calibri"/>
                <w:lang w:eastAsia="en-AU"/>
              </w:rPr>
            </w:pPr>
            <w:r w:rsidRPr="001F0903">
              <w:rPr>
                <w:rFonts w:eastAsia="Times New Roman"/>
                <w:color w:val="000000"/>
                <w:lang w:eastAsia="en-AU"/>
              </w:rPr>
              <w:t>$158</w:t>
            </w:r>
          </w:p>
        </w:tc>
        <w:tc>
          <w:tcPr>
            <w:tcW w:w="1645" w:type="dxa"/>
            <w:tcBorders>
              <w:bottom w:val="single" w:sz="4" w:space="0" w:color="auto"/>
            </w:tcBorders>
            <w:shd w:val="clear" w:color="auto" w:fill="auto"/>
            <w:vAlign w:val="bottom"/>
            <w:hideMark/>
          </w:tcPr>
          <w:p w14:paraId="65E958A8"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$29</w:t>
            </w:r>
          </w:p>
        </w:tc>
      </w:tr>
    </w:tbl>
    <w:p w14:paraId="0F41607D" w14:textId="77777777" w:rsidR="00741CD1" w:rsidRPr="00E64C42" w:rsidRDefault="00741CD1" w:rsidP="00741CD1">
      <w:pPr>
        <w:pStyle w:val="Heading5"/>
        <w:rPr>
          <w:i w:val="0"/>
          <w:lang w:eastAsia="en-AU"/>
        </w:rPr>
      </w:pPr>
      <w:r>
        <w:rPr>
          <w:i w:val="0"/>
          <w:lang w:eastAsia="en-AU"/>
        </w:rPr>
        <w:t xml:space="preserve">Table 8: </w:t>
      </w:r>
      <w:r w:rsidRPr="00E64C42">
        <w:rPr>
          <w:i w:val="0"/>
          <w:lang w:eastAsia="en-AU"/>
        </w:rPr>
        <w:t xml:space="preserve">Comparison by sector – WA </w:t>
      </w:r>
    </w:p>
    <w:tbl>
      <w:tblPr>
        <w:tblW w:w="10490" w:type="dxa"/>
        <w:tblLayout w:type="fixed"/>
        <w:tblCellMar>
          <w:top w:w="15" w:type="dxa"/>
          <w:left w:w="15" w:type="dxa"/>
          <w:bottom w:w="15" w:type="dxa"/>
          <w:right w:w="15" w:type="dxa"/>
        </w:tblCellMar>
        <w:tblLook w:val="04A0" w:firstRow="1" w:lastRow="0" w:firstColumn="1" w:lastColumn="0" w:noHBand="0" w:noVBand="1"/>
      </w:tblPr>
      <w:tblGrid>
        <w:gridCol w:w="2268"/>
        <w:gridCol w:w="1560"/>
        <w:gridCol w:w="1842"/>
        <w:gridCol w:w="1531"/>
        <w:gridCol w:w="1644"/>
        <w:gridCol w:w="1645"/>
      </w:tblGrid>
      <w:tr w:rsidR="00741CD1" w:rsidRPr="0041136F" w14:paraId="30A3793C" w14:textId="77777777" w:rsidTr="00822F93">
        <w:trPr>
          <w:trHeight w:val="300"/>
        </w:trPr>
        <w:tc>
          <w:tcPr>
            <w:tcW w:w="2268" w:type="dxa"/>
            <w:shd w:val="clear" w:color="auto" w:fill="auto"/>
            <w:vAlign w:val="bottom"/>
            <w:hideMark/>
          </w:tcPr>
          <w:p w14:paraId="5A1F551B" w14:textId="77777777" w:rsidR="00741CD1" w:rsidRPr="0041136F" w:rsidRDefault="00741CD1" w:rsidP="00822F93">
            <w:pPr>
              <w:pStyle w:val="TableHeading"/>
              <w:rPr>
                <w:rFonts w:ascii="Times New Roman" w:hAnsi="Times New Roman" w:cs="Times New Roman"/>
                <w:color w:val="auto"/>
                <w:lang w:eastAsia="en-AU"/>
              </w:rPr>
            </w:pPr>
            <w:r w:rsidRPr="79E4B837">
              <w:rPr>
                <w:lang w:eastAsia="en-AU"/>
              </w:rPr>
              <w:t>  </w:t>
            </w:r>
            <w:r w:rsidRPr="79E4B837">
              <w:rPr>
                <w:color w:val="auto"/>
                <w:lang w:eastAsia="en-AU"/>
              </w:rPr>
              <w:t> </w:t>
            </w:r>
          </w:p>
        </w:tc>
        <w:tc>
          <w:tcPr>
            <w:tcW w:w="1560" w:type="dxa"/>
            <w:shd w:val="clear" w:color="auto" w:fill="auto"/>
            <w:vAlign w:val="center"/>
            <w:hideMark/>
          </w:tcPr>
          <w:p w14:paraId="7F10C166" w14:textId="77777777" w:rsidR="00741CD1" w:rsidRPr="0041136F" w:rsidRDefault="00741CD1" w:rsidP="00822F93">
            <w:pPr>
              <w:pStyle w:val="TableHeading"/>
              <w:jc w:val="center"/>
              <w:rPr>
                <w:rFonts w:ascii="Times New Roman" w:hAnsi="Times New Roman" w:cs="Times New Roman"/>
                <w:color w:val="auto"/>
                <w:lang w:eastAsia="en-AU"/>
              </w:rPr>
            </w:pPr>
            <w:r w:rsidRPr="79E4B837">
              <w:rPr>
                <w:lang w:eastAsia="en-AU"/>
              </w:rPr>
              <w:t>Services</w:t>
            </w:r>
          </w:p>
        </w:tc>
        <w:tc>
          <w:tcPr>
            <w:tcW w:w="1842" w:type="dxa"/>
            <w:shd w:val="clear" w:color="auto" w:fill="auto"/>
            <w:vAlign w:val="center"/>
            <w:hideMark/>
          </w:tcPr>
          <w:p w14:paraId="40D86908" w14:textId="77777777" w:rsidR="00741CD1" w:rsidRPr="0041136F" w:rsidRDefault="00741CD1" w:rsidP="00822F93">
            <w:pPr>
              <w:pStyle w:val="TableHeading"/>
              <w:jc w:val="center"/>
              <w:rPr>
                <w:rFonts w:ascii="Times New Roman" w:hAnsi="Times New Roman" w:cs="Times New Roman"/>
                <w:color w:val="auto"/>
                <w:lang w:eastAsia="en-AU"/>
              </w:rPr>
            </w:pPr>
            <w:r w:rsidRPr="79E4B837">
              <w:rPr>
                <w:lang w:eastAsia="en-AU"/>
              </w:rPr>
              <w:t>Manufacturing</w:t>
            </w:r>
          </w:p>
        </w:tc>
        <w:tc>
          <w:tcPr>
            <w:tcW w:w="1531" w:type="dxa"/>
            <w:shd w:val="clear" w:color="auto" w:fill="auto"/>
            <w:vAlign w:val="center"/>
          </w:tcPr>
          <w:p w14:paraId="49421EDD" w14:textId="77777777" w:rsidR="00741CD1" w:rsidRPr="0041136F" w:rsidRDefault="00741CD1" w:rsidP="00822F93">
            <w:pPr>
              <w:pStyle w:val="TableHeading"/>
              <w:jc w:val="center"/>
              <w:rPr>
                <w:rFonts w:ascii="Times New Roman" w:hAnsi="Times New Roman" w:cs="Times New Roman"/>
                <w:color w:val="auto"/>
                <w:lang w:eastAsia="en-AU"/>
              </w:rPr>
            </w:pPr>
            <w:r w:rsidRPr="79E4B837">
              <w:rPr>
                <w:lang w:eastAsia="en-AU"/>
              </w:rPr>
              <w:t>Agriculture</w:t>
            </w:r>
          </w:p>
        </w:tc>
        <w:tc>
          <w:tcPr>
            <w:tcW w:w="1644" w:type="dxa"/>
            <w:shd w:val="clear" w:color="auto" w:fill="auto"/>
            <w:vAlign w:val="center"/>
          </w:tcPr>
          <w:p w14:paraId="08A6DEA7" w14:textId="77777777" w:rsidR="00741CD1" w:rsidRPr="0041136F" w:rsidRDefault="00741CD1" w:rsidP="00822F93">
            <w:pPr>
              <w:pStyle w:val="TableHeading"/>
              <w:jc w:val="center"/>
              <w:rPr>
                <w:lang w:eastAsia="en-AU"/>
              </w:rPr>
            </w:pPr>
            <w:r w:rsidRPr="79E4B837">
              <w:rPr>
                <w:lang w:eastAsia="en-AU"/>
              </w:rPr>
              <w:t>Mining</w:t>
            </w:r>
          </w:p>
        </w:tc>
        <w:tc>
          <w:tcPr>
            <w:tcW w:w="1645" w:type="dxa"/>
            <w:shd w:val="clear" w:color="auto" w:fill="auto"/>
            <w:vAlign w:val="center"/>
            <w:hideMark/>
          </w:tcPr>
          <w:p w14:paraId="04B86265" w14:textId="77777777" w:rsidR="00741CD1" w:rsidRPr="0041136F" w:rsidRDefault="00741CD1" w:rsidP="00822F93">
            <w:pPr>
              <w:pStyle w:val="TableHeading"/>
              <w:jc w:val="center"/>
              <w:rPr>
                <w:rFonts w:ascii="Times New Roman" w:hAnsi="Times New Roman" w:cs="Times New Roman"/>
                <w:color w:val="auto"/>
                <w:lang w:eastAsia="en-AU"/>
              </w:rPr>
            </w:pPr>
            <w:proofErr w:type="gramStart"/>
            <w:r w:rsidRPr="79E4B837">
              <w:rPr>
                <w:lang w:eastAsia="en-AU"/>
              </w:rPr>
              <w:t>E,G</w:t>
            </w:r>
            <w:proofErr w:type="gramEnd"/>
            <w:r w:rsidRPr="79E4B837">
              <w:rPr>
                <w:lang w:eastAsia="en-AU"/>
              </w:rPr>
              <w:t>,W &amp; WS*</w:t>
            </w:r>
          </w:p>
        </w:tc>
      </w:tr>
      <w:tr w:rsidR="00741CD1" w:rsidRPr="0041136F" w14:paraId="39DE61A1" w14:textId="77777777" w:rsidTr="00822F93">
        <w:trPr>
          <w:trHeight w:val="300"/>
        </w:trPr>
        <w:tc>
          <w:tcPr>
            <w:tcW w:w="2268" w:type="dxa"/>
            <w:shd w:val="clear" w:color="auto" w:fill="auto"/>
            <w:vAlign w:val="bottom"/>
            <w:hideMark/>
          </w:tcPr>
          <w:p w14:paraId="0A6EC3A6" w14:textId="77777777" w:rsidR="00741CD1" w:rsidRPr="0041136F" w:rsidRDefault="00741CD1" w:rsidP="00822F93">
            <w:pPr>
              <w:rPr>
                <w:rFonts w:ascii="Times New Roman" w:eastAsia="Times New Roman" w:hAnsi="Times New Roman" w:cs="Times New Roman"/>
                <w:color w:val="auto"/>
                <w:sz w:val="24"/>
                <w:szCs w:val="24"/>
                <w:lang w:eastAsia="en-AU"/>
              </w:rPr>
            </w:pPr>
            <w:r w:rsidRPr="79E4B837">
              <w:rPr>
                <w:rFonts w:ascii="Calibri" w:eastAsia="Times New Roman" w:hAnsi="Calibri" w:cs="Calibri"/>
                <w:lang w:eastAsia="en-AU"/>
              </w:rPr>
              <w:lastRenderedPageBreak/>
              <w:t>Number of Registrations</w:t>
            </w:r>
            <w:r w:rsidRPr="79E4B837">
              <w:rPr>
                <w:rFonts w:ascii="Calibri" w:eastAsia="Times New Roman" w:hAnsi="Calibri" w:cs="Calibri"/>
                <w:color w:val="auto"/>
                <w:lang w:eastAsia="en-AU"/>
              </w:rPr>
              <w:t> </w:t>
            </w:r>
          </w:p>
        </w:tc>
        <w:tc>
          <w:tcPr>
            <w:tcW w:w="1560" w:type="dxa"/>
            <w:shd w:val="clear" w:color="auto" w:fill="auto"/>
            <w:vAlign w:val="bottom"/>
            <w:hideMark/>
          </w:tcPr>
          <w:p w14:paraId="56546A68"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 xml:space="preserve">629 </w:t>
            </w:r>
          </w:p>
        </w:tc>
        <w:tc>
          <w:tcPr>
            <w:tcW w:w="1842" w:type="dxa"/>
            <w:shd w:val="clear" w:color="auto" w:fill="auto"/>
            <w:vAlign w:val="bottom"/>
            <w:hideMark/>
          </w:tcPr>
          <w:p w14:paraId="7F82ECF9"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36</w:t>
            </w:r>
            <w:r>
              <w:rPr>
                <w:rFonts w:eastAsia="Times New Roman"/>
                <w:color w:val="000000"/>
                <w:lang w:eastAsia="en-AU"/>
              </w:rPr>
              <w:t>6</w:t>
            </w:r>
            <w:r w:rsidRPr="001F0903">
              <w:rPr>
                <w:rFonts w:eastAsia="Times New Roman"/>
                <w:color w:val="000000"/>
                <w:lang w:eastAsia="en-AU"/>
              </w:rPr>
              <w:t xml:space="preserve"> </w:t>
            </w:r>
          </w:p>
        </w:tc>
        <w:tc>
          <w:tcPr>
            <w:tcW w:w="1531" w:type="dxa"/>
            <w:shd w:val="clear" w:color="auto" w:fill="auto"/>
            <w:vAlign w:val="bottom"/>
          </w:tcPr>
          <w:p w14:paraId="5CC9FA73"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 xml:space="preserve">78 </w:t>
            </w:r>
          </w:p>
        </w:tc>
        <w:tc>
          <w:tcPr>
            <w:tcW w:w="1644" w:type="dxa"/>
            <w:shd w:val="clear" w:color="auto" w:fill="auto"/>
            <w:vAlign w:val="bottom"/>
          </w:tcPr>
          <w:p w14:paraId="4B9A007E" w14:textId="77777777" w:rsidR="00741CD1" w:rsidRDefault="00741CD1" w:rsidP="00822F93">
            <w:pPr>
              <w:jc w:val="center"/>
              <w:rPr>
                <w:rFonts w:ascii="Calibri" w:eastAsia="Times New Roman" w:hAnsi="Calibri" w:cs="Calibri"/>
                <w:lang w:eastAsia="en-AU"/>
              </w:rPr>
            </w:pPr>
            <w:r w:rsidRPr="001F0903">
              <w:rPr>
                <w:rFonts w:eastAsia="Times New Roman"/>
                <w:color w:val="000000"/>
                <w:lang w:eastAsia="en-AU"/>
              </w:rPr>
              <w:t xml:space="preserve">213 </w:t>
            </w:r>
          </w:p>
        </w:tc>
        <w:tc>
          <w:tcPr>
            <w:tcW w:w="1645" w:type="dxa"/>
            <w:shd w:val="clear" w:color="auto" w:fill="auto"/>
            <w:vAlign w:val="bottom"/>
            <w:hideMark/>
          </w:tcPr>
          <w:p w14:paraId="6E11BF22"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 xml:space="preserve">61 </w:t>
            </w:r>
          </w:p>
        </w:tc>
      </w:tr>
      <w:tr w:rsidR="00741CD1" w:rsidRPr="0041136F" w14:paraId="51883AC2" w14:textId="77777777" w:rsidTr="00822F93">
        <w:trPr>
          <w:trHeight w:val="300"/>
        </w:trPr>
        <w:tc>
          <w:tcPr>
            <w:tcW w:w="2268" w:type="dxa"/>
            <w:tcBorders>
              <w:bottom w:val="single" w:sz="4" w:space="0" w:color="auto"/>
            </w:tcBorders>
            <w:shd w:val="clear" w:color="auto" w:fill="auto"/>
            <w:vAlign w:val="bottom"/>
            <w:hideMark/>
          </w:tcPr>
          <w:p w14:paraId="23543515" w14:textId="77777777" w:rsidR="00741CD1" w:rsidRPr="0041136F" w:rsidRDefault="00741CD1" w:rsidP="00822F93">
            <w:pPr>
              <w:rPr>
                <w:rFonts w:ascii="Times New Roman" w:eastAsia="Times New Roman" w:hAnsi="Times New Roman" w:cs="Times New Roman"/>
                <w:color w:val="auto"/>
                <w:sz w:val="24"/>
                <w:szCs w:val="24"/>
                <w:lang w:eastAsia="en-AU"/>
              </w:rPr>
            </w:pPr>
            <w:r>
              <w:rPr>
                <w:rFonts w:ascii="Calibri" w:eastAsia="Times New Roman" w:hAnsi="Calibri" w:cs="Calibri"/>
                <w:lang w:eastAsia="en-AU"/>
              </w:rPr>
              <w:t>R&amp;D E</w:t>
            </w:r>
            <w:r w:rsidRPr="79E4B837">
              <w:rPr>
                <w:rFonts w:ascii="Calibri" w:eastAsia="Times New Roman" w:hAnsi="Calibri" w:cs="Calibri"/>
                <w:lang w:eastAsia="en-AU"/>
              </w:rPr>
              <w:t>xpenditure (</w:t>
            </w:r>
            <w:r w:rsidRPr="00751D14">
              <w:rPr>
                <w:rFonts w:ascii="Calibri" w:eastAsia="Times New Roman" w:hAnsi="Calibri" w:cs="Calibri"/>
                <w:b/>
                <w:lang w:eastAsia="en-AU"/>
              </w:rPr>
              <w:t>million</w:t>
            </w:r>
            <w:r w:rsidRPr="79E4B837">
              <w:rPr>
                <w:rFonts w:ascii="Calibri" w:eastAsia="Times New Roman" w:hAnsi="Calibri" w:cs="Calibri"/>
                <w:lang w:eastAsia="en-AU"/>
              </w:rPr>
              <w:t>)</w:t>
            </w:r>
            <w:r w:rsidRPr="79E4B837">
              <w:rPr>
                <w:rFonts w:ascii="Calibri" w:eastAsia="Times New Roman" w:hAnsi="Calibri" w:cs="Calibri"/>
                <w:color w:val="auto"/>
                <w:lang w:eastAsia="en-AU"/>
              </w:rPr>
              <w:t> </w:t>
            </w:r>
          </w:p>
        </w:tc>
        <w:tc>
          <w:tcPr>
            <w:tcW w:w="1560" w:type="dxa"/>
            <w:tcBorders>
              <w:bottom w:val="single" w:sz="4" w:space="0" w:color="auto"/>
            </w:tcBorders>
            <w:shd w:val="clear" w:color="auto" w:fill="auto"/>
            <w:vAlign w:val="bottom"/>
            <w:hideMark/>
          </w:tcPr>
          <w:p w14:paraId="70852711"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$456</w:t>
            </w:r>
          </w:p>
        </w:tc>
        <w:tc>
          <w:tcPr>
            <w:tcW w:w="1842" w:type="dxa"/>
            <w:tcBorders>
              <w:bottom w:val="single" w:sz="4" w:space="0" w:color="auto"/>
            </w:tcBorders>
            <w:shd w:val="clear" w:color="auto" w:fill="auto"/>
            <w:vAlign w:val="bottom"/>
            <w:hideMark/>
          </w:tcPr>
          <w:p w14:paraId="3F38991C"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$27</w:t>
            </w:r>
            <w:r>
              <w:rPr>
                <w:rFonts w:eastAsia="Times New Roman"/>
                <w:color w:val="000000"/>
                <w:lang w:eastAsia="en-AU"/>
              </w:rPr>
              <w:t>2</w:t>
            </w:r>
          </w:p>
        </w:tc>
        <w:tc>
          <w:tcPr>
            <w:tcW w:w="1531" w:type="dxa"/>
            <w:tcBorders>
              <w:bottom w:val="single" w:sz="4" w:space="0" w:color="auto"/>
            </w:tcBorders>
            <w:shd w:val="clear" w:color="auto" w:fill="auto"/>
            <w:vAlign w:val="bottom"/>
          </w:tcPr>
          <w:p w14:paraId="79568A3B"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$69</w:t>
            </w:r>
          </w:p>
        </w:tc>
        <w:tc>
          <w:tcPr>
            <w:tcW w:w="1644" w:type="dxa"/>
            <w:tcBorders>
              <w:bottom w:val="single" w:sz="4" w:space="0" w:color="auto"/>
            </w:tcBorders>
            <w:shd w:val="clear" w:color="auto" w:fill="auto"/>
            <w:vAlign w:val="bottom"/>
          </w:tcPr>
          <w:p w14:paraId="0801E915" w14:textId="77777777" w:rsidR="00741CD1" w:rsidRPr="0041136F" w:rsidRDefault="00741CD1" w:rsidP="00822F93">
            <w:pPr>
              <w:jc w:val="center"/>
              <w:rPr>
                <w:rFonts w:ascii="Calibri" w:eastAsia="Times New Roman" w:hAnsi="Calibri" w:cs="Calibri"/>
                <w:lang w:eastAsia="en-AU"/>
              </w:rPr>
            </w:pPr>
            <w:r w:rsidRPr="001F0903">
              <w:rPr>
                <w:rFonts w:eastAsia="Times New Roman"/>
                <w:color w:val="000000"/>
                <w:lang w:eastAsia="en-AU"/>
              </w:rPr>
              <w:t>$676</w:t>
            </w:r>
          </w:p>
        </w:tc>
        <w:tc>
          <w:tcPr>
            <w:tcW w:w="1645" w:type="dxa"/>
            <w:tcBorders>
              <w:bottom w:val="single" w:sz="4" w:space="0" w:color="auto"/>
            </w:tcBorders>
            <w:shd w:val="clear" w:color="auto" w:fill="auto"/>
            <w:vAlign w:val="bottom"/>
            <w:hideMark/>
          </w:tcPr>
          <w:p w14:paraId="4C57709E"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$27</w:t>
            </w:r>
          </w:p>
        </w:tc>
      </w:tr>
    </w:tbl>
    <w:p w14:paraId="72430AC0" w14:textId="77777777" w:rsidR="00741CD1" w:rsidRDefault="00741CD1" w:rsidP="00741CD1">
      <w:pPr>
        <w:pStyle w:val="Heading5"/>
        <w:rPr>
          <w:i w:val="0"/>
          <w:lang w:eastAsia="en-AU"/>
        </w:rPr>
      </w:pPr>
      <w:r>
        <w:rPr>
          <w:i w:val="0"/>
          <w:lang w:eastAsia="en-AU"/>
        </w:rPr>
        <w:t xml:space="preserve">Table 9: </w:t>
      </w:r>
      <w:r w:rsidRPr="00E64C42">
        <w:rPr>
          <w:i w:val="0"/>
          <w:lang w:eastAsia="en-AU"/>
        </w:rPr>
        <w:t>Comparison by sector – SA &amp; NT**</w:t>
      </w:r>
    </w:p>
    <w:tbl>
      <w:tblPr>
        <w:tblW w:w="10490" w:type="dxa"/>
        <w:tblLayout w:type="fixed"/>
        <w:tblCellMar>
          <w:top w:w="15" w:type="dxa"/>
          <w:left w:w="15" w:type="dxa"/>
          <w:bottom w:w="15" w:type="dxa"/>
          <w:right w:w="15" w:type="dxa"/>
        </w:tblCellMar>
        <w:tblLook w:val="04A0" w:firstRow="1" w:lastRow="0" w:firstColumn="1" w:lastColumn="0" w:noHBand="0" w:noVBand="1"/>
      </w:tblPr>
      <w:tblGrid>
        <w:gridCol w:w="2268"/>
        <w:gridCol w:w="1560"/>
        <w:gridCol w:w="1842"/>
        <w:gridCol w:w="1531"/>
        <w:gridCol w:w="1644"/>
        <w:gridCol w:w="1645"/>
      </w:tblGrid>
      <w:tr w:rsidR="00741CD1" w:rsidRPr="0041136F" w14:paraId="21DA942E" w14:textId="77777777" w:rsidTr="00822F93">
        <w:trPr>
          <w:trHeight w:val="300"/>
        </w:trPr>
        <w:tc>
          <w:tcPr>
            <w:tcW w:w="2268" w:type="dxa"/>
            <w:shd w:val="clear" w:color="auto" w:fill="auto"/>
            <w:vAlign w:val="bottom"/>
            <w:hideMark/>
          </w:tcPr>
          <w:p w14:paraId="110065A2" w14:textId="77777777" w:rsidR="00741CD1" w:rsidRPr="0041136F" w:rsidRDefault="00741CD1" w:rsidP="00822F93">
            <w:pPr>
              <w:pStyle w:val="TableHeading"/>
              <w:rPr>
                <w:rFonts w:ascii="Times New Roman" w:hAnsi="Times New Roman" w:cs="Times New Roman"/>
                <w:color w:val="auto"/>
                <w:lang w:eastAsia="en-AU"/>
              </w:rPr>
            </w:pPr>
            <w:r w:rsidRPr="00E64C42">
              <w:rPr>
                <w:i/>
                <w:lang w:eastAsia="en-AU"/>
              </w:rPr>
              <w:t xml:space="preserve"> </w:t>
            </w:r>
            <w:r w:rsidRPr="79E4B837">
              <w:rPr>
                <w:lang w:eastAsia="en-AU"/>
              </w:rPr>
              <w:t>  </w:t>
            </w:r>
            <w:r w:rsidRPr="79E4B837">
              <w:rPr>
                <w:color w:val="auto"/>
                <w:lang w:eastAsia="en-AU"/>
              </w:rPr>
              <w:t> </w:t>
            </w:r>
          </w:p>
        </w:tc>
        <w:tc>
          <w:tcPr>
            <w:tcW w:w="1560" w:type="dxa"/>
            <w:shd w:val="clear" w:color="auto" w:fill="auto"/>
            <w:vAlign w:val="center"/>
            <w:hideMark/>
          </w:tcPr>
          <w:p w14:paraId="5747B152" w14:textId="77777777" w:rsidR="00741CD1" w:rsidRPr="0041136F" w:rsidRDefault="00741CD1" w:rsidP="00822F93">
            <w:pPr>
              <w:pStyle w:val="TableHeading"/>
              <w:jc w:val="center"/>
              <w:rPr>
                <w:rFonts w:ascii="Times New Roman" w:hAnsi="Times New Roman" w:cs="Times New Roman"/>
                <w:color w:val="auto"/>
                <w:lang w:eastAsia="en-AU"/>
              </w:rPr>
            </w:pPr>
            <w:r w:rsidRPr="79E4B837">
              <w:rPr>
                <w:lang w:eastAsia="en-AU"/>
              </w:rPr>
              <w:t>Services</w:t>
            </w:r>
          </w:p>
        </w:tc>
        <w:tc>
          <w:tcPr>
            <w:tcW w:w="1842" w:type="dxa"/>
            <w:shd w:val="clear" w:color="auto" w:fill="auto"/>
            <w:vAlign w:val="center"/>
            <w:hideMark/>
          </w:tcPr>
          <w:p w14:paraId="746A7CD7" w14:textId="77777777" w:rsidR="00741CD1" w:rsidRPr="0041136F" w:rsidRDefault="00741CD1" w:rsidP="00822F93">
            <w:pPr>
              <w:pStyle w:val="TableHeading"/>
              <w:jc w:val="center"/>
              <w:rPr>
                <w:rFonts w:ascii="Times New Roman" w:hAnsi="Times New Roman" w:cs="Times New Roman"/>
                <w:color w:val="auto"/>
                <w:lang w:eastAsia="en-AU"/>
              </w:rPr>
            </w:pPr>
            <w:r w:rsidRPr="79E4B837">
              <w:rPr>
                <w:lang w:eastAsia="en-AU"/>
              </w:rPr>
              <w:t>Manufacturing</w:t>
            </w:r>
          </w:p>
        </w:tc>
        <w:tc>
          <w:tcPr>
            <w:tcW w:w="1531" w:type="dxa"/>
            <w:shd w:val="clear" w:color="auto" w:fill="auto"/>
            <w:vAlign w:val="center"/>
          </w:tcPr>
          <w:p w14:paraId="34442D15" w14:textId="77777777" w:rsidR="00741CD1" w:rsidRPr="0041136F" w:rsidRDefault="00741CD1" w:rsidP="00822F93">
            <w:pPr>
              <w:pStyle w:val="TableHeading"/>
              <w:jc w:val="center"/>
              <w:rPr>
                <w:rFonts w:ascii="Times New Roman" w:hAnsi="Times New Roman" w:cs="Times New Roman"/>
                <w:color w:val="auto"/>
                <w:lang w:eastAsia="en-AU"/>
              </w:rPr>
            </w:pPr>
            <w:r w:rsidRPr="79E4B837">
              <w:rPr>
                <w:lang w:eastAsia="en-AU"/>
              </w:rPr>
              <w:t>Agriculture</w:t>
            </w:r>
          </w:p>
        </w:tc>
        <w:tc>
          <w:tcPr>
            <w:tcW w:w="1644" w:type="dxa"/>
            <w:shd w:val="clear" w:color="auto" w:fill="auto"/>
            <w:vAlign w:val="center"/>
          </w:tcPr>
          <w:p w14:paraId="3682448A" w14:textId="77777777" w:rsidR="00741CD1" w:rsidRPr="0041136F" w:rsidRDefault="00741CD1" w:rsidP="00822F93">
            <w:pPr>
              <w:pStyle w:val="TableHeading"/>
              <w:jc w:val="center"/>
              <w:rPr>
                <w:lang w:eastAsia="en-AU"/>
              </w:rPr>
            </w:pPr>
            <w:r w:rsidRPr="79E4B837">
              <w:rPr>
                <w:lang w:eastAsia="en-AU"/>
              </w:rPr>
              <w:t>Mining</w:t>
            </w:r>
          </w:p>
        </w:tc>
        <w:tc>
          <w:tcPr>
            <w:tcW w:w="1645" w:type="dxa"/>
            <w:shd w:val="clear" w:color="auto" w:fill="auto"/>
            <w:vAlign w:val="center"/>
            <w:hideMark/>
          </w:tcPr>
          <w:p w14:paraId="3E8C27AB" w14:textId="77777777" w:rsidR="00741CD1" w:rsidRPr="0041136F" w:rsidRDefault="00741CD1" w:rsidP="00822F93">
            <w:pPr>
              <w:pStyle w:val="TableHeading"/>
              <w:jc w:val="center"/>
              <w:rPr>
                <w:rFonts w:ascii="Times New Roman" w:hAnsi="Times New Roman" w:cs="Times New Roman"/>
                <w:color w:val="auto"/>
                <w:lang w:eastAsia="en-AU"/>
              </w:rPr>
            </w:pPr>
            <w:proofErr w:type="gramStart"/>
            <w:r w:rsidRPr="79E4B837">
              <w:rPr>
                <w:lang w:eastAsia="en-AU"/>
              </w:rPr>
              <w:t>E,G</w:t>
            </w:r>
            <w:proofErr w:type="gramEnd"/>
            <w:r w:rsidRPr="79E4B837">
              <w:rPr>
                <w:lang w:eastAsia="en-AU"/>
              </w:rPr>
              <w:t>,W &amp; WS*</w:t>
            </w:r>
          </w:p>
        </w:tc>
      </w:tr>
      <w:tr w:rsidR="00741CD1" w:rsidRPr="0041136F" w14:paraId="3B56BAB4" w14:textId="77777777" w:rsidTr="00822F93">
        <w:trPr>
          <w:trHeight w:val="300"/>
        </w:trPr>
        <w:tc>
          <w:tcPr>
            <w:tcW w:w="2268" w:type="dxa"/>
            <w:shd w:val="clear" w:color="auto" w:fill="auto"/>
            <w:vAlign w:val="bottom"/>
            <w:hideMark/>
          </w:tcPr>
          <w:p w14:paraId="59736002" w14:textId="77777777" w:rsidR="00741CD1" w:rsidRPr="0041136F" w:rsidRDefault="00741CD1" w:rsidP="00822F93">
            <w:pPr>
              <w:rPr>
                <w:rFonts w:ascii="Times New Roman" w:eastAsia="Times New Roman" w:hAnsi="Times New Roman" w:cs="Times New Roman"/>
                <w:color w:val="auto"/>
                <w:sz w:val="24"/>
                <w:szCs w:val="24"/>
                <w:lang w:eastAsia="en-AU"/>
              </w:rPr>
            </w:pPr>
            <w:r w:rsidRPr="79E4B837">
              <w:rPr>
                <w:rFonts w:ascii="Calibri" w:eastAsia="Times New Roman" w:hAnsi="Calibri" w:cs="Calibri"/>
                <w:lang w:eastAsia="en-AU"/>
              </w:rPr>
              <w:t>Number of Registrations</w:t>
            </w:r>
            <w:r w:rsidRPr="79E4B837">
              <w:rPr>
                <w:rFonts w:ascii="Calibri" w:eastAsia="Times New Roman" w:hAnsi="Calibri" w:cs="Calibri"/>
                <w:color w:val="auto"/>
                <w:lang w:eastAsia="en-AU"/>
              </w:rPr>
              <w:t> </w:t>
            </w:r>
          </w:p>
        </w:tc>
        <w:tc>
          <w:tcPr>
            <w:tcW w:w="1560" w:type="dxa"/>
            <w:shd w:val="clear" w:color="auto" w:fill="auto"/>
            <w:vAlign w:val="bottom"/>
            <w:hideMark/>
          </w:tcPr>
          <w:p w14:paraId="3A370884"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32</w:t>
            </w:r>
            <w:r>
              <w:rPr>
                <w:rFonts w:eastAsia="Times New Roman"/>
                <w:color w:val="000000"/>
                <w:lang w:eastAsia="en-AU"/>
              </w:rPr>
              <w:t>8</w:t>
            </w:r>
            <w:r w:rsidRPr="001F0903">
              <w:rPr>
                <w:rFonts w:eastAsia="Times New Roman"/>
                <w:color w:val="000000"/>
                <w:lang w:eastAsia="en-AU"/>
              </w:rPr>
              <w:t xml:space="preserve"> </w:t>
            </w:r>
          </w:p>
        </w:tc>
        <w:tc>
          <w:tcPr>
            <w:tcW w:w="1842" w:type="dxa"/>
            <w:shd w:val="clear" w:color="auto" w:fill="auto"/>
            <w:vAlign w:val="bottom"/>
            <w:hideMark/>
          </w:tcPr>
          <w:p w14:paraId="6C4E76FC"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 xml:space="preserve">226 </w:t>
            </w:r>
          </w:p>
        </w:tc>
        <w:tc>
          <w:tcPr>
            <w:tcW w:w="1531" w:type="dxa"/>
            <w:shd w:val="clear" w:color="auto" w:fill="auto"/>
            <w:vAlign w:val="bottom"/>
          </w:tcPr>
          <w:p w14:paraId="193782E2"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 xml:space="preserve">50 </w:t>
            </w:r>
          </w:p>
        </w:tc>
        <w:tc>
          <w:tcPr>
            <w:tcW w:w="1644" w:type="dxa"/>
            <w:shd w:val="clear" w:color="auto" w:fill="auto"/>
            <w:vAlign w:val="bottom"/>
          </w:tcPr>
          <w:p w14:paraId="01A4C9C8" w14:textId="77777777" w:rsidR="00741CD1" w:rsidRDefault="00741CD1" w:rsidP="00822F93">
            <w:pPr>
              <w:jc w:val="center"/>
              <w:rPr>
                <w:rFonts w:ascii="Calibri" w:eastAsia="Times New Roman" w:hAnsi="Calibri" w:cs="Calibri"/>
                <w:lang w:eastAsia="en-AU"/>
              </w:rPr>
            </w:pPr>
            <w:r w:rsidRPr="001F0903">
              <w:rPr>
                <w:rFonts w:eastAsia="Times New Roman"/>
                <w:color w:val="000000"/>
                <w:lang w:eastAsia="en-AU"/>
              </w:rPr>
              <w:t xml:space="preserve">21 </w:t>
            </w:r>
          </w:p>
        </w:tc>
        <w:tc>
          <w:tcPr>
            <w:tcW w:w="1645" w:type="dxa"/>
            <w:shd w:val="clear" w:color="auto" w:fill="auto"/>
            <w:vAlign w:val="bottom"/>
            <w:hideMark/>
          </w:tcPr>
          <w:p w14:paraId="29DDC18B"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 xml:space="preserve">18 </w:t>
            </w:r>
          </w:p>
        </w:tc>
      </w:tr>
      <w:tr w:rsidR="00741CD1" w:rsidRPr="0041136F" w14:paraId="02F486CB" w14:textId="77777777" w:rsidTr="00822F93">
        <w:trPr>
          <w:trHeight w:val="300"/>
        </w:trPr>
        <w:tc>
          <w:tcPr>
            <w:tcW w:w="2268" w:type="dxa"/>
            <w:tcBorders>
              <w:bottom w:val="single" w:sz="4" w:space="0" w:color="auto"/>
            </w:tcBorders>
            <w:shd w:val="clear" w:color="auto" w:fill="auto"/>
            <w:vAlign w:val="bottom"/>
            <w:hideMark/>
          </w:tcPr>
          <w:p w14:paraId="09455C21" w14:textId="77777777" w:rsidR="00741CD1" w:rsidRPr="0041136F" w:rsidRDefault="00741CD1" w:rsidP="00822F93">
            <w:pPr>
              <w:rPr>
                <w:rFonts w:ascii="Times New Roman" w:eastAsia="Times New Roman" w:hAnsi="Times New Roman" w:cs="Times New Roman"/>
                <w:color w:val="auto"/>
                <w:sz w:val="24"/>
                <w:szCs w:val="24"/>
                <w:lang w:eastAsia="en-AU"/>
              </w:rPr>
            </w:pPr>
            <w:r>
              <w:rPr>
                <w:rFonts w:ascii="Calibri" w:eastAsia="Times New Roman" w:hAnsi="Calibri" w:cs="Calibri"/>
                <w:lang w:eastAsia="en-AU"/>
              </w:rPr>
              <w:t>R&amp;D E</w:t>
            </w:r>
            <w:r w:rsidRPr="79E4B837">
              <w:rPr>
                <w:rFonts w:ascii="Calibri" w:eastAsia="Times New Roman" w:hAnsi="Calibri" w:cs="Calibri"/>
                <w:lang w:eastAsia="en-AU"/>
              </w:rPr>
              <w:t>xpenditure (</w:t>
            </w:r>
            <w:r w:rsidRPr="00751D14">
              <w:rPr>
                <w:rFonts w:ascii="Calibri" w:eastAsia="Times New Roman" w:hAnsi="Calibri" w:cs="Calibri"/>
                <w:b/>
                <w:lang w:eastAsia="en-AU"/>
              </w:rPr>
              <w:t>million</w:t>
            </w:r>
            <w:r w:rsidRPr="79E4B837">
              <w:rPr>
                <w:rFonts w:ascii="Calibri" w:eastAsia="Times New Roman" w:hAnsi="Calibri" w:cs="Calibri"/>
                <w:lang w:eastAsia="en-AU"/>
              </w:rPr>
              <w:t>)</w:t>
            </w:r>
            <w:r w:rsidRPr="79E4B837">
              <w:rPr>
                <w:rFonts w:ascii="Calibri" w:eastAsia="Times New Roman" w:hAnsi="Calibri" w:cs="Calibri"/>
                <w:color w:val="auto"/>
                <w:lang w:eastAsia="en-AU"/>
              </w:rPr>
              <w:t> </w:t>
            </w:r>
          </w:p>
        </w:tc>
        <w:tc>
          <w:tcPr>
            <w:tcW w:w="1560" w:type="dxa"/>
            <w:tcBorders>
              <w:bottom w:val="single" w:sz="4" w:space="0" w:color="auto"/>
            </w:tcBorders>
            <w:shd w:val="clear" w:color="auto" w:fill="auto"/>
            <w:vAlign w:val="bottom"/>
            <w:hideMark/>
          </w:tcPr>
          <w:p w14:paraId="44EC19C8"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$239</w:t>
            </w:r>
          </w:p>
        </w:tc>
        <w:tc>
          <w:tcPr>
            <w:tcW w:w="1842" w:type="dxa"/>
            <w:tcBorders>
              <w:bottom w:val="single" w:sz="4" w:space="0" w:color="auto"/>
            </w:tcBorders>
            <w:shd w:val="clear" w:color="auto" w:fill="auto"/>
            <w:vAlign w:val="bottom"/>
            <w:hideMark/>
          </w:tcPr>
          <w:p w14:paraId="30A5E58C"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$183</w:t>
            </w:r>
          </w:p>
        </w:tc>
        <w:tc>
          <w:tcPr>
            <w:tcW w:w="1531" w:type="dxa"/>
            <w:tcBorders>
              <w:bottom w:val="single" w:sz="4" w:space="0" w:color="auto"/>
            </w:tcBorders>
            <w:shd w:val="clear" w:color="auto" w:fill="auto"/>
            <w:vAlign w:val="bottom"/>
          </w:tcPr>
          <w:p w14:paraId="6764082B"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$58</w:t>
            </w:r>
          </w:p>
        </w:tc>
        <w:tc>
          <w:tcPr>
            <w:tcW w:w="1644" w:type="dxa"/>
            <w:tcBorders>
              <w:bottom w:val="single" w:sz="4" w:space="0" w:color="auto"/>
            </w:tcBorders>
            <w:shd w:val="clear" w:color="auto" w:fill="auto"/>
            <w:vAlign w:val="bottom"/>
          </w:tcPr>
          <w:p w14:paraId="039A516F" w14:textId="77777777" w:rsidR="00741CD1" w:rsidRPr="0041136F" w:rsidRDefault="00741CD1" w:rsidP="00822F93">
            <w:pPr>
              <w:jc w:val="center"/>
              <w:rPr>
                <w:rFonts w:ascii="Calibri" w:eastAsia="Times New Roman" w:hAnsi="Calibri" w:cs="Calibri"/>
                <w:lang w:eastAsia="en-AU"/>
              </w:rPr>
            </w:pPr>
            <w:r w:rsidRPr="001F0903">
              <w:rPr>
                <w:rFonts w:eastAsia="Times New Roman"/>
                <w:color w:val="000000"/>
                <w:lang w:eastAsia="en-AU"/>
              </w:rPr>
              <w:t>$56</w:t>
            </w:r>
          </w:p>
        </w:tc>
        <w:tc>
          <w:tcPr>
            <w:tcW w:w="1645" w:type="dxa"/>
            <w:tcBorders>
              <w:bottom w:val="single" w:sz="4" w:space="0" w:color="auto"/>
            </w:tcBorders>
            <w:shd w:val="clear" w:color="auto" w:fill="auto"/>
            <w:vAlign w:val="bottom"/>
            <w:hideMark/>
          </w:tcPr>
          <w:p w14:paraId="5232D3CF"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$6</w:t>
            </w:r>
          </w:p>
        </w:tc>
      </w:tr>
    </w:tbl>
    <w:p w14:paraId="79E3BE02" w14:textId="77777777" w:rsidR="00741CD1" w:rsidRPr="00E64C42" w:rsidRDefault="00741CD1" w:rsidP="00741CD1">
      <w:pPr>
        <w:pStyle w:val="Heading5"/>
        <w:rPr>
          <w:i w:val="0"/>
          <w:lang w:eastAsia="en-AU"/>
        </w:rPr>
      </w:pPr>
      <w:r>
        <w:rPr>
          <w:i w:val="0"/>
          <w:lang w:eastAsia="en-AU"/>
        </w:rPr>
        <w:t xml:space="preserve">Table 10: </w:t>
      </w:r>
      <w:r w:rsidRPr="00E64C42">
        <w:rPr>
          <w:i w:val="0"/>
          <w:lang w:eastAsia="en-AU"/>
        </w:rPr>
        <w:t>Comparison by sector – ACT  </w:t>
      </w:r>
    </w:p>
    <w:tbl>
      <w:tblPr>
        <w:tblW w:w="10348" w:type="dxa"/>
        <w:tblLayout w:type="fixed"/>
        <w:tblCellMar>
          <w:top w:w="15" w:type="dxa"/>
          <w:left w:w="15" w:type="dxa"/>
          <w:bottom w:w="15" w:type="dxa"/>
          <w:right w:w="15" w:type="dxa"/>
        </w:tblCellMar>
        <w:tblLook w:val="04A0" w:firstRow="1" w:lastRow="0" w:firstColumn="1" w:lastColumn="0" w:noHBand="0" w:noVBand="1"/>
      </w:tblPr>
      <w:tblGrid>
        <w:gridCol w:w="2268"/>
        <w:gridCol w:w="1560"/>
        <w:gridCol w:w="1842"/>
        <w:gridCol w:w="4678"/>
      </w:tblGrid>
      <w:tr w:rsidR="00741CD1" w:rsidRPr="0041136F" w14:paraId="0121FA7C" w14:textId="77777777" w:rsidTr="00822F93">
        <w:trPr>
          <w:trHeight w:val="300"/>
        </w:trPr>
        <w:tc>
          <w:tcPr>
            <w:tcW w:w="2268" w:type="dxa"/>
            <w:shd w:val="clear" w:color="auto" w:fill="auto"/>
            <w:vAlign w:val="bottom"/>
            <w:hideMark/>
          </w:tcPr>
          <w:p w14:paraId="30FD4FA3" w14:textId="77777777" w:rsidR="00741CD1" w:rsidRPr="0041136F" w:rsidRDefault="00741CD1" w:rsidP="00822F93">
            <w:pPr>
              <w:pStyle w:val="TableHeading"/>
              <w:rPr>
                <w:rFonts w:ascii="Times New Roman" w:hAnsi="Times New Roman" w:cs="Times New Roman"/>
                <w:color w:val="auto"/>
                <w:lang w:eastAsia="en-AU"/>
              </w:rPr>
            </w:pPr>
            <w:r w:rsidRPr="79E4B837">
              <w:rPr>
                <w:lang w:eastAsia="en-AU"/>
              </w:rPr>
              <w:t>  </w:t>
            </w:r>
            <w:r w:rsidRPr="79E4B837">
              <w:rPr>
                <w:color w:val="auto"/>
                <w:lang w:eastAsia="en-AU"/>
              </w:rPr>
              <w:t> </w:t>
            </w:r>
          </w:p>
        </w:tc>
        <w:tc>
          <w:tcPr>
            <w:tcW w:w="1560" w:type="dxa"/>
            <w:shd w:val="clear" w:color="auto" w:fill="auto"/>
            <w:vAlign w:val="center"/>
            <w:hideMark/>
          </w:tcPr>
          <w:p w14:paraId="00E4E2D5" w14:textId="77777777" w:rsidR="00741CD1" w:rsidRPr="0041136F" w:rsidRDefault="00741CD1" w:rsidP="00822F93">
            <w:pPr>
              <w:pStyle w:val="TableHeading"/>
              <w:jc w:val="center"/>
              <w:rPr>
                <w:rFonts w:ascii="Times New Roman" w:hAnsi="Times New Roman" w:cs="Times New Roman"/>
                <w:color w:val="auto"/>
                <w:lang w:eastAsia="en-AU"/>
              </w:rPr>
            </w:pPr>
            <w:r w:rsidRPr="79E4B837">
              <w:rPr>
                <w:lang w:eastAsia="en-AU"/>
              </w:rPr>
              <w:t>Services</w:t>
            </w:r>
          </w:p>
        </w:tc>
        <w:tc>
          <w:tcPr>
            <w:tcW w:w="1842" w:type="dxa"/>
            <w:shd w:val="clear" w:color="auto" w:fill="auto"/>
            <w:vAlign w:val="center"/>
            <w:hideMark/>
          </w:tcPr>
          <w:p w14:paraId="67DEA4D9" w14:textId="77777777" w:rsidR="00741CD1" w:rsidRPr="0041136F" w:rsidRDefault="00741CD1" w:rsidP="00822F93">
            <w:pPr>
              <w:pStyle w:val="TableHeading"/>
              <w:jc w:val="center"/>
              <w:rPr>
                <w:rFonts w:ascii="Times New Roman" w:hAnsi="Times New Roman" w:cs="Times New Roman"/>
                <w:color w:val="auto"/>
                <w:lang w:eastAsia="en-AU"/>
              </w:rPr>
            </w:pPr>
            <w:r w:rsidRPr="79E4B837">
              <w:rPr>
                <w:lang w:eastAsia="en-AU"/>
              </w:rPr>
              <w:t>Manufacturing</w:t>
            </w:r>
          </w:p>
        </w:tc>
        <w:tc>
          <w:tcPr>
            <w:tcW w:w="4678" w:type="dxa"/>
            <w:shd w:val="clear" w:color="auto" w:fill="auto"/>
            <w:vAlign w:val="center"/>
          </w:tcPr>
          <w:p w14:paraId="6366FDC3" w14:textId="77777777" w:rsidR="00741CD1" w:rsidRPr="0041136F" w:rsidRDefault="00741CD1" w:rsidP="00822F93">
            <w:pPr>
              <w:pStyle w:val="TableHeading"/>
              <w:jc w:val="center"/>
              <w:rPr>
                <w:rFonts w:ascii="Times New Roman" w:hAnsi="Times New Roman" w:cs="Times New Roman"/>
                <w:color w:val="auto"/>
                <w:lang w:eastAsia="en-AU"/>
              </w:rPr>
            </w:pPr>
            <w:r w:rsidRPr="79E4B837">
              <w:rPr>
                <w:lang w:eastAsia="en-AU"/>
              </w:rPr>
              <w:t>Agriculture</w:t>
            </w:r>
            <w:r>
              <w:rPr>
                <w:lang w:eastAsia="en-AU"/>
              </w:rPr>
              <w:t xml:space="preserve">, MINING** and </w:t>
            </w:r>
            <w:proofErr w:type="gramStart"/>
            <w:r>
              <w:rPr>
                <w:lang w:eastAsia="en-AU"/>
              </w:rPr>
              <w:t>e,g</w:t>
            </w:r>
            <w:proofErr w:type="gramEnd"/>
            <w:r>
              <w:rPr>
                <w:lang w:eastAsia="en-AU"/>
              </w:rPr>
              <w:t>,w &amp; ws*</w:t>
            </w:r>
          </w:p>
        </w:tc>
      </w:tr>
      <w:tr w:rsidR="00741CD1" w:rsidRPr="0041136F" w14:paraId="35BE0CD8" w14:textId="77777777" w:rsidTr="00822F93">
        <w:trPr>
          <w:trHeight w:val="300"/>
        </w:trPr>
        <w:tc>
          <w:tcPr>
            <w:tcW w:w="2268" w:type="dxa"/>
            <w:shd w:val="clear" w:color="auto" w:fill="auto"/>
            <w:vAlign w:val="bottom"/>
            <w:hideMark/>
          </w:tcPr>
          <w:p w14:paraId="0F9315F5" w14:textId="77777777" w:rsidR="00741CD1" w:rsidRPr="0041136F" w:rsidRDefault="00741CD1" w:rsidP="00822F93">
            <w:pPr>
              <w:rPr>
                <w:rFonts w:ascii="Times New Roman" w:eastAsia="Times New Roman" w:hAnsi="Times New Roman" w:cs="Times New Roman"/>
                <w:color w:val="auto"/>
                <w:sz w:val="24"/>
                <w:szCs w:val="24"/>
                <w:lang w:eastAsia="en-AU"/>
              </w:rPr>
            </w:pPr>
            <w:r w:rsidRPr="79E4B837">
              <w:rPr>
                <w:rFonts w:ascii="Calibri" w:eastAsia="Times New Roman" w:hAnsi="Calibri" w:cs="Calibri"/>
                <w:lang w:eastAsia="en-AU"/>
              </w:rPr>
              <w:t>Number of Registrations</w:t>
            </w:r>
            <w:r w:rsidRPr="79E4B837">
              <w:rPr>
                <w:rFonts w:ascii="Calibri" w:eastAsia="Times New Roman" w:hAnsi="Calibri" w:cs="Calibri"/>
                <w:color w:val="auto"/>
                <w:lang w:eastAsia="en-AU"/>
              </w:rPr>
              <w:t> </w:t>
            </w:r>
          </w:p>
        </w:tc>
        <w:tc>
          <w:tcPr>
            <w:tcW w:w="1560" w:type="dxa"/>
            <w:shd w:val="clear" w:color="auto" w:fill="auto"/>
            <w:vAlign w:val="bottom"/>
            <w:hideMark/>
          </w:tcPr>
          <w:p w14:paraId="18BE003F"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 xml:space="preserve">144 </w:t>
            </w:r>
          </w:p>
        </w:tc>
        <w:tc>
          <w:tcPr>
            <w:tcW w:w="1842" w:type="dxa"/>
            <w:shd w:val="clear" w:color="auto" w:fill="auto"/>
            <w:vAlign w:val="bottom"/>
            <w:hideMark/>
          </w:tcPr>
          <w:p w14:paraId="4C1C1E41"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 xml:space="preserve">20 </w:t>
            </w:r>
          </w:p>
        </w:tc>
        <w:tc>
          <w:tcPr>
            <w:tcW w:w="4678" w:type="dxa"/>
            <w:shd w:val="clear" w:color="auto" w:fill="auto"/>
            <w:vAlign w:val="bottom"/>
          </w:tcPr>
          <w:p w14:paraId="6DC18FFF"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 xml:space="preserve">10 </w:t>
            </w:r>
          </w:p>
        </w:tc>
      </w:tr>
      <w:tr w:rsidR="00741CD1" w:rsidRPr="0041136F" w14:paraId="59AD7041" w14:textId="77777777" w:rsidTr="00822F93">
        <w:trPr>
          <w:trHeight w:val="300"/>
        </w:trPr>
        <w:tc>
          <w:tcPr>
            <w:tcW w:w="2268" w:type="dxa"/>
            <w:tcBorders>
              <w:bottom w:val="single" w:sz="4" w:space="0" w:color="auto"/>
            </w:tcBorders>
            <w:shd w:val="clear" w:color="auto" w:fill="auto"/>
            <w:vAlign w:val="bottom"/>
            <w:hideMark/>
          </w:tcPr>
          <w:p w14:paraId="56FF80D3" w14:textId="77777777" w:rsidR="00741CD1" w:rsidRPr="0041136F" w:rsidRDefault="00741CD1" w:rsidP="00822F93">
            <w:pPr>
              <w:rPr>
                <w:rFonts w:ascii="Times New Roman" w:eastAsia="Times New Roman" w:hAnsi="Times New Roman" w:cs="Times New Roman"/>
                <w:color w:val="auto"/>
                <w:sz w:val="24"/>
                <w:szCs w:val="24"/>
                <w:lang w:eastAsia="en-AU"/>
              </w:rPr>
            </w:pPr>
            <w:r>
              <w:rPr>
                <w:rFonts w:ascii="Calibri" w:eastAsia="Times New Roman" w:hAnsi="Calibri" w:cs="Calibri"/>
                <w:lang w:eastAsia="en-AU"/>
              </w:rPr>
              <w:t>R&amp;D E</w:t>
            </w:r>
            <w:r w:rsidRPr="79E4B837">
              <w:rPr>
                <w:rFonts w:ascii="Calibri" w:eastAsia="Times New Roman" w:hAnsi="Calibri" w:cs="Calibri"/>
                <w:lang w:eastAsia="en-AU"/>
              </w:rPr>
              <w:t>xpenditure (</w:t>
            </w:r>
            <w:r w:rsidRPr="00751D14">
              <w:rPr>
                <w:rFonts w:ascii="Calibri" w:eastAsia="Times New Roman" w:hAnsi="Calibri" w:cs="Calibri"/>
                <w:b/>
                <w:lang w:eastAsia="en-AU"/>
              </w:rPr>
              <w:t>million</w:t>
            </w:r>
            <w:r w:rsidRPr="79E4B837">
              <w:rPr>
                <w:rFonts w:ascii="Calibri" w:eastAsia="Times New Roman" w:hAnsi="Calibri" w:cs="Calibri"/>
                <w:lang w:eastAsia="en-AU"/>
              </w:rPr>
              <w:t>)</w:t>
            </w:r>
            <w:r w:rsidRPr="79E4B837">
              <w:rPr>
                <w:rFonts w:ascii="Calibri" w:eastAsia="Times New Roman" w:hAnsi="Calibri" w:cs="Calibri"/>
                <w:color w:val="auto"/>
                <w:lang w:eastAsia="en-AU"/>
              </w:rPr>
              <w:t> </w:t>
            </w:r>
          </w:p>
        </w:tc>
        <w:tc>
          <w:tcPr>
            <w:tcW w:w="1560" w:type="dxa"/>
            <w:tcBorders>
              <w:bottom w:val="single" w:sz="4" w:space="0" w:color="auto"/>
            </w:tcBorders>
            <w:shd w:val="clear" w:color="auto" w:fill="auto"/>
            <w:vAlign w:val="bottom"/>
            <w:hideMark/>
          </w:tcPr>
          <w:p w14:paraId="22FE0DFF"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$103</w:t>
            </w:r>
          </w:p>
        </w:tc>
        <w:tc>
          <w:tcPr>
            <w:tcW w:w="1842" w:type="dxa"/>
            <w:tcBorders>
              <w:bottom w:val="single" w:sz="4" w:space="0" w:color="auto"/>
            </w:tcBorders>
            <w:shd w:val="clear" w:color="auto" w:fill="auto"/>
            <w:vAlign w:val="bottom"/>
            <w:hideMark/>
          </w:tcPr>
          <w:p w14:paraId="076BC655"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$39</w:t>
            </w:r>
          </w:p>
        </w:tc>
        <w:tc>
          <w:tcPr>
            <w:tcW w:w="4678" w:type="dxa"/>
            <w:tcBorders>
              <w:bottom w:val="single" w:sz="4" w:space="0" w:color="auto"/>
            </w:tcBorders>
            <w:shd w:val="clear" w:color="auto" w:fill="auto"/>
            <w:vAlign w:val="bottom"/>
          </w:tcPr>
          <w:p w14:paraId="4CA4646C"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$6</w:t>
            </w:r>
          </w:p>
        </w:tc>
      </w:tr>
    </w:tbl>
    <w:p w14:paraId="6DB85277" w14:textId="77777777" w:rsidR="00741CD1" w:rsidRPr="00E64C42" w:rsidRDefault="00741CD1" w:rsidP="00741CD1">
      <w:pPr>
        <w:pStyle w:val="Heading5"/>
        <w:rPr>
          <w:i w:val="0"/>
          <w:lang w:eastAsia="en-AU"/>
        </w:rPr>
      </w:pPr>
      <w:r>
        <w:rPr>
          <w:i w:val="0"/>
          <w:lang w:eastAsia="en-AU"/>
        </w:rPr>
        <w:t xml:space="preserve">Table 11: </w:t>
      </w:r>
      <w:r w:rsidRPr="00E64C42">
        <w:rPr>
          <w:i w:val="0"/>
          <w:lang w:eastAsia="en-AU"/>
        </w:rPr>
        <w:t xml:space="preserve">Comparison by sector – TAS </w:t>
      </w:r>
    </w:p>
    <w:tbl>
      <w:tblPr>
        <w:tblW w:w="10348" w:type="dxa"/>
        <w:tblLayout w:type="fixed"/>
        <w:tblCellMar>
          <w:top w:w="15" w:type="dxa"/>
          <w:left w:w="15" w:type="dxa"/>
          <w:bottom w:w="15" w:type="dxa"/>
          <w:right w:w="15" w:type="dxa"/>
        </w:tblCellMar>
        <w:tblLook w:val="04A0" w:firstRow="1" w:lastRow="0" w:firstColumn="1" w:lastColumn="0" w:noHBand="0" w:noVBand="1"/>
      </w:tblPr>
      <w:tblGrid>
        <w:gridCol w:w="2268"/>
        <w:gridCol w:w="1560"/>
        <w:gridCol w:w="1842"/>
        <w:gridCol w:w="1531"/>
        <w:gridCol w:w="3147"/>
      </w:tblGrid>
      <w:tr w:rsidR="00741CD1" w:rsidRPr="0041136F" w14:paraId="5FAF70A5" w14:textId="77777777" w:rsidTr="00822F93">
        <w:trPr>
          <w:trHeight w:val="300"/>
        </w:trPr>
        <w:tc>
          <w:tcPr>
            <w:tcW w:w="2268" w:type="dxa"/>
            <w:shd w:val="clear" w:color="auto" w:fill="auto"/>
            <w:vAlign w:val="bottom"/>
            <w:hideMark/>
          </w:tcPr>
          <w:p w14:paraId="53408BCD" w14:textId="77777777" w:rsidR="00741CD1" w:rsidRPr="0041136F" w:rsidRDefault="00741CD1" w:rsidP="00822F93">
            <w:pPr>
              <w:pStyle w:val="TableHeading"/>
              <w:rPr>
                <w:rFonts w:ascii="Times New Roman" w:hAnsi="Times New Roman" w:cs="Times New Roman"/>
                <w:color w:val="auto"/>
                <w:lang w:eastAsia="en-AU"/>
              </w:rPr>
            </w:pPr>
            <w:r w:rsidRPr="79E4B837">
              <w:rPr>
                <w:lang w:eastAsia="en-AU"/>
              </w:rPr>
              <w:t>  </w:t>
            </w:r>
            <w:r w:rsidRPr="79E4B837">
              <w:rPr>
                <w:color w:val="auto"/>
                <w:lang w:eastAsia="en-AU"/>
              </w:rPr>
              <w:t> </w:t>
            </w:r>
          </w:p>
        </w:tc>
        <w:tc>
          <w:tcPr>
            <w:tcW w:w="1560" w:type="dxa"/>
            <w:shd w:val="clear" w:color="auto" w:fill="auto"/>
            <w:vAlign w:val="center"/>
            <w:hideMark/>
          </w:tcPr>
          <w:p w14:paraId="6E4018F4" w14:textId="77777777" w:rsidR="00741CD1" w:rsidRPr="0041136F" w:rsidRDefault="00741CD1" w:rsidP="00822F93">
            <w:pPr>
              <w:pStyle w:val="TableHeading"/>
              <w:jc w:val="center"/>
              <w:rPr>
                <w:rFonts w:ascii="Times New Roman" w:hAnsi="Times New Roman" w:cs="Times New Roman"/>
                <w:color w:val="auto"/>
                <w:lang w:eastAsia="en-AU"/>
              </w:rPr>
            </w:pPr>
            <w:r w:rsidRPr="79E4B837">
              <w:rPr>
                <w:lang w:eastAsia="en-AU"/>
              </w:rPr>
              <w:t>Services</w:t>
            </w:r>
          </w:p>
        </w:tc>
        <w:tc>
          <w:tcPr>
            <w:tcW w:w="1842" w:type="dxa"/>
            <w:shd w:val="clear" w:color="auto" w:fill="auto"/>
            <w:vAlign w:val="center"/>
            <w:hideMark/>
          </w:tcPr>
          <w:p w14:paraId="2C0A2E8B" w14:textId="77777777" w:rsidR="00741CD1" w:rsidRPr="0041136F" w:rsidRDefault="00741CD1" w:rsidP="00822F93">
            <w:pPr>
              <w:pStyle w:val="TableHeading"/>
              <w:jc w:val="center"/>
              <w:rPr>
                <w:rFonts w:ascii="Times New Roman" w:hAnsi="Times New Roman" w:cs="Times New Roman"/>
                <w:color w:val="auto"/>
                <w:lang w:eastAsia="en-AU"/>
              </w:rPr>
            </w:pPr>
            <w:r w:rsidRPr="79E4B837">
              <w:rPr>
                <w:lang w:eastAsia="en-AU"/>
              </w:rPr>
              <w:t>Manufacturing</w:t>
            </w:r>
          </w:p>
        </w:tc>
        <w:tc>
          <w:tcPr>
            <w:tcW w:w="1531" w:type="dxa"/>
            <w:shd w:val="clear" w:color="auto" w:fill="auto"/>
            <w:vAlign w:val="center"/>
          </w:tcPr>
          <w:p w14:paraId="1DA86589" w14:textId="77777777" w:rsidR="00741CD1" w:rsidRPr="0041136F" w:rsidRDefault="00741CD1" w:rsidP="00822F93">
            <w:pPr>
              <w:pStyle w:val="TableHeading"/>
              <w:jc w:val="center"/>
              <w:rPr>
                <w:rFonts w:ascii="Times New Roman" w:hAnsi="Times New Roman" w:cs="Times New Roman"/>
                <w:color w:val="auto"/>
                <w:lang w:eastAsia="en-AU"/>
              </w:rPr>
            </w:pPr>
            <w:r w:rsidRPr="79E4B837">
              <w:rPr>
                <w:lang w:eastAsia="en-AU"/>
              </w:rPr>
              <w:t>Agriculture</w:t>
            </w:r>
          </w:p>
        </w:tc>
        <w:tc>
          <w:tcPr>
            <w:tcW w:w="3147" w:type="dxa"/>
            <w:shd w:val="clear" w:color="auto" w:fill="auto"/>
            <w:vAlign w:val="center"/>
          </w:tcPr>
          <w:p w14:paraId="604C06D8" w14:textId="77777777" w:rsidR="00741CD1" w:rsidRPr="0041136F" w:rsidRDefault="00741CD1" w:rsidP="00822F93">
            <w:pPr>
              <w:pStyle w:val="TableHeading"/>
              <w:jc w:val="center"/>
              <w:rPr>
                <w:lang w:eastAsia="en-AU"/>
              </w:rPr>
            </w:pPr>
            <w:r w:rsidRPr="79E4B837">
              <w:rPr>
                <w:lang w:eastAsia="en-AU"/>
              </w:rPr>
              <w:t>Mining</w:t>
            </w:r>
            <w:r>
              <w:rPr>
                <w:lang w:eastAsia="en-AU"/>
              </w:rPr>
              <w:t xml:space="preserve">** and </w:t>
            </w:r>
            <w:proofErr w:type="gramStart"/>
            <w:r>
              <w:rPr>
                <w:lang w:eastAsia="en-AU"/>
              </w:rPr>
              <w:t>e,g</w:t>
            </w:r>
            <w:proofErr w:type="gramEnd"/>
            <w:r>
              <w:rPr>
                <w:lang w:eastAsia="en-AU"/>
              </w:rPr>
              <w:t>,w &amp; ws*</w:t>
            </w:r>
          </w:p>
        </w:tc>
      </w:tr>
      <w:tr w:rsidR="00741CD1" w:rsidRPr="0041136F" w14:paraId="7B4ECB46" w14:textId="77777777" w:rsidTr="00822F93">
        <w:trPr>
          <w:trHeight w:val="300"/>
        </w:trPr>
        <w:tc>
          <w:tcPr>
            <w:tcW w:w="2268" w:type="dxa"/>
            <w:shd w:val="clear" w:color="auto" w:fill="auto"/>
            <w:vAlign w:val="bottom"/>
            <w:hideMark/>
          </w:tcPr>
          <w:p w14:paraId="68816486" w14:textId="77777777" w:rsidR="00741CD1" w:rsidRPr="0041136F" w:rsidRDefault="00741CD1" w:rsidP="00822F93">
            <w:pPr>
              <w:rPr>
                <w:rFonts w:ascii="Times New Roman" w:eastAsia="Times New Roman" w:hAnsi="Times New Roman" w:cs="Times New Roman"/>
                <w:color w:val="auto"/>
                <w:sz w:val="24"/>
                <w:szCs w:val="24"/>
                <w:lang w:eastAsia="en-AU"/>
              </w:rPr>
            </w:pPr>
            <w:r w:rsidRPr="79E4B837">
              <w:rPr>
                <w:rFonts w:ascii="Calibri" w:eastAsia="Times New Roman" w:hAnsi="Calibri" w:cs="Calibri"/>
                <w:lang w:eastAsia="en-AU"/>
              </w:rPr>
              <w:t>Number of Registrations</w:t>
            </w:r>
            <w:r w:rsidRPr="79E4B837">
              <w:rPr>
                <w:rFonts w:ascii="Calibri" w:eastAsia="Times New Roman" w:hAnsi="Calibri" w:cs="Calibri"/>
                <w:color w:val="auto"/>
                <w:lang w:eastAsia="en-AU"/>
              </w:rPr>
              <w:t> </w:t>
            </w:r>
          </w:p>
        </w:tc>
        <w:tc>
          <w:tcPr>
            <w:tcW w:w="1560" w:type="dxa"/>
            <w:shd w:val="clear" w:color="auto" w:fill="auto"/>
            <w:vAlign w:val="bottom"/>
            <w:hideMark/>
          </w:tcPr>
          <w:p w14:paraId="46FA48D0"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 xml:space="preserve">49 </w:t>
            </w:r>
          </w:p>
        </w:tc>
        <w:tc>
          <w:tcPr>
            <w:tcW w:w="1842" w:type="dxa"/>
            <w:shd w:val="clear" w:color="auto" w:fill="auto"/>
            <w:vAlign w:val="bottom"/>
            <w:hideMark/>
          </w:tcPr>
          <w:p w14:paraId="0AC82F21"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 xml:space="preserve">36 </w:t>
            </w:r>
          </w:p>
        </w:tc>
        <w:tc>
          <w:tcPr>
            <w:tcW w:w="1531" w:type="dxa"/>
            <w:shd w:val="clear" w:color="auto" w:fill="auto"/>
            <w:vAlign w:val="bottom"/>
          </w:tcPr>
          <w:p w14:paraId="3CC4B71E"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 xml:space="preserve">36 </w:t>
            </w:r>
          </w:p>
        </w:tc>
        <w:tc>
          <w:tcPr>
            <w:tcW w:w="3147" w:type="dxa"/>
            <w:shd w:val="clear" w:color="auto" w:fill="auto"/>
            <w:vAlign w:val="bottom"/>
          </w:tcPr>
          <w:p w14:paraId="61B1C13A" w14:textId="77777777" w:rsidR="00741CD1" w:rsidRDefault="00741CD1" w:rsidP="00822F93">
            <w:pPr>
              <w:jc w:val="center"/>
              <w:rPr>
                <w:rFonts w:ascii="Calibri" w:eastAsia="Times New Roman" w:hAnsi="Calibri" w:cs="Calibri"/>
                <w:lang w:eastAsia="en-AU"/>
              </w:rPr>
            </w:pPr>
            <w:r w:rsidRPr="001F0903">
              <w:rPr>
                <w:rFonts w:eastAsia="Times New Roman"/>
                <w:color w:val="000000"/>
                <w:lang w:eastAsia="en-AU"/>
              </w:rPr>
              <w:t xml:space="preserve">8 </w:t>
            </w:r>
          </w:p>
        </w:tc>
      </w:tr>
      <w:tr w:rsidR="00741CD1" w:rsidRPr="0041136F" w14:paraId="027FB5A5" w14:textId="77777777" w:rsidTr="00822F93">
        <w:trPr>
          <w:trHeight w:val="300"/>
        </w:trPr>
        <w:tc>
          <w:tcPr>
            <w:tcW w:w="2268" w:type="dxa"/>
            <w:tcBorders>
              <w:bottom w:val="single" w:sz="4" w:space="0" w:color="auto"/>
            </w:tcBorders>
            <w:shd w:val="clear" w:color="auto" w:fill="auto"/>
            <w:vAlign w:val="bottom"/>
            <w:hideMark/>
          </w:tcPr>
          <w:p w14:paraId="18D92A47" w14:textId="77777777" w:rsidR="00741CD1" w:rsidRPr="0041136F" w:rsidRDefault="00741CD1" w:rsidP="00822F93">
            <w:pPr>
              <w:rPr>
                <w:rFonts w:ascii="Times New Roman" w:eastAsia="Times New Roman" w:hAnsi="Times New Roman" w:cs="Times New Roman"/>
                <w:color w:val="auto"/>
                <w:sz w:val="24"/>
                <w:szCs w:val="24"/>
                <w:lang w:eastAsia="en-AU"/>
              </w:rPr>
            </w:pPr>
            <w:r>
              <w:rPr>
                <w:rFonts w:ascii="Calibri" w:eastAsia="Times New Roman" w:hAnsi="Calibri" w:cs="Calibri"/>
                <w:lang w:eastAsia="en-AU"/>
              </w:rPr>
              <w:t>R&amp;D E</w:t>
            </w:r>
            <w:r w:rsidRPr="79E4B837">
              <w:rPr>
                <w:rFonts w:ascii="Calibri" w:eastAsia="Times New Roman" w:hAnsi="Calibri" w:cs="Calibri"/>
                <w:lang w:eastAsia="en-AU"/>
              </w:rPr>
              <w:t>xpenditure (</w:t>
            </w:r>
            <w:r w:rsidRPr="00751D14">
              <w:rPr>
                <w:rFonts w:ascii="Calibri" w:eastAsia="Times New Roman" w:hAnsi="Calibri" w:cs="Calibri"/>
                <w:b/>
                <w:lang w:eastAsia="en-AU"/>
              </w:rPr>
              <w:t>million</w:t>
            </w:r>
            <w:r w:rsidRPr="79E4B837">
              <w:rPr>
                <w:rFonts w:ascii="Calibri" w:eastAsia="Times New Roman" w:hAnsi="Calibri" w:cs="Calibri"/>
                <w:lang w:eastAsia="en-AU"/>
              </w:rPr>
              <w:t>)</w:t>
            </w:r>
            <w:r w:rsidRPr="79E4B837">
              <w:rPr>
                <w:rFonts w:ascii="Calibri" w:eastAsia="Times New Roman" w:hAnsi="Calibri" w:cs="Calibri"/>
                <w:color w:val="auto"/>
                <w:lang w:eastAsia="en-AU"/>
              </w:rPr>
              <w:t> </w:t>
            </w:r>
          </w:p>
        </w:tc>
        <w:tc>
          <w:tcPr>
            <w:tcW w:w="1560" w:type="dxa"/>
            <w:tcBorders>
              <w:bottom w:val="single" w:sz="4" w:space="0" w:color="auto"/>
            </w:tcBorders>
            <w:shd w:val="clear" w:color="auto" w:fill="auto"/>
            <w:vAlign w:val="bottom"/>
            <w:hideMark/>
          </w:tcPr>
          <w:p w14:paraId="5E37A45B"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$26</w:t>
            </w:r>
          </w:p>
        </w:tc>
        <w:tc>
          <w:tcPr>
            <w:tcW w:w="1842" w:type="dxa"/>
            <w:tcBorders>
              <w:bottom w:val="single" w:sz="4" w:space="0" w:color="auto"/>
            </w:tcBorders>
            <w:shd w:val="clear" w:color="auto" w:fill="auto"/>
            <w:vAlign w:val="bottom"/>
            <w:hideMark/>
          </w:tcPr>
          <w:p w14:paraId="17A92A9A"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$26</w:t>
            </w:r>
          </w:p>
        </w:tc>
        <w:tc>
          <w:tcPr>
            <w:tcW w:w="1531" w:type="dxa"/>
            <w:tcBorders>
              <w:bottom w:val="single" w:sz="4" w:space="0" w:color="auto"/>
            </w:tcBorders>
            <w:shd w:val="clear" w:color="auto" w:fill="auto"/>
            <w:vAlign w:val="bottom"/>
          </w:tcPr>
          <w:p w14:paraId="4FD40CDE" w14:textId="77777777" w:rsidR="00741CD1" w:rsidRPr="0041136F" w:rsidRDefault="00741CD1" w:rsidP="00822F93">
            <w:pPr>
              <w:jc w:val="center"/>
              <w:rPr>
                <w:rFonts w:ascii="Times New Roman" w:eastAsia="Times New Roman" w:hAnsi="Times New Roman" w:cs="Times New Roman"/>
                <w:color w:val="auto"/>
                <w:sz w:val="24"/>
                <w:szCs w:val="24"/>
                <w:lang w:eastAsia="en-AU"/>
              </w:rPr>
            </w:pPr>
            <w:r w:rsidRPr="001F0903">
              <w:rPr>
                <w:rFonts w:eastAsia="Times New Roman"/>
                <w:color w:val="000000"/>
                <w:lang w:eastAsia="en-AU"/>
              </w:rPr>
              <w:t>$130</w:t>
            </w:r>
          </w:p>
        </w:tc>
        <w:tc>
          <w:tcPr>
            <w:tcW w:w="3147" w:type="dxa"/>
            <w:tcBorders>
              <w:bottom w:val="single" w:sz="4" w:space="0" w:color="auto"/>
            </w:tcBorders>
            <w:shd w:val="clear" w:color="auto" w:fill="auto"/>
            <w:vAlign w:val="bottom"/>
          </w:tcPr>
          <w:p w14:paraId="14FE7FF6" w14:textId="77777777" w:rsidR="00741CD1" w:rsidRPr="0041136F" w:rsidRDefault="00741CD1" w:rsidP="00822F93">
            <w:pPr>
              <w:jc w:val="center"/>
              <w:rPr>
                <w:rFonts w:ascii="Calibri" w:eastAsia="Times New Roman" w:hAnsi="Calibri" w:cs="Calibri"/>
                <w:lang w:eastAsia="en-AU"/>
              </w:rPr>
            </w:pPr>
            <w:r w:rsidRPr="001F0903">
              <w:rPr>
                <w:rFonts w:eastAsia="Times New Roman"/>
                <w:color w:val="000000"/>
                <w:lang w:eastAsia="en-AU"/>
              </w:rPr>
              <w:t>$5</w:t>
            </w:r>
          </w:p>
        </w:tc>
      </w:tr>
    </w:tbl>
    <w:p w14:paraId="78683409" w14:textId="77777777" w:rsidR="00741CD1" w:rsidRPr="00D678BE" w:rsidRDefault="00741CD1" w:rsidP="00741CD1">
      <w:pPr>
        <w:rPr>
          <w:rFonts w:ascii="Times New Roman" w:hAnsi="Times New Roman" w:cs="Times New Roman"/>
          <w:sz w:val="24"/>
          <w:szCs w:val="24"/>
          <w:lang w:val="en-US" w:eastAsia="en-AU"/>
        </w:rPr>
      </w:pPr>
      <w:r w:rsidRPr="009B1EC8">
        <w:rPr>
          <w:lang w:val="en-US" w:eastAsia="en-AU"/>
        </w:rPr>
        <w:t>* Electricity, Gas, Water &amp; Waste Services</w:t>
      </w:r>
      <w:r>
        <w:rPr>
          <w:lang w:val="en-US" w:eastAsia="en-AU"/>
        </w:rPr>
        <w:br/>
      </w:r>
      <w:r w:rsidRPr="79E4B837">
        <w:rPr>
          <w:rFonts w:ascii="Calibri" w:hAnsi="Calibri" w:cs="Calibri"/>
          <w:lang w:eastAsia="en-AU"/>
        </w:rPr>
        <w:t>** Combined for confidentiality reasons.</w:t>
      </w:r>
      <w:r w:rsidRPr="79E4B837">
        <w:rPr>
          <w:rFonts w:ascii="Calibri" w:hAnsi="Calibri" w:cs="Calibri"/>
          <w:lang w:val="en-US" w:eastAsia="en-AU"/>
        </w:rPr>
        <w:t> </w:t>
      </w:r>
    </w:p>
    <w:p w14:paraId="50A126D8" w14:textId="77777777" w:rsidR="00741CD1" w:rsidRDefault="00741CD1" w:rsidP="00741CD1">
      <w:pPr>
        <w:rPr>
          <w:rFonts w:asciiTheme="majorHAnsi" w:eastAsiaTheme="majorEastAsia" w:hAnsiTheme="majorHAnsi" w:cstheme="majorBidi"/>
          <w:iCs/>
          <w:color w:val="264F90" w:themeColor="accent2"/>
          <w:szCs w:val="24"/>
          <w:lang w:eastAsia="en-AU"/>
        </w:rPr>
      </w:pPr>
      <w:r>
        <w:rPr>
          <w:i/>
          <w:lang w:eastAsia="en-AU"/>
        </w:rPr>
        <w:br w:type="page"/>
      </w:r>
    </w:p>
    <w:p w14:paraId="515C1AB0" w14:textId="77777777" w:rsidR="00741CD1" w:rsidRPr="0084583E" w:rsidRDefault="00741CD1" w:rsidP="00741CD1">
      <w:pPr>
        <w:pStyle w:val="Heading5"/>
        <w:rPr>
          <w:i w:val="0"/>
          <w:lang w:eastAsia="en-AU"/>
        </w:rPr>
      </w:pPr>
      <w:r w:rsidRPr="00796BCD">
        <w:rPr>
          <w:i w:val="0"/>
          <w:lang w:eastAsia="en-AU"/>
        </w:rPr>
        <w:lastRenderedPageBreak/>
        <w:t>Comparison</w:t>
      </w:r>
      <w:r>
        <w:rPr>
          <w:i w:val="0"/>
          <w:lang w:eastAsia="en-AU"/>
        </w:rPr>
        <w:t xml:space="preserve"> of registrations</w:t>
      </w:r>
      <w:r w:rsidRPr="00796BCD">
        <w:rPr>
          <w:i w:val="0"/>
          <w:lang w:eastAsia="en-AU"/>
        </w:rPr>
        <w:t xml:space="preserve"> by Stat</w:t>
      </w:r>
      <w:r w:rsidRPr="002A6048">
        <w:rPr>
          <w:i w:val="0"/>
          <w:lang w:eastAsia="en-AU"/>
        </w:rPr>
        <w:t>e</w:t>
      </w:r>
      <w:r w:rsidRPr="00796BCD">
        <w:rPr>
          <w:i w:val="0"/>
          <w:lang w:eastAsia="en-AU"/>
        </w:rPr>
        <w:t xml:space="preserve">s and Territories </w:t>
      </w:r>
    </w:p>
    <w:p w14:paraId="5578B332" w14:textId="77777777" w:rsidR="00741CD1" w:rsidRDefault="00741CD1" w:rsidP="00741CD1">
      <w:pPr>
        <w:spacing w:before="0" w:after="0" w:line="240" w:lineRule="auto"/>
        <w:textAlignment w:val="baseline"/>
        <w:rPr>
          <w:rFonts w:ascii="Calibri" w:eastAsia="Times New Roman" w:hAnsi="Calibri" w:cs="Calibri"/>
          <w:color w:val="auto"/>
          <w:sz w:val="22"/>
          <w:szCs w:val="22"/>
          <w:lang w:val="en-US" w:eastAsia="en-AU"/>
        </w:rPr>
      </w:pPr>
      <w:r>
        <w:rPr>
          <w:rFonts w:ascii="Calibri" w:eastAsia="Times New Roman" w:hAnsi="Calibri" w:cs="Calibri"/>
          <w:noProof/>
          <w:color w:val="auto"/>
          <w:sz w:val="22"/>
          <w:szCs w:val="22"/>
          <w:lang w:eastAsia="en-AU"/>
        </w:rPr>
        <w:drawing>
          <wp:inline distT="0" distB="0" distL="0" distR="0" wp14:anchorId="02CCCDCB" wp14:editId="33DD6236">
            <wp:extent cx="4929808" cy="4765968"/>
            <wp:effectExtent l="0" t="0" r="4445" b="0"/>
            <wp:docPr id="23" name="Picture 23" descr="Map of Australia showing comparison of registrations by States and Terri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Map of Australia showing comparison of registrations by States and Territorie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29808" cy="4765968"/>
                    </a:xfrm>
                    <a:prstGeom prst="rect">
                      <a:avLst/>
                    </a:prstGeom>
                    <a:noFill/>
                  </pic:spPr>
                </pic:pic>
              </a:graphicData>
            </a:graphic>
          </wp:inline>
        </w:drawing>
      </w:r>
    </w:p>
    <w:p w14:paraId="127F562A" w14:textId="77777777" w:rsidR="00741CD1" w:rsidRDefault="00741CD1" w:rsidP="00741CD1">
      <w:pPr>
        <w:spacing w:before="0" w:after="0" w:line="240" w:lineRule="auto"/>
        <w:textAlignment w:val="baseline"/>
        <w:rPr>
          <w:rFonts w:ascii="Calibri" w:eastAsia="Times New Roman" w:hAnsi="Calibri" w:cs="Calibri"/>
          <w:color w:val="auto"/>
          <w:sz w:val="22"/>
          <w:szCs w:val="22"/>
          <w:lang w:val="en-US" w:eastAsia="en-AU"/>
        </w:rPr>
      </w:pPr>
    </w:p>
    <w:p w14:paraId="3A194A4C" w14:textId="77777777" w:rsidR="00741CD1" w:rsidRDefault="00741CD1" w:rsidP="00741CD1">
      <w:pPr>
        <w:spacing w:before="0" w:after="0" w:line="240" w:lineRule="auto"/>
        <w:textAlignment w:val="baseline"/>
        <w:rPr>
          <w:rFonts w:ascii="Calibri" w:eastAsia="Times New Roman" w:hAnsi="Calibri" w:cs="Calibri"/>
          <w:color w:val="auto"/>
          <w:sz w:val="22"/>
          <w:szCs w:val="22"/>
          <w:lang w:val="en-US" w:eastAsia="en-AU"/>
        </w:rPr>
      </w:pPr>
    </w:p>
    <w:p w14:paraId="7744128F" w14:textId="77777777" w:rsidR="00741CD1" w:rsidRDefault="00741CD1" w:rsidP="00741CD1">
      <w:pPr>
        <w:spacing w:before="0" w:after="0" w:line="240" w:lineRule="auto"/>
        <w:jc w:val="center"/>
        <w:textAlignment w:val="baseline"/>
        <w:rPr>
          <w:rFonts w:ascii="Calibri" w:eastAsia="Times New Roman" w:hAnsi="Calibri" w:cs="Calibri"/>
          <w:color w:val="auto"/>
          <w:sz w:val="22"/>
          <w:szCs w:val="22"/>
          <w:lang w:val="en-US" w:eastAsia="en-AU"/>
        </w:rPr>
      </w:pPr>
    </w:p>
    <w:p w14:paraId="0988E6B2" w14:textId="77777777" w:rsidR="00741CD1" w:rsidRDefault="00741CD1" w:rsidP="00741CD1">
      <w:pPr>
        <w:spacing w:before="0" w:after="0" w:line="240" w:lineRule="auto"/>
        <w:textAlignment w:val="baseline"/>
        <w:rPr>
          <w:rFonts w:ascii="Calibri" w:eastAsia="Times New Roman" w:hAnsi="Calibri" w:cs="Calibri"/>
          <w:color w:val="auto"/>
          <w:sz w:val="22"/>
          <w:szCs w:val="22"/>
          <w:lang w:val="en-US" w:eastAsia="en-AU"/>
        </w:rPr>
      </w:pPr>
    </w:p>
    <w:p w14:paraId="6407001F" w14:textId="77777777" w:rsidR="00741CD1" w:rsidRDefault="00741CD1" w:rsidP="00741CD1">
      <w:pPr>
        <w:spacing w:before="0" w:after="0" w:line="240" w:lineRule="auto"/>
        <w:jc w:val="center"/>
        <w:textAlignment w:val="baseline"/>
        <w:rPr>
          <w:rFonts w:ascii="Calibri" w:eastAsia="Times New Roman" w:hAnsi="Calibri" w:cs="Calibri"/>
          <w:color w:val="auto"/>
          <w:sz w:val="22"/>
          <w:szCs w:val="22"/>
          <w:lang w:val="en-US" w:eastAsia="en-AU"/>
        </w:rPr>
      </w:pPr>
    </w:p>
    <w:p w14:paraId="7B9C8DB5" w14:textId="77777777" w:rsidR="00741CD1" w:rsidRDefault="00741CD1" w:rsidP="00741CD1">
      <w:pPr>
        <w:spacing w:before="0" w:after="0" w:line="240" w:lineRule="auto"/>
        <w:textAlignment w:val="baseline"/>
        <w:rPr>
          <w:rFonts w:ascii="Calibri" w:eastAsia="Times New Roman" w:hAnsi="Calibri" w:cs="Calibri"/>
          <w:color w:val="auto"/>
          <w:sz w:val="22"/>
          <w:szCs w:val="22"/>
          <w:lang w:val="en-US" w:eastAsia="en-AU"/>
        </w:rPr>
      </w:pPr>
    </w:p>
    <w:p w14:paraId="3FF560E6" w14:textId="77777777" w:rsidR="00741CD1" w:rsidRDefault="00741CD1" w:rsidP="00741CD1">
      <w:pPr>
        <w:spacing w:before="0" w:after="0" w:line="240" w:lineRule="auto"/>
        <w:textAlignment w:val="baseline"/>
        <w:rPr>
          <w:rFonts w:ascii="Calibri" w:eastAsia="Times New Roman" w:hAnsi="Calibri" w:cs="Calibri"/>
          <w:color w:val="auto"/>
          <w:sz w:val="22"/>
          <w:szCs w:val="22"/>
          <w:lang w:val="en-US" w:eastAsia="en-AU"/>
        </w:rPr>
      </w:pPr>
    </w:p>
    <w:p w14:paraId="4393330B" w14:textId="77777777" w:rsidR="00741CD1" w:rsidRDefault="00741CD1" w:rsidP="00741CD1">
      <w:pPr>
        <w:spacing w:before="0" w:after="0" w:line="240" w:lineRule="auto"/>
        <w:textAlignment w:val="baseline"/>
        <w:rPr>
          <w:rFonts w:ascii="Calibri" w:eastAsia="Times New Roman" w:hAnsi="Calibri" w:cs="Calibri"/>
          <w:color w:val="auto"/>
          <w:sz w:val="22"/>
          <w:szCs w:val="22"/>
          <w:lang w:val="en-US" w:eastAsia="en-AU"/>
        </w:rPr>
      </w:pPr>
    </w:p>
    <w:p w14:paraId="0119FE86" w14:textId="77777777" w:rsidR="00741CD1" w:rsidRDefault="00741CD1" w:rsidP="00741CD1">
      <w:pPr>
        <w:spacing w:before="0" w:after="0" w:line="240" w:lineRule="auto"/>
        <w:textAlignment w:val="baseline"/>
        <w:rPr>
          <w:rFonts w:ascii="Calibri" w:eastAsia="Times New Roman" w:hAnsi="Calibri" w:cs="Calibri"/>
          <w:color w:val="auto"/>
          <w:sz w:val="22"/>
          <w:szCs w:val="22"/>
          <w:lang w:val="en-US" w:eastAsia="en-AU"/>
        </w:rPr>
      </w:pPr>
    </w:p>
    <w:p w14:paraId="5D45FFC5" w14:textId="77777777" w:rsidR="00741CD1" w:rsidRDefault="00741CD1" w:rsidP="00741CD1">
      <w:pPr>
        <w:spacing w:before="0" w:after="0" w:line="240" w:lineRule="auto"/>
        <w:textAlignment w:val="baseline"/>
        <w:rPr>
          <w:rFonts w:ascii="Calibri" w:eastAsia="Times New Roman" w:hAnsi="Calibri" w:cs="Calibri"/>
          <w:color w:val="auto"/>
          <w:sz w:val="22"/>
          <w:szCs w:val="22"/>
          <w:lang w:val="en-US" w:eastAsia="en-AU"/>
        </w:rPr>
      </w:pPr>
    </w:p>
    <w:p w14:paraId="6171FF08" w14:textId="424E98B5" w:rsidR="00741CD1" w:rsidRDefault="00741CD1" w:rsidP="00741CD1">
      <w:pPr>
        <w:spacing w:before="0" w:after="0" w:line="240" w:lineRule="auto"/>
        <w:textAlignment w:val="baseline"/>
        <w:rPr>
          <w:rFonts w:ascii="Calibri" w:eastAsia="Times New Roman" w:hAnsi="Calibri" w:cs="Calibri"/>
          <w:color w:val="auto"/>
          <w:sz w:val="22"/>
          <w:szCs w:val="22"/>
          <w:lang w:val="en-US" w:eastAsia="en-AU"/>
        </w:rPr>
      </w:pPr>
    </w:p>
    <w:p w14:paraId="6D51D2BC" w14:textId="77777777" w:rsidR="00741CD1" w:rsidRDefault="00741CD1" w:rsidP="00741CD1">
      <w:pPr>
        <w:spacing w:before="0" w:after="0" w:line="240" w:lineRule="auto"/>
        <w:textAlignment w:val="baseline"/>
        <w:rPr>
          <w:rFonts w:ascii="Calibri" w:eastAsia="Times New Roman" w:hAnsi="Calibri" w:cs="Calibri"/>
          <w:color w:val="auto"/>
          <w:sz w:val="22"/>
          <w:szCs w:val="22"/>
          <w:lang w:val="en-US" w:eastAsia="en-AU"/>
        </w:rPr>
      </w:pPr>
    </w:p>
    <w:p w14:paraId="770E67A9" w14:textId="77777777" w:rsidR="00741CD1" w:rsidRPr="009E0BBF" w:rsidRDefault="00741CD1" w:rsidP="00741CD1">
      <w:pPr>
        <w:spacing w:before="0" w:after="0" w:line="240" w:lineRule="auto"/>
        <w:textAlignment w:val="baseline"/>
        <w:rPr>
          <w:rFonts w:ascii="Calibri" w:eastAsia="Times New Roman" w:hAnsi="Calibri" w:cs="Calibri"/>
          <w:color w:val="auto"/>
          <w:sz w:val="22"/>
          <w:szCs w:val="22"/>
          <w:lang w:val="en-US" w:eastAsia="en-AU"/>
        </w:rPr>
      </w:pPr>
    </w:p>
    <w:p w14:paraId="4C0EDC8D" w14:textId="360A69E2" w:rsidR="00D166DE" w:rsidRPr="00D166DE" w:rsidRDefault="00D166DE" w:rsidP="00D166DE"/>
    <w:sectPr w:rsidR="00D166DE" w:rsidRPr="00D166DE" w:rsidSect="00D947CD">
      <w:footerReference w:type="default" r:id="rId23"/>
      <w:headerReference w:type="first" r:id="rId24"/>
      <w:footerReference w:type="first" r:id="rId25"/>
      <w:pgSz w:w="11906" w:h="16838" w:code="9"/>
      <w:pgMar w:top="720" w:right="720" w:bottom="720" w:left="720" w:header="73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D014" w14:textId="77777777" w:rsidR="00D236D7" w:rsidRDefault="00D236D7" w:rsidP="00D560DC">
      <w:pPr>
        <w:spacing w:before="0" w:after="0" w:line="240" w:lineRule="auto"/>
      </w:pPr>
      <w:r>
        <w:separator/>
      </w:r>
    </w:p>
  </w:endnote>
  <w:endnote w:type="continuationSeparator" w:id="0">
    <w:p w14:paraId="0BDA7688" w14:textId="77777777" w:rsidR="00D236D7" w:rsidRDefault="00D236D7" w:rsidP="00D560DC">
      <w:pPr>
        <w:spacing w:before="0" w:after="0" w:line="240" w:lineRule="auto"/>
      </w:pPr>
      <w:r>
        <w:continuationSeparator/>
      </w:r>
    </w:p>
  </w:endnote>
  <w:endnote w:type="continuationNotice" w:id="1">
    <w:p w14:paraId="7EBBD1B2" w14:textId="77777777" w:rsidR="00D236D7" w:rsidRDefault="00D236D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C533B" w14:textId="77777777" w:rsidR="00D236D7" w:rsidRDefault="00D236D7" w:rsidP="0039793D">
    <w:pPr>
      <w:pStyle w:val="Footer"/>
    </w:pPr>
    <w:r>
      <w:rPr>
        <w:noProof/>
        <w:lang w:eastAsia="en-AU"/>
      </w:rPr>
      <mc:AlternateContent>
        <mc:Choice Requires="wps">
          <w:drawing>
            <wp:anchor distT="0" distB="0" distL="114300" distR="114300" simplePos="0" relativeHeight="251656192" behindDoc="0" locked="0" layoutInCell="1" allowOverlap="1" wp14:anchorId="5700352D" wp14:editId="3E04EFE4">
              <wp:simplePos x="0" y="0"/>
              <wp:positionH relativeFrom="page">
                <wp:align>right</wp:align>
              </wp:positionH>
              <wp:positionV relativeFrom="page">
                <wp:align>bottom</wp:align>
              </wp:positionV>
              <wp:extent cx="1080000" cy="468000"/>
              <wp:effectExtent l="0" t="0" r="0" b="0"/>
              <wp:wrapNone/>
              <wp:docPr id="21" name="Text Box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7A1500D2" w14:textId="77777777" w:rsidR="00D236D7" w:rsidRDefault="00D236D7" w:rsidP="0039793D">
                          <w:pPr>
                            <w:jc w:val="right"/>
                          </w:pPr>
                          <w:r>
                            <w:fldChar w:fldCharType="begin"/>
                          </w:r>
                          <w:r>
                            <w:instrText xml:space="preserve"> PAGE   \* MERGEFORMAT </w:instrText>
                          </w:r>
                          <w:r>
                            <w:fldChar w:fldCharType="separate"/>
                          </w:r>
                          <w:r w:rsidR="004705EE">
                            <w:rPr>
                              <w:noProof/>
                            </w:rPr>
                            <w:t>14</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00352D" id="_x0000_t202" coordsize="21600,21600" o:spt="202" path="m,l,21600r21600,l21600,xe">
              <v:stroke joinstyle="miter"/>
              <v:path gradientshapeok="t" o:connecttype="rect"/>
            </v:shapetype>
            <v:shape id="Text Box 21" o:spid="_x0000_s1027" type="#_x0000_t202" alt="&quot;&quot;" style="position:absolute;margin-left:33.85pt;margin-top:0;width:85.05pt;height:36.8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" filled="f" stroked="f" strokeweight=".5pt">
              <v:textbox inset="0,0,18mm,5mm">
                <w:txbxContent>
                  <w:p w14:paraId="7A1500D2" w14:textId="77777777" w:rsidR="00D236D7" w:rsidRDefault="00D236D7" w:rsidP="0039793D">
                    <w:pPr>
                      <w:jc w:val="right"/>
                    </w:pPr>
                    <w:r>
                      <w:fldChar w:fldCharType="begin"/>
                    </w:r>
                    <w:r>
                      <w:instrText xml:space="preserve"> PAGE   \* MERGEFORMAT </w:instrText>
                    </w:r>
                    <w:r>
                      <w:fldChar w:fldCharType="separate"/>
                    </w:r>
                    <w:r w:rsidR="004705EE">
                      <w:rPr>
                        <w:noProof/>
                      </w:rPr>
                      <w:t>14</w:t>
                    </w:r>
                    <w:r>
                      <w:rPr>
                        <w:noProof/>
                      </w:rPr>
                      <w:fldChar w:fldCharType="end"/>
                    </w:r>
                  </w:p>
                </w:txbxContent>
              </v:textbox>
              <w10:wrap anchorx="page" anchory="page"/>
            </v:shape>
          </w:pict>
        </mc:Fallback>
      </mc:AlternateContent>
    </w:r>
    <w:r>
      <w:rPr>
        <w:noProof/>
        <w:lang w:eastAsia="en-AU"/>
      </w:rPr>
      <w:drawing>
        <wp:inline distT="0" distB="0" distL="0" distR="0" wp14:anchorId="5E73D0EC" wp14:editId="1C22D86F">
          <wp:extent cx="6912000" cy="110015"/>
          <wp:effectExtent l="0" t="0" r="0" b="444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Gs-12.jpg"/>
                  <pic:cNvPicPr/>
                </pic:nvPicPr>
                <pic:blipFill>
                  <a:blip r:embed="rId1">
                    <a:extLst>
                      <a:ext uri="{28A0092B-C50C-407E-A947-70E740481C1C}">
                        <a14:useLocalDpi xmlns:a14="http://schemas.microsoft.com/office/drawing/2010/main" val="0"/>
                      </a:ext>
                    </a:extLst>
                  </a:blip>
                  <a:stretch>
                    <a:fillRect/>
                  </a:stretch>
                </pic:blipFill>
                <pic:spPr>
                  <a:xfrm>
                    <a:off x="0" y="0"/>
                    <a:ext cx="6912000" cy="110015"/>
                  </a:xfrm>
                  <a:prstGeom prst="rect">
                    <a:avLst/>
                  </a:prstGeom>
                </pic:spPr>
              </pic:pic>
            </a:graphicData>
          </a:graphic>
        </wp:inline>
      </w:drawing>
    </w:r>
  </w:p>
  <w:p w14:paraId="4E71EF0D" w14:textId="77CCB44B" w:rsidR="00D236D7" w:rsidRPr="0039793D" w:rsidRDefault="00794715" w:rsidP="0039793D">
    <w:pPr>
      <w:pStyle w:val="Footer"/>
      <w:rPr>
        <w:color w:val="264F90" w:themeColor="accent2"/>
      </w:rPr>
    </w:pPr>
    <w:sdt>
      <w:sdtPr>
        <w:rPr>
          <w:color w:val="264F90" w:themeColor="accent2"/>
        </w:rPr>
        <w:alias w:val="Title"/>
        <w:tag w:val=""/>
        <w:id w:val="-388340925"/>
        <w:showingPlcHdr/>
        <w:dataBinding w:prefixMappings="xmlns:ns0='http://purl.org/dc/elements/1.1/' xmlns:ns1='http://schemas.openxmlformats.org/package/2006/metadata/core-properties' " w:xpath="/ns1:coreProperties[1]/ns0:title[1]" w:storeItemID="{6C3C8BC8-F283-45AE-878A-BAB7291924A1}"/>
        <w:text/>
      </w:sdtPr>
      <w:sdtEndPr/>
      <w:sdtContent>
        <w:r w:rsidR="00741CD1">
          <w:rPr>
            <w:color w:val="264F90" w:themeColor="accent2"/>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A9FED" w14:textId="77777777" w:rsidR="00D236D7" w:rsidRDefault="00D236D7" w:rsidP="00F627E6">
    <w:pPr>
      <w:pStyle w:val="Footer"/>
    </w:pPr>
    <w:r>
      <w:rPr>
        <w:noProof/>
        <w:lang w:eastAsia="en-AU"/>
      </w:rPr>
      <mc:AlternateContent>
        <mc:Choice Requires="wps">
          <w:drawing>
            <wp:anchor distT="0" distB="0" distL="114300" distR="114300" simplePos="0" relativeHeight="251657216" behindDoc="0" locked="0" layoutInCell="1" allowOverlap="1" wp14:anchorId="4F430879" wp14:editId="59A8D6FB">
              <wp:simplePos x="0" y="0"/>
              <wp:positionH relativeFrom="page">
                <wp:align>right</wp:align>
              </wp:positionH>
              <wp:positionV relativeFrom="page">
                <wp:align>bottom</wp:align>
              </wp:positionV>
              <wp:extent cx="1080000" cy="4680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2CBEF99C" w14:textId="77777777" w:rsidR="00D236D7" w:rsidRDefault="00D236D7" w:rsidP="00F627E6">
                          <w:pPr>
                            <w:jc w:val="right"/>
                          </w:pPr>
                          <w:r>
                            <w:fldChar w:fldCharType="begin"/>
                          </w:r>
                          <w:r>
                            <w:instrText xml:space="preserve"> PAGE   \* MERGEFORMAT </w:instrText>
                          </w:r>
                          <w:r>
                            <w:fldChar w:fldCharType="separate"/>
                          </w:r>
                          <w:r w:rsidR="004705EE">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30879" id="_x0000_t202" coordsize="21600,21600" o:spt="202" path="m,l,21600r21600,l21600,xe">
              <v:stroke joinstyle="miter"/>
              <v:path gradientshapeok="t" o:connecttype="rect"/>
            </v:shapetype>
            <v:shape id="Text Box 4" o:spid="_x0000_s1028" type="#_x0000_t202" alt="&quot;&quot;" style="position:absolute;margin-left:33.85pt;margin-top:0;width:85.05pt;height:36.85pt;z-index:2516572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j9iFAIAAC0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" filled="f" stroked="f" strokeweight=".5pt">
              <v:textbox inset="0,0,18mm,5mm">
                <w:txbxContent>
                  <w:p w14:paraId="2CBEF99C" w14:textId="77777777" w:rsidR="00D236D7" w:rsidRDefault="00D236D7" w:rsidP="00F627E6">
                    <w:pPr>
                      <w:jc w:val="right"/>
                    </w:pPr>
                    <w:r>
                      <w:fldChar w:fldCharType="begin"/>
                    </w:r>
                    <w:r>
                      <w:instrText xml:space="preserve"> PAGE   \* MERGEFORMAT </w:instrText>
                    </w:r>
                    <w:r>
                      <w:fldChar w:fldCharType="separate"/>
                    </w:r>
                    <w:r w:rsidR="004705EE">
                      <w:rPr>
                        <w:noProof/>
                      </w:rPr>
                      <w:t>1</w:t>
                    </w:r>
                    <w:r>
                      <w:rPr>
                        <w:noProof/>
                      </w:rPr>
                      <w:fldChar w:fldCharType="end"/>
                    </w:r>
                  </w:p>
                </w:txbxContent>
              </v:textbox>
              <w10:wrap anchorx="page" anchory="page"/>
            </v:shape>
          </w:pict>
        </mc:Fallback>
      </mc:AlternateContent>
    </w:r>
    <w:r>
      <w:rPr>
        <w:noProof/>
        <w:lang w:eastAsia="en-AU"/>
      </w:rPr>
      <w:drawing>
        <wp:inline distT="0" distB="0" distL="0" distR="0" wp14:anchorId="3D4C50E5" wp14:editId="33C848BE">
          <wp:extent cx="6912000" cy="110015"/>
          <wp:effectExtent l="0" t="0" r="0" b="444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Gs-12.jpg"/>
                  <pic:cNvPicPr/>
                </pic:nvPicPr>
                <pic:blipFill>
                  <a:blip r:embed="rId1">
                    <a:extLst>
                      <a:ext uri="{28A0092B-C50C-407E-A947-70E740481C1C}">
                        <a14:useLocalDpi xmlns:a14="http://schemas.microsoft.com/office/drawing/2010/main" val="0"/>
                      </a:ext>
                    </a:extLst>
                  </a:blip>
                  <a:stretch>
                    <a:fillRect/>
                  </a:stretch>
                </pic:blipFill>
                <pic:spPr>
                  <a:xfrm>
                    <a:off x="0" y="0"/>
                    <a:ext cx="6912000" cy="110015"/>
                  </a:xfrm>
                  <a:prstGeom prst="rect">
                    <a:avLst/>
                  </a:prstGeom>
                </pic:spPr>
              </pic:pic>
            </a:graphicData>
          </a:graphic>
        </wp:inline>
      </w:drawing>
    </w:r>
  </w:p>
  <w:p w14:paraId="3C562129" w14:textId="0907A58F" w:rsidR="00D236D7" w:rsidRPr="0039793D" w:rsidRDefault="00794715" w:rsidP="00F627E6">
    <w:pPr>
      <w:pStyle w:val="Footer"/>
      <w:rPr>
        <w:color w:val="264F90" w:themeColor="accent2"/>
      </w:rPr>
    </w:pPr>
    <w:sdt>
      <w:sdtPr>
        <w:rPr>
          <w:color w:val="264F90" w:themeColor="accent2"/>
        </w:rPr>
        <w:alias w:val="Title"/>
        <w:tag w:val=""/>
        <w:id w:val="-1492333149"/>
        <w:showingPlcHdr/>
        <w:dataBinding w:prefixMappings="xmlns:ns0='http://purl.org/dc/elements/1.1/' xmlns:ns1='http://schemas.openxmlformats.org/package/2006/metadata/core-properties' " w:xpath="/ns1:coreProperties[1]/ns0:title[1]" w:storeItemID="{6C3C8BC8-F283-45AE-878A-BAB7291924A1}"/>
        <w:text/>
      </w:sdtPr>
      <w:sdtEndPr/>
      <w:sdtContent>
        <w:r w:rsidR="00741CD1">
          <w:rPr>
            <w:color w:val="264F90" w:themeColor="accent2"/>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6FE1E" w14:textId="77777777" w:rsidR="00D236D7" w:rsidRDefault="00D236D7" w:rsidP="00D560DC">
      <w:pPr>
        <w:spacing w:before="0" w:after="0" w:line="240" w:lineRule="auto"/>
      </w:pPr>
      <w:r>
        <w:separator/>
      </w:r>
    </w:p>
  </w:footnote>
  <w:footnote w:type="continuationSeparator" w:id="0">
    <w:p w14:paraId="40E2A653" w14:textId="77777777" w:rsidR="00D236D7" w:rsidRDefault="00D236D7" w:rsidP="00D560DC">
      <w:pPr>
        <w:spacing w:before="0" w:after="0" w:line="240" w:lineRule="auto"/>
      </w:pPr>
      <w:r>
        <w:continuationSeparator/>
      </w:r>
    </w:p>
  </w:footnote>
  <w:footnote w:type="continuationNotice" w:id="1">
    <w:p w14:paraId="52C3B394" w14:textId="77777777" w:rsidR="00D236D7" w:rsidRDefault="00D236D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5C8A" w14:textId="655E0020" w:rsidR="00D236D7" w:rsidRDefault="00D236D7" w:rsidP="00E55C27">
    <w:pPr>
      <w:pStyle w:val="Header"/>
      <w:rPr>
        <w:noProof/>
        <w:lang w:eastAsia="en-AU"/>
      </w:rPr>
    </w:pPr>
    <w:r>
      <w:rPr>
        <w:noProof/>
        <w:lang w:eastAsia="en-AU"/>
      </w:rPr>
      <w:drawing>
        <wp:anchor distT="0" distB="0" distL="114300" distR="114300" simplePos="0" relativeHeight="251658240" behindDoc="1" locked="0" layoutInCell="1" allowOverlap="1" wp14:anchorId="301B884F" wp14:editId="5C453F14">
          <wp:simplePos x="0" y="0"/>
          <wp:positionH relativeFrom="margin">
            <wp:posOffset>-379562</wp:posOffset>
          </wp:positionH>
          <wp:positionV relativeFrom="paragraph">
            <wp:posOffset>-416237</wp:posOffset>
          </wp:positionV>
          <wp:extent cx="7413341" cy="1544129"/>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5774" cy="1546719"/>
                  </a:xfrm>
                  <a:prstGeom prst="rect">
                    <a:avLst/>
                  </a:prstGeom>
                </pic:spPr>
              </pic:pic>
            </a:graphicData>
          </a:graphic>
          <wp14:sizeRelH relativeFrom="page">
            <wp14:pctWidth>0</wp14:pctWidth>
          </wp14:sizeRelH>
          <wp14:sizeRelV relativeFrom="page">
            <wp14:pctHeight>0</wp14:pctHeight>
          </wp14:sizeRelV>
        </wp:anchor>
      </w:drawing>
    </w:r>
  </w:p>
  <w:p w14:paraId="31F4CC80" w14:textId="4F63A674" w:rsidR="00D236D7" w:rsidRPr="00D560DC" w:rsidRDefault="00D236D7" w:rsidP="00E55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084"/>
    <w:multiLevelType w:val="multilevel"/>
    <w:tmpl w:val="E434248C"/>
    <w:lvl w:ilvl="0">
      <w:start w:val="1"/>
      <w:numFmt w:val="bullet"/>
      <w:lvlText w:val=""/>
      <w:lvlJc w:val="left"/>
      <w:pPr>
        <w:ind w:left="568" w:hanging="284"/>
      </w:pPr>
      <w:rPr>
        <w:rFonts w:ascii="Symbol" w:hAnsi="Symbol" w:hint="default"/>
        <w:color w:val="323232"/>
      </w:rPr>
    </w:lvl>
    <w:lvl w:ilvl="1">
      <w:start w:val="1"/>
      <w:numFmt w:val="bullet"/>
      <w:lvlText w:val="o"/>
      <w:lvlJc w:val="left"/>
      <w:pPr>
        <w:ind w:left="928" w:hanging="360"/>
      </w:pPr>
      <w:rPr>
        <w:rFonts w:ascii="Courier New" w:hAnsi="Courier New" w:cs="Courier New" w:hint="default"/>
      </w:rPr>
    </w:lvl>
    <w:lvl w:ilvl="2">
      <w:start w:val="1"/>
      <w:numFmt w:val="bullet"/>
      <w:lvlText w:val="»"/>
      <w:lvlJc w:val="left"/>
      <w:pPr>
        <w:ind w:left="1136" w:hanging="284"/>
      </w:pPr>
      <w:rPr>
        <w:rFonts w:ascii="Calibri" w:hAnsi="Calibri" w:hint="default"/>
        <w:color w:val="323232"/>
      </w:rPr>
    </w:lvl>
    <w:lvl w:ilvl="3">
      <w:start w:val="1"/>
      <w:numFmt w:val="bullet"/>
      <w:lvlText w:val="◦"/>
      <w:lvlJc w:val="left"/>
      <w:pPr>
        <w:ind w:left="1420" w:hanging="284"/>
      </w:pPr>
      <w:rPr>
        <w:rFonts w:ascii="Calibri" w:hAnsi="Calibri" w:hint="default"/>
        <w:color w:val="323232"/>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1" w15:restartNumberingAfterBreak="0">
    <w:nsid w:val="03730AA8"/>
    <w:multiLevelType w:val="hybridMultilevel"/>
    <w:tmpl w:val="CF162D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947A56"/>
    <w:multiLevelType w:val="multilevel"/>
    <w:tmpl w:val="E85A4BF6"/>
    <w:lvl w:ilvl="0">
      <w:start w:val="1"/>
      <w:numFmt w:val="bullet"/>
      <w:lvlText w:val="•"/>
      <w:lvlJc w:val="left"/>
      <w:pPr>
        <w:ind w:left="284" w:hanging="284"/>
      </w:pPr>
      <w:rPr>
        <w:rFonts w:ascii="Arial" w:hAnsi="Arial" w:hint="default"/>
        <w:color w:val="323232"/>
      </w:rPr>
    </w:lvl>
    <w:lvl w:ilvl="1">
      <w:start w:val="1"/>
      <w:numFmt w:val="bullet"/>
      <w:lvlText w:val=""/>
      <w:lvlJc w:val="left"/>
      <w:pPr>
        <w:ind w:left="644" w:hanging="360"/>
      </w:pPr>
      <w:rPr>
        <w:rFonts w:ascii="Symbol" w:hAnsi="Symbol" w:hint="default"/>
      </w:rPr>
    </w:lvl>
    <w:lvl w:ilvl="2">
      <w:start w:val="1"/>
      <w:numFmt w:val="bullet"/>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0B22584"/>
    <w:multiLevelType w:val="hybridMultilevel"/>
    <w:tmpl w:val="F146D410"/>
    <w:lvl w:ilvl="0" w:tplc="E6140D5C">
      <w:start w:val="1"/>
      <w:numFmt w:val="bullet"/>
      <w:pStyle w:val="IconBox1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4" w15:restartNumberingAfterBreak="0">
    <w:nsid w:val="16656519"/>
    <w:multiLevelType w:val="multilevel"/>
    <w:tmpl w:val="56FC8DB0"/>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80A5EEB"/>
    <w:multiLevelType w:val="hybridMultilevel"/>
    <w:tmpl w:val="74544D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A810830"/>
    <w:multiLevelType w:val="hybridMultilevel"/>
    <w:tmpl w:val="8BEC6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56465F"/>
    <w:multiLevelType w:val="multilevel"/>
    <w:tmpl w:val="55F2BD4C"/>
    <w:lvl w:ilvl="0">
      <w:start w:val="1"/>
      <w:numFmt w:val="bullet"/>
      <w:lvlText w:val=""/>
      <w:lvlJc w:val="left"/>
      <w:pPr>
        <w:ind w:left="568" w:hanging="284"/>
      </w:pPr>
      <w:rPr>
        <w:rFonts w:ascii="Symbol" w:hAnsi="Symbol" w:hint="default"/>
        <w:color w:val="323232"/>
      </w:rPr>
    </w:lvl>
    <w:lvl w:ilvl="1">
      <w:start w:val="1"/>
      <w:numFmt w:val="bullet"/>
      <w:lvlText w:val="–"/>
      <w:lvlJc w:val="left"/>
      <w:pPr>
        <w:ind w:left="852" w:hanging="284"/>
      </w:pPr>
      <w:rPr>
        <w:rFonts w:ascii="Calibri" w:hAnsi="Calibri" w:hint="default"/>
        <w:color w:val="323232"/>
      </w:rPr>
    </w:lvl>
    <w:lvl w:ilvl="2">
      <w:start w:val="1"/>
      <w:numFmt w:val="bullet"/>
      <w:lvlText w:val="»"/>
      <w:lvlJc w:val="left"/>
      <w:pPr>
        <w:ind w:left="1136" w:hanging="284"/>
      </w:pPr>
      <w:rPr>
        <w:rFonts w:ascii="Calibri" w:hAnsi="Calibri" w:hint="default"/>
        <w:color w:val="323232"/>
      </w:rPr>
    </w:lvl>
    <w:lvl w:ilvl="3">
      <w:start w:val="1"/>
      <w:numFmt w:val="bullet"/>
      <w:lvlText w:val="◦"/>
      <w:lvlJc w:val="left"/>
      <w:pPr>
        <w:ind w:left="1420" w:hanging="284"/>
      </w:pPr>
      <w:rPr>
        <w:rFonts w:ascii="Calibri" w:hAnsi="Calibri" w:hint="default"/>
        <w:color w:val="323232"/>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8" w15:restartNumberingAfterBreak="0">
    <w:nsid w:val="21847D4F"/>
    <w:multiLevelType w:val="multilevel"/>
    <w:tmpl w:val="2CDA0A4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CF6126F"/>
    <w:multiLevelType w:val="multilevel"/>
    <w:tmpl w:val="63E24748"/>
    <w:lvl w:ilvl="0">
      <w:start w:val="1"/>
      <w:numFmt w:val="bullet"/>
      <w:lvlText w:val=""/>
      <w:lvlJc w:val="left"/>
      <w:pPr>
        <w:ind w:left="568" w:hanging="284"/>
      </w:pPr>
      <w:rPr>
        <w:rFonts w:ascii="Symbol" w:hAnsi="Symbol" w:hint="default"/>
        <w:color w:val="323232"/>
      </w:rPr>
    </w:lvl>
    <w:lvl w:ilvl="1">
      <w:start w:val="1"/>
      <w:numFmt w:val="bullet"/>
      <w:lvlText w:val="–"/>
      <w:lvlJc w:val="left"/>
      <w:pPr>
        <w:ind w:left="852" w:hanging="284"/>
      </w:pPr>
      <w:rPr>
        <w:rFonts w:ascii="Calibri" w:hAnsi="Calibri" w:hint="default"/>
        <w:color w:val="323232"/>
      </w:rPr>
    </w:lvl>
    <w:lvl w:ilvl="2">
      <w:start w:val="1"/>
      <w:numFmt w:val="bullet"/>
      <w:lvlText w:val="»"/>
      <w:lvlJc w:val="left"/>
      <w:pPr>
        <w:ind w:left="1136" w:hanging="284"/>
      </w:pPr>
      <w:rPr>
        <w:rFonts w:ascii="Calibri" w:hAnsi="Calibri" w:hint="default"/>
        <w:color w:val="323232"/>
      </w:rPr>
    </w:lvl>
    <w:lvl w:ilvl="3">
      <w:start w:val="1"/>
      <w:numFmt w:val="bullet"/>
      <w:lvlText w:val="◦"/>
      <w:lvlJc w:val="left"/>
      <w:pPr>
        <w:ind w:left="1420" w:hanging="284"/>
      </w:pPr>
      <w:rPr>
        <w:rFonts w:ascii="Calibri" w:hAnsi="Calibri" w:hint="default"/>
        <w:color w:val="323232"/>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10" w15:restartNumberingAfterBreak="0">
    <w:nsid w:val="2E5B11D9"/>
    <w:multiLevelType w:val="hybridMultilevel"/>
    <w:tmpl w:val="A90EF66E"/>
    <w:lvl w:ilvl="0" w:tplc="621E83FA">
      <w:start w:val="1"/>
      <w:numFmt w:val="bullet"/>
      <w:pStyle w:val="IconBox2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1" w15:restartNumberingAfterBreak="0">
    <w:nsid w:val="300A23EB"/>
    <w:multiLevelType w:val="multilevel"/>
    <w:tmpl w:val="724416BC"/>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720"/>
      </w:pPr>
      <w:rPr>
        <w:rFonts w:ascii="Symbol" w:hAnsi="Symbol"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0397FC3"/>
    <w:multiLevelType w:val="multilevel"/>
    <w:tmpl w:val="539E6A1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491261A"/>
    <w:multiLevelType w:val="hybridMultilevel"/>
    <w:tmpl w:val="D8F6D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B30825"/>
    <w:multiLevelType w:val="multilevel"/>
    <w:tmpl w:val="2682CBB6"/>
    <w:lvl w:ilvl="0">
      <w:start w:val="1"/>
      <w:numFmt w:val="decimal"/>
      <w:lvlText w:val="%1."/>
      <w:lvlJc w:val="left"/>
      <w:pPr>
        <w:ind w:left="360" w:hanging="360"/>
      </w:pPr>
      <w:rPr>
        <w:rFonts w:hint="default"/>
        <w:b/>
        <w:color w:val="auto"/>
        <w:sz w:val="20"/>
        <w:szCs w:val="20"/>
      </w:rPr>
    </w:lvl>
    <w:lvl w:ilvl="1">
      <w:start w:val="1"/>
      <w:numFmt w:val="decimal"/>
      <w:lvlText w:val="%1.%2."/>
      <w:lvlJc w:val="left"/>
      <w:pPr>
        <w:ind w:left="510" w:hanging="170"/>
      </w:pPr>
      <w:rPr>
        <w:rFonts w:asciiTheme="minorHAnsi" w:hAnsiTheme="minorHAnsi" w:cstheme="minorHAnsi" w:hint="default"/>
        <w:b w:val="0"/>
        <w:color w:val="auto"/>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990573E"/>
    <w:multiLevelType w:val="multilevel"/>
    <w:tmpl w:val="3A206044"/>
    <w:lvl w:ilvl="0">
      <w:start w:val="1"/>
      <w:numFmt w:val="bullet"/>
      <w:lvlText w:val="•"/>
      <w:lvlJc w:val="left"/>
      <w:pPr>
        <w:ind w:left="284" w:hanging="284"/>
      </w:pPr>
      <w:rPr>
        <w:rFonts w:ascii="Arial" w:hAnsi="Arial" w:hint="default"/>
        <w:color w:val="323232"/>
      </w:rPr>
    </w:lvl>
    <w:lvl w:ilvl="1">
      <w:start w:val="1"/>
      <w:numFmt w:val="bullet"/>
      <w:lvlText w:val="o"/>
      <w:lvlJc w:val="left"/>
      <w:pPr>
        <w:ind w:left="644" w:hanging="360"/>
      </w:pPr>
      <w:rPr>
        <w:rFonts w:ascii="Courier New" w:hAnsi="Courier New" w:cs="Courier New" w:hint="default"/>
      </w:rPr>
    </w:lvl>
    <w:lvl w:ilvl="2">
      <w:start w:val="1"/>
      <w:numFmt w:val="bullet"/>
      <w:lvlText w:val="o"/>
      <w:lvlJc w:val="left"/>
      <w:pPr>
        <w:ind w:left="928" w:hanging="360"/>
      </w:pPr>
      <w:rPr>
        <w:rFonts w:ascii="Courier New" w:hAnsi="Courier New" w:cs="Courier New" w:hint="default"/>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4B5F3574"/>
    <w:multiLevelType w:val="hybridMultilevel"/>
    <w:tmpl w:val="ACF483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3B6718"/>
    <w:multiLevelType w:val="hybridMultilevel"/>
    <w:tmpl w:val="7C8228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1E02532"/>
    <w:multiLevelType w:val="multilevel"/>
    <w:tmpl w:val="E8DE46F6"/>
    <w:styleLink w:val="NumberedListStyle"/>
    <w:lvl w:ilvl="0">
      <w:start w:val="1"/>
      <w:numFmt w:val="decimal"/>
      <w:pStyle w:val="NumberedList1"/>
      <w:lvlText w:val="%1."/>
      <w:lvlJc w:val="left"/>
      <w:pPr>
        <w:ind w:left="284" w:hanging="284"/>
      </w:pPr>
      <w:rPr>
        <w:rFonts w:hint="default"/>
        <w:color w:val="264F90" w:themeColor="accent2"/>
      </w:rPr>
    </w:lvl>
    <w:lvl w:ilvl="1">
      <w:start w:val="1"/>
      <w:numFmt w:val="lowerLetter"/>
      <w:pStyle w:val="NumberedList2"/>
      <w:lvlText w:val="%2."/>
      <w:lvlJc w:val="left"/>
      <w:pPr>
        <w:ind w:left="568" w:hanging="284"/>
      </w:pPr>
      <w:rPr>
        <w:rFonts w:hint="default"/>
        <w:color w:val="264F90" w:themeColor="accent2"/>
      </w:rPr>
    </w:lvl>
    <w:lvl w:ilvl="2">
      <w:start w:val="1"/>
      <w:numFmt w:val="lowerRoman"/>
      <w:pStyle w:val="NumberedList3"/>
      <w:lvlText w:val="%3."/>
      <w:lvlJc w:val="left"/>
      <w:pPr>
        <w:ind w:left="852" w:hanging="284"/>
      </w:pPr>
      <w:rPr>
        <w:rFonts w:hint="default"/>
        <w:color w:val="264F90" w:themeColor="accen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64525B57"/>
    <w:multiLevelType w:val="multilevel"/>
    <w:tmpl w:val="C0146618"/>
    <w:lvl w:ilvl="0">
      <w:start w:val="1"/>
      <w:numFmt w:val="bullet"/>
      <w:lvlText w:val=""/>
      <w:lvlJc w:val="left"/>
      <w:pPr>
        <w:ind w:left="568" w:hanging="284"/>
      </w:pPr>
      <w:rPr>
        <w:rFonts w:ascii="Symbol" w:hAnsi="Symbol" w:hint="default"/>
        <w:color w:val="323232"/>
      </w:rPr>
    </w:lvl>
    <w:lvl w:ilvl="1">
      <w:start w:val="1"/>
      <w:numFmt w:val="bullet"/>
      <w:lvlText w:val="o"/>
      <w:lvlJc w:val="left"/>
      <w:pPr>
        <w:ind w:left="928" w:hanging="360"/>
      </w:pPr>
      <w:rPr>
        <w:rFonts w:ascii="Courier New" w:hAnsi="Courier New" w:cs="Courier New" w:hint="default"/>
      </w:rPr>
    </w:lvl>
    <w:lvl w:ilvl="2">
      <w:start w:val="1"/>
      <w:numFmt w:val="bullet"/>
      <w:lvlText w:val=""/>
      <w:lvlJc w:val="left"/>
      <w:pPr>
        <w:ind w:left="1212" w:hanging="360"/>
      </w:pPr>
      <w:rPr>
        <w:rFonts w:ascii="Wingdings" w:hAnsi="Wingdings" w:hint="default"/>
      </w:rPr>
    </w:lvl>
    <w:lvl w:ilvl="3">
      <w:start w:val="1"/>
      <w:numFmt w:val="bullet"/>
      <w:lvlText w:val="◦"/>
      <w:lvlJc w:val="left"/>
      <w:pPr>
        <w:ind w:left="1420" w:hanging="284"/>
      </w:pPr>
      <w:rPr>
        <w:rFonts w:ascii="Calibri" w:hAnsi="Calibri" w:hint="default"/>
        <w:color w:val="323232"/>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20" w15:restartNumberingAfterBreak="0">
    <w:nsid w:val="6B3F177C"/>
    <w:multiLevelType w:val="multilevel"/>
    <w:tmpl w:val="E1DE989C"/>
    <w:lvl w:ilvl="0">
      <w:start w:val="1"/>
      <w:numFmt w:val="bullet"/>
      <w:lvlText w:val=""/>
      <w:lvlJc w:val="left"/>
      <w:pPr>
        <w:ind w:left="644" w:hanging="360"/>
      </w:pPr>
      <w:rPr>
        <w:rFonts w:ascii="Symbol" w:hAnsi="Symbol"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1"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997228227">
    <w:abstractNumId w:val="21"/>
  </w:num>
  <w:num w:numId="2" w16cid:durableId="836458674">
    <w:abstractNumId w:val="18"/>
  </w:num>
  <w:num w:numId="3" w16cid:durableId="2095860512">
    <w:abstractNumId w:val="3"/>
  </w:num>
  <w:num w:numId="4" w16cid:durableId="805388558">
    <w:abstractNumId w:val="10"/>
  </w:num>
  <w:num w:numId="5" w16cid:durableId="118888059">
    <w:abstractNumId w:val="14"/>
  </w:num>
  <w:num w:numId="6" w16cid:durableId="42992031">
    <w:abstractNumId w:val="8"/>
  </w:num>
  <w:num w:numId="7" w16cid:durableId="1884364301">
    <w:abstractNumId w:val="16"/>
  </w:num>
  <w:num w:numId="8" w16cid:durableId="1993751588">
    <w:abstractNumId w:val="4"/>
  </w:num>
  <w:num w:numId="9" w16cid:durableId="369499093">
    <w:abstractNumId w:val="20"/>
  </w:num>
  <w:num w:numId="10" w16cid:durableId="2073766358">
    <w:abstractNumId w:val="7"/>
  </w:num>
  <w:num w:numId="11" w16cid:durableId="434831582">
    <w:abstractNumId w:val="2"/>
  </w:num>
  <w:num w:numId="12" w16cid:durableId="1808433084">
    <w:abstractNumId w:val="9"/>
  </w:num>
  <w:num w:numId="13" w16cid:durableId="2020305235">
    <w:abstractNumId w:val="19"/>
  </w:num>
  <w:num w:numId="14" w16cid:durableId="1573929060">
    <w:abstractNumId w:val="1"/>
  </w:num>
  <w:num w:numId="15" w16cid:durableId="904031678">
    <w:abstractNumId w:val="0"/>
  </w:num>
  <w:num w:numId="16" w16cid:durableId="741488210">
    <w:abstractNumId w:val="15"/>
  </w:num>
  <w:num w:numId="17" w16cid:durableId="1394693894">
    <w:abstractNumId w:val="12"/>
  </w:num>
  <w:num w:numId="18" w16cid:durableId="1683047087">
    <w:abstractNumId w:val="17"/>
  </w:num>
  <w:num w:numId="19" w16cid:durableId="1692342164">
    <w:abstractNumId w:val="13"/>
  </w:num>
  <w:num w:numId="20" w16cid:durableId="712076686">
    <w:abstractNumId w:val="6"/>
  </w:num>
  <w:num w:numId="21" w16cid:durableId="1030498982">
    <w:abstractNumId w:val="5"/>
  </w:num>
  <w:num w:numId="22" w16cid:durableId="1187598841">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88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A68"/>
    <w:rsid w:val="000046B1"/>
    <w:rsid w:val="00015DC0"/>
    <w:rsid w:val="00017597"/>
    <w:rsid w:val="00017788"/>
    <w:rsid w:val="00022205"/>
    <w:rsid w:val="00027E66"/>
    <w:rsid w:val="00032F9A"/>
    <w:rsid w:val="0003434C"/>
    <w:rsid w:val="0003664B"/>
    <w:rsid w:val="00037A66"/>
    <w:rsid w:val="0004008E"/>
    <w:rsid w:val="000404F9"/>
    <w:rsid w:val="00043AEE"/>
    <w:rsid w:val="00050E82"/>
    <w:rsid w:val="000532E5"/>
    <w:rsid w:val="00054504"/>
    <w:rsid w:val="000570CA"/>
    <w:rsid w:val="00061D6A"/>
    <w:rsid w:val="00067477"/>
    <w:rsid w:val="00075B69"/>
    <w:rsid w:val="000800A2"/>
    <w:rsid w:val="0008064F"/>
    <w:rsid w:val="00083D39"/>
    <w:rsid w:val="000910B4"/>
    <w:rsid w:val="00091CF6"/>
    <w:rsid w:val="00091DCD"/>
    <w:rsid w:val="000A023A"/>
    <w:rsid w:val="000A0E9A"/>
    <w:rsid w:val="000A3122"/>
    <w:rsid w:val="000A36EA"/>
    <w:rsid w:val="000A3FA8"/>
    <w:rsid w:val="000A5937"/>
    <w:rsid w:val="000B4546"/>
    <w:rsid w:val="000B5478"/>
    <w:rsid w:val="000C33C6"/>
    <w:rsid w:val="000C566C"/>
    <w:rsid w:val="000D3790"/>
    <w:rsid w:val="000D4802"/>
    <w:rsid w:val="000D6F9E"/>
    <w:rsid w:val="000E2187"/>
    <w:rsid w:val="000E4511"/>
    <w:rsid w:val="000F054F"/>
    <w:rsid w:val="000F185D"/>
    <w:rsid w:val="000F5A4F"/>
    <w:rsid w:val="000F5F67"/>
    <w:rsid w:val="000F63FA"/>
    <w:rsid w:val="000F6F23"/>
    <w:rsid w:val="00100007"/>
    <w:rsid w:val="00101FB2"/>
    <w:rsid w:val="001032F5"/>
    <w:rsid w:val="0010408B"/>
    <w:rsid w:val="001120FE"/>
    <w:rsid w:val="0011308B"/>
    <w:rsid w:val="00116D56"/>
    <w:rsid w:val="00121799"/>
    <w:rsid w:val="00153383"/>
    <w:rsid w:val="00157EFE"/>
    <w:rsid w:val="0016241F"/>
    <w:rsid w:val="00163226"/>
    <w:rsid w:val="0016358E"/>
    <w:rsid w:val="00165274"/>
    <w:rsid w:val="0016544E"/>
    <w:rsid w:val="001656C8"/>
    <w:rsid w:val="00166FBD"/>
    <w:rsid w:val="00170894"/>
    <w:rsid w:val="00176047"/>
    <w:rsid w:val="00177F3E"/>
    <w:rsid w:val="00181645"/>
    <w:rsid w:val="00182590"/>
    <w:rsid w:val="0018550C"/>
    <w:rsid w:val="001857F5"/>
    <w:rsid w:val="00193412"/>
    <w:rsid w:val="0019510B"/>
    <w:rsid w:val="001A1B76"/>
    <w:rsid w:val="001B105D"/>
    <w:rsid w:val="001B3D92"/>
    <w:rsid w:val="001D2E26"/>
    <w:rsid w:val="001D4513"/>
    <w:rsid w:val="001E2C06"/>
    <w:rsid w:val="001E687E"/>
    <w:rsid w:val="001E7271"/>
    <w:rsid w:val="001F2577"/>
    <w:rsid w:val="001F334F"/>
    <w:rsid w:val="001F63D6"/>
    <w:rsid w:val="001F7059"/>
    <w:rsid w:val="001F77E0"/>
    <w:rsid w:val="002105F1"/>
    <w:rsid w:val="00215C71"/>
    <w:rsid w:val="002166DE"/>
    <w:rsid w:val="002175CC"/>
    <w:rsid w:val="00223068"/>
    <w:rsid w:val="00224CCA"/>
    <w:rsid w:val="00224CE7"/>
    <w:rsid w:val="00231BA9"/>
    <w:rsid w:val="00232A03"/>
    <w:rsid w:val="002332DF"/>
    <w:rsid w:val="00235D78"/>
    <w:rsid w:val="002435E3"/>
    <w:rsid w:val="00245A44"/>
    <w:rsid w:val="00246570"/>
    <w:rsid w:val="002478E7"/>
    <w:rsid w:val="00253E37"/>
    <w:rsid w:val="00270963"/>
    <w:rsid w:val="002779AF"/>
    <w:rsid w:val="002818E6"/>
    <w:rsid w:val="002856F5"/>
    <w:rsid w:val="00286EEE"/>
    <w:rsid w:val="002947CB"/>
    <w:rsid w:val="00295953"/>
    <w:rsid w:val="00296568"/>
    <w:rsid w:val="0029785B"/>
    <w:rsid w:val="002A2BA5"/>
    <w:rsid w:val="002A42CE"/>
    <w:rsid w:val="002A5B1C"/>
    <w:rsid w:val="002A77A4"/>
    <w:rsid w:val="002B220A"/>
    <w:rsid w:val="002B5E7A"/>
    <w:rsid w:val="002D04E6"/>
    <w:rsid w:val="002D1791"/>
    <w:rsid w:val="002D5836"/>
    <w:rsid w:val="002D7B46"/>
    <w:rsid w:val="002E3A23"/>
    <w:rsid w:val="002E73BB"/>
    <w:rsid w:val="002F3C34"/>
    <w:rsid w:val="0030396A"/>
    <w:rsid w:val="00304F70"/>
    <w:rsid w:val="00306C45"/>
    <w:rsid w:val="00307CA4"/>
    <w:rsid w:val="00312D42"/>
    <w:rsid w:val="00313ABA"/>
    <w:rsid w:val="00316778"/>
    <w:rsid w:val="0032402F"/>
    <w:rsid w:val="003251E6"/>
    <w:rsid w:val="00325202"/>
    <w:rsid w:val="00342C65"/>
    <w:rsid w:val="00343379"/>
    <w:rsid w:val="003567C8"/>
    <w:rsid w:val="00357245"/>
    <w:rsid w:val="003601CE"/>
    <w:rsid w:val="00361B40"/>
    <w:rsid w:val="0036297E"/>
    <w:rsid w:val="003769D7"/>
    <w:rsid w:val="0038240C"/>
    <w:rsid w:val="00382D2C"/>
    <w:rsid w:val="0038307C"/>
    <w:rsid w:val="003852A7"/>
    <w:rsid w:val="0038670E"/>
    <w:rsid w:val="003932FC"/>
    <w:rsid w:val="0039366E"/>
    <w:rsid w:val="0039793D"/>
    <w:rsid w:val="00397BD5"/>
    <w:rsid w:val="003A02E3"/>
    <w:rsid w:val="003A1BA1"/>
    <w:rsid w:val="003A2994"/>
    <w:rsid w:val="003A34B9"/>
    <w:rsid w:val="003B1B09"/>
    <w:rsid w:val="003B2FF0"/>
    <w:rsid w:val="003B5EC2"/>
    <w:rsid w:val="003B772B"/>
    <w:rsid w:val="003C7670"/>
    <w:rsid w:val="003D1990"/>
    <w:rsid w:val="003D1AFA"/>
    <w:rsid w:val="003D4C2C"/>
    <w:rsid w:val="003E072A"/>
    <w:rsid w:val="003E096A"/>
    <w:rsid w:val="003E1141"/>
    <w:rsid w:val="003E38FA"/>
    <w:rsid w:val="003E6164"/>
    <w:rsid w:val="00401109"/>
    <w:rsid w:val="00401A01"/>
    <w:rsid w:val="0041233C"/>
    <w:rsid w:val="00420046"/>
    <w:rsid w:val="00421B9F"/>
    <w:rsid w:val="00432A99"/>
    <w:rsid w:val="004335C1"/>
    <w:rsid w:val="004371BC"/>
    <w:rsid w:val="00437708"/>
    <w:rsid w:val="00444C6B"/>
    <w:rsid w:val="00453DEF"/>
    <w:rsid w:val="004635A5"/>
    <w:rsid w:val="00463ED0"/>
    <w:rsid w:val="004705EE"/>
    <w:rsid w:val="00470BDD"/>
    <w:rsid w:val="0047297D"/>
    <w:rsid w:val="004764B8"/>
    <w:rsid w:val="0048137A"/>
    <w:rsid w:val="00483D48"/>
    <w:rsid w:val="004852EF"/>
    <w:rsid w:val="004874FF"/>
    <w:rsid w:val="00490B8E"/>
    <w:rsid w:val="004978F6"/>
    <w:rsid w:val="004A149E"/>
    <w:rsid w:val="004A1648"/>
    <w:rsid w:val="004A40C9"/>
    <w:rsid w:val="004B3726"/>
    <w:rsid w:val="004B3D3F"/>
    <w:rsid w:val="004D0C8D"/>
    <w:rsid w:val="004D68D0"/>
    <w:rsid w:val="004E1663"/>
    <w:rsid w:val="004E178D"/>
    <w:rsid w:val="004E3F57"/>
    <w:rsid w:val="004F09D3"/>
    <w:rsid w:val="004F14ED"/>
    <w:rsid w:val="00511DDF"/>
    <w:rsid w:val="00513117"/>
    <w:rsid w:val="0052144A"/>
    <w:rsid w:val="00527D37"/>
    <w:rsid w:val="00530D32"/>
    <w:rsid w:val="00535C06"/>
    <w:rsid w:val="00536AA5"/>
    <w:rsid w:val="005372C3"/>
    <w:rsid w:val="005425D7"/>
    <w:rsid w:val="0057297A"/>
    <w:rsid w:val="0057734E"/>
    <w:rsid w:val="00577C08"/>
    <w:rsid w:val="005824D8"/>
    <w:rsid w:val="00584CFD"/>
    <w:rsid w:val="005945AB"/>
    <w:rsid w:val="005A2441"/>
    <w:rsid w:val="005A3FA6"/>
    <w:rsid w:val="005A4689"/>
    <w:rsid w:val="005A52AE"/>
    <w:rsid w:val="005A74AD"/>
    <w:rsid w:val="005A79D4"/>
    <w:rsid w:val="005A7A6E"/>
    <w:rsid w:val="005B2841"/>
    <w:rsid w:val="005B5271"/>
    <w:rsid w:val="005C1F16"/>
    <w:rsid w:val="005C4FBC"/>
    <w:rsid w:val="005D3233"/>
    <w:rsid w:val="005D60E9"/>
    <w:rsid w:val="005E1E55"/>
    <w:rsid w:val="005E35DC"/>
    <w:rsid w:val="005E5FF2"/>
    <w:rsid w:val="005E6DDA"/>
    <w:rsid w:val="005E76FB"/>
    <w:rsid w:val="005F3C86"/>
    <w:rsid w:val="005F3EBE"/>
    <w:rsid w:val="005F692E"/>
    <w:rsid w:val="005F6E53"/>
    <w:rsid w:val="00602240"/>
    <w:rsid w:val="006038B1"/>
    <w:rsid w:val="006042F1"/>
    <w:rsid w:val="00610C0F"/>
    <w:rsid w:val="0061775E"/>
    <w:rsid w:val="00620DF9"/>
    <w:rsid w:val="006228F0"/>
    <w:rsid w:val="00643BF1"/>
    <w:rsid w:val="0065387E"/>
    <w:rsid w:val="00662BD1"/>
    <w:rsid w:val="00663193"/>
    <w:rsid w:val="0067304B"/>
    <w:rsid w:val="0068698A"/>
    <w:rsid w:val="006947DA"/>
    <w:rsid w:val="006954DB"/>
    <w:rsid w:val="006B3365"/>
    <w:rsid w:val="006B4C33"/>
    <w:rsid w:val="006B5A3D"/>
    <w:rsid w:val="006B5E65"/>
    <w:rsid w:val="006B605E"/>
    <w:rsid w:val="006C216F"/>
    <w:rsid w:val="006C4996"/>
    <w:rsid w:val="006E2A80"/>
    <w:rsid w:val="006E3673"/>
    <w:rsid w:val="006E5A68"/>
    <w:rsid w:val="006F11DA"/>
    <w:rsid w:val="006F2B2D"/>
    <w:rsid w:val="00701098"/>
    <w:rsid w:val="0071374C"/>
    <w:rsid w:val="007154D1"/>
    <w:rsid w:val="00722AE2"/>
    <w:rsid w:val="00732823"/>
    <w:rsid w:val="0073319D"/>
    <w:rsid w:val="00733D83"/>
    <w:rsid w:val="007352AF"/>
    <w:rsid w:val="00735F37"/>
    <w:rsid w:val="00741CD1"/>
    <w:rsid w:val="00743B3D"/>
    <w:rsid w:val="00755BF6"/>
    <w:rsid w:val="00756E3A"/>
    <w:rsid w:val="00760773"/>
    <w:rsid w:val="00764DA6"/>
    <w:rsid w:val="007661CA"/>
    <w:rsid w:val="00776A97"/>
    <w:rsid w:val="00781026"/>
    <w:rsid w:val="00785858"/>
    <w:rsid w:val="00790F53"/>
    <w:rsid w:val="0079356F"/>
    <w:rsid w:val="00794715"/>
    <w:rsid w:val="00794815"/>
    <w:rsid w:val="007A1FAE"/>
    <w:rsid w:val="007A52C1"/>
    <w:rsid w:val="007A6487"/>
    <w:rsid w:val="007B53C7"/>
    <w:rsid w:val="007B7A87"/>
    <w:rsid w:val="007E0C76"/>
    <w:rsid w:val="007E2BEE"/>
    <w:rsid w:val="007F0760"/>
    <w:rsid w:val="007F139A"/>
    <w:rsid w:val="007F18EB"/>
    <w:rsid w:val="007F2CA1"/>
    <w:rsid w:val="007F655C"/>
    <w:rsid w:val="008003C4"/>
    <w:rsid w:val="0080053F"/>
    <w:rsid w:val="008019D0"/>
    <w:rsid w:val="00803F4E"/>
    <w:rsid w:val="00816BEE"/>
    <w:rsid w:val="00820886"/>
    <w:rsid w:val="00821001"/>
    <w:rsid w:val="00821715"/>
    <w:rsid w:val="0082349C"/>
    <w:rsid w:val="0082464C"/>
    <w:rsid w:val="00853B77"/>
    <w:rsid w:val="0085511B"/>
    <w:rsid w:val="00856628"/>
    <w:rsid w:val="008725E9"/>
    <w:rsid w:val="00873E95"/>
    <w:rsid w:val="00887A56"/>
    <w:rsid w:val="00890032"/>
    <w:rsid w:val="008905D5"/>
    <w:rsid w:val="00892A2C"/>
    <w:rsid w:val="00896F4E"/>
    <w:rsid w:val="008A3298"/>
    <w:rsid w:val="008A340B"/>
    <w:rsid w:val="008A75B4"/>
    <w:rsid w:val="008B0C68"/>
    <w:rsid w:val="008B5D47"/>
    <w:rsid w:val="008C1293"/>
    <w:rsid w:val="008C1573"/>
    <w:rsid w:val="008C6749"/>
    <w:rsid w:val="008C7356"/>
    <w:rsid w:val="008D308B"/>
    <w:rsid w:val="008D314F"/>
    <w:rsid w:val="008D67E6"/>
    <w:rsid w:val="008E1066"/>
    <w:rsid w:val="008E3AB2"/>
    <w:rsid w:val="008F49E1"/>
    <w:rsid w:val="0090099E"/>
    <w:rsid w:val="00901119"/>
    <w:rsid w:val="00903BC4"/>
    <w:rsid w:val="00912F25"/>
    <w:rsid w:val="00916D42"/>
    <w:rsid w:val="009208BD"/>
    <w:rsid w:val="00921BB7"/>
    <w:rsid w:val="00927D3A"/>
    <w:rsid w:val="00934793"/>
    <w:rsid w:val="00945B40"/>
    <w:rsid w:val="00945FAD"/>
    <w:rsid w:val="00950011"/>
    <w:rsid w:val="009539AF"/>
    <w:rsid w:val="009541DF"/>
    <w:rsid w:val="00966DDC"/>
    <w:rsid w:val="00973E37"/>
    <w:rsid w:val="009805A4"/>
    <w:rsid w:val="00984583"/>
    <w:rsid w:val="00984AB1"/>
    <w:rsid w:val="00987D74"/>
    <w:rsid w:val="00995402"/>
    <w:rsid w:val="009A35D7"/>
    <w:rsid w:val="009A3E7D"/>
    <w:rsid w:val="009A50FF"/>
    <w:rsid w:val="009A657B"/>
    <w:rsid w:val="009B02F7"/>
    <w:rsid w:val="009B0DDF"/>
    <w:rsid w:val="009C4578"/>
    <w:rsid w:val="009C7EED"/>
    <w:rsid w:val="009D0147"/>
    <w:rsid w:val="009D4605"/>
    <w:rsid w:val="009D6681"/>
    <w:rsid w:val="009E29FB"/>
    <w:rsid w:val="009E6689"/>
    <w:rsid w:val="009F2CC9"/>
    <w:rsid w:val="009F4DB6"/>
    <w:rsid w:val="00A014CE"/>
    <w:rsid w:val="00A01617"/>
    <w:rsid w:val="00A01656"/>
    <w:rsid w:val="00A02FB7"/>
    <w:rsid w:val="00A03BF2"/>
    <w:rsid w:val="00A0562C"/>
    <w:rsid w:val="00A14824"/>
    <w:rsid w:val="00A148EC"/>
    <w:rsid w:val="00A21934"/>
    <w:rsid w:val="00A2564F"/>
    <w:rsid w:val="00A34FF1"/>
    <w:rsid w:val="00A36E87"/>
    <w:rsid w:val="00A40F44"/>
    <w:rsid w:val="00A454B2"/>
    <w:rsid w:val="00A50743"/>
    <w:rsid w:val="00A55F21"/>
    <w:rsid w:val="00A5621B"/>
    <w:rsid w:val="00A635A2"/>
    <w:rsid w:val="00A657EB"/>
    <w:rsid w:val="00A72F87"/>
    <w:rsid w:val="00A74072"/>
    <w:rsid w:val="00A81744"/>
    <w:rsid w:val="00A81754"/>
    <w:rsid w:val="00A82E27"/>
    <w:rsid w:val="00A86A92"/>
    <w:rsid w:val="00A97AB8"/>
    <w:rsid w:val="00AA1DE9"/>
    <w:rsid w:val="00AA30C5"/>
    <w:rsid w:val="00AB30BA"/>
    <w:rsid w:val="00AB6D62"/>
    <w:rsid w:val="00AB76A4"/>
    <w:rsid w:val="00AC34E6"/>
    <w:rsid w:val="00AC74C7"/>
    <w:rsid w:val="00AC78CD"/>
    <w:rsid w:val="00AD77DB"/>
    <w:rsid w:val="00AD797E"/>
    <w:rsid w:val="00AE14F4"/>
    <w:rsid w:val="00AF40CD"/>
    <w:rsid w:val="00AF480F"/>
    <w:rsid w:val="00AF6B9F"/>
    <w:rsid w:val="00AF6F68"/>
    <w:rsid w:val="00AF71F9"/>
    <w:rsid w:val="00B0221B"/>
    <w:rsid w:val="00B07993"/>
    <w:rsid w:val="00B14340"/>
    <w:rsid w:val="00B15E2D"/>
    <w:rsid w:val="00B2287A"/>
    <w:rsid w:val="00B2346C"/>
    <w:rsid w:val="00B24A59"/>
    <w:rsid w:val="00B321B5"/>
    <w:rsid w:val="00B41E14"/>
    <w:rsid w:val="00B45FB7"/>
    <w:rsid w:val="00B465EB"/>
    <w:rsid w:val="00B56FAA"/>
    <w:rsid w:val="00B60EF0"/>
    <w:rsid w:val="00B612DA"/>
    <w:rsid w:val="00B7072D"/>
    <w:rsid w:val="00B719AF"/>
    <w:rsid w:val="00B745C1"/>
    <w:rsid w:val="00B75533"/>
    <w:rsid w:val="00B81476"/>
    <w:rsid w:val="00B81502"/>
    <w:rsid w:val="00B82504"/>
    <w:rsid w:val="00B949A5"/>
    <w:rsid w:val="00B95D99"/>
    <w:rsid w:val="00B9688D"/>
    <w:rsid w:val="00BA1166"/>
    <w:rsid w:val="00BA4643"/>
    <w:rsid w:val="00BB3AA7"/>
    <w:rsid w:val="00BB4405"/>
    <w:rsid w:val="00BB6D23"/>
    <w:rsid w:val="00BB7BC2"/>
    <w:rsid w:val="00BC03AA"/>
    <w:rsid w:val="00BC089D"/>
    <w:rsid w:val="00BC0FC0"/>
    <w:rsid w:val="00BC2448"/>
    <w:rsid w:val="00BC302C"/>
    <w:rsid w:val="00BC3A38"/>
    <w:rsid w:val="00BC4CE3"/>
    <w:rsid w:val="00BD2A4B"/>
    <w:rsid w:val="00BE5AEB"/>
    <w:rsid w:val="00BF1EE8"/>
    <w:rsid w:val="00BF55EA"/>
    <w:rsid w:val="00BF7F28"/>
    <w:rsid w:val="00C03055"/>
    <w:rsid w:val="00C049CA"/>
    <w:rsid w:val="00C06200"/>
    <w:rsid w:val="00C06654"/>
    <w:rsid w:val="00C12C84"/>
    <w:rsid w:val="00C15EBD"/>
    <w:rsid w:val="00C16B56"/>
    <w:rsid w:val="00C1743C"/>
    <w:rsid w:val="00C21F3A"/>
    <w:rsid w:val="00C30CEC"/>
    <w:rsid w:val="00C31906"/>
    <w:rsid w:val="00C32169"/>
    <w:rsid w:val="00C340DE"/>
    <w:rsid w:val="00C35528"/>
    <w:rsid w:val="00C36297"/>
    <w:rsid w:val="00C401FB"/>
    <w:rsid w:val="00C41050"/>
    <w:rsid w:val="00C4341B"/>
    <w:rsid w:val="00C534F7"/>
    <w:rsid w:val="00C53A7B"/>
    <w:rsid w:val="00C54AEB"/>
    <w:rsid w:val="00C554AF"/>
    <w:rsid w:val="00C55F44"/>
    <w:rsid w:val="00C56621"/>
    <w:rsid w:val="00C5792C"/>
    <w:rsid w:val="00C66FAC"/>
    <w:rsid w:val="00C72DF3"/>
    <w:rsid w:val="00C74004"/>
    <w:rsid w:val="00C75925"/>
    <w:rsid w:val="00C77BE9"/>
    <w:rsid w:val="00C80F92"/>
    <w:rsid w:val="00C83DF5"/>
    <w:rsid w:val="00C85D75"/>
    <w:rsid w:val="00C8693F"/>
    <w:rsid w:val="00C92BC5"/>
    <w:rsid w:val="00C937FA"/>
    <w:rsid w:val="00CA07CA"/>
    <w:rsid w:val="00CA2E58"/>
    <w:rsid w:val="00CA4126"/>
    <w:rsid w:val="00CA4852"/>
    <w:rsid w:val="00CA4D15"/>
    <w:rsid w:val="00CB1B59"/>
    <w:rsid w:val="00CC2000"/>
    <w:rsid w:val="00CC6401"/>
    <w:rsid w:val="00CD553E"/>
    <w:rsid w:val="00CD5A1D"/>
    <w:rsid w:val="00CE404C"/>
    <w:rsid w:val="00CE4057"/>
    <w:rsid w:val="00CE7D9C"/>
    <w:rsid w:val="00CF1EED"/>
    <w:rsid w:val="00CF40FC"/>
    <w:rsid w:val="00D0149A"/>
    <w:rsid w:val="00D02962"/>
    <w:rsid w:val="00D0334D"/>
    <w:rsid w:val="00D06FDA"/>
    <w:rsid w:val="00D1305E"/>
    <w:rsid w:val="00D166DE"/>
    <w:rsid w:val="00D17E63"/>
    <w:rsid w:val="00D2294A"/>
    <w:rsid w:val="00D236D7"/>
    <w:rsid w:val="00D26B6C"/>
    <w:rsid w:val="00D2722D"/>
    <w:rsid w:val="00D308A6"/>
    <w:rsid w:val="00D3164A"/>
    <w:rsid w:val="00D31D6C"/>
    <w:rsid w:val="00D3359D"/>
    <w:rsid w:val="00D33B5B"/>
    <w:rsid w:val="00D43D9C"/>
    <w:rsid w:val="00D4496D"/>
    <w:rsid w:val="00D45C09"/>
    <w:rsid w:val="00D4730D"/>
    <w:rsid w:val="00D548FC"/>
    <w:rsid w:val="00D55F36"/>
    <w:rsid w:val="00D560DC"/>
    <w:rsid w:val="00D60D1B"/>
    <w:rsid w:val="00D650B0"/>
    <w:rsid w:val="00D660B5"/>
    <w:rsid w:val="00D662C9"/>
    <w:rsid w:val="00D66ABD"/>
    <w:rsid w:val="00D732FB"/>
    <w:rsid w:val="00D75094"/>
    <w:rsid w:val="00D827C8"/>
    <w:rsid w:val="00D90783"/>
    <w:rsid w:val="00D947CD"/>
    <w:rsid w:val="00D95D2A"/>
    <w:rsid w:val="00DA2245"/>
    <w:rsid w:val="00DA455C"/>
    <w:rsid w:val="00DA48DB"/>
    <w:rsid w:val="00DA696C"/>
    <w:rsid w:val="00DA764A"/>
    <w:rsid w:val="00DB34F5"/>
    <w:rsid w:val="00DB3679"/>
    <w:rsid w:val="00DB4189"/>
    <w:rsid w:val="00DB5904"/>
    <w:rsid w:val="00DB5CD5"/>
    <w:rsid w:val="00DB786A"/>
    <w:rsid w:val="00DD1956"/>
    <w:rsid w:val="00DD530C"/>
    <w:rsid w:val="00DD5E7B"/>
    <w:rsid w:val="00DE2427"/>
    <w:rsid w:val="00DE409B"/>
    <w:rsid w:val="00DE585E"/>
    <w:rsid w:val="00DE7A77"/>
    <w:rsid w:val="00E000D2"/>
    <w:rsid w:val="00E07E3A"/>
    <w:rsid w:val="00E10301"/>
    <w:rsid w:val="00E143B1"/>
    <w:rsid w:val="00E1522B"/>
    <w:rsid w:val="00E153DB"/>
    <w:rsid w:val="00E15C6C"/>
    <w:rsid w:val="00E311C6"/>
    <w:rsid w:val="00E33E7C"/>
    <w:rsid w:val="00E366F9"/>
    <w:rsid w:val="00E40678"/>
    <w:rsid w:val="00E460B2"/>
    <w:rsid w:val="00E47880"/>
    <w:rsid w:val="00E47EE2"/>
    <w:rsid w:val="00E50EE1"/>
    <w:rsid w:val="00E51619"/>
    <w:rsid w:val="00E521AD"/>
    <w:rsid w:val="00E5225F"/>
    <w:rsid w:val="00E55C27"/>
    <w:rsid w:val="00E576E6"/>
    <w:rsid w:val="00E60207"/>
    <w:rsid w:val="00E6517E"/>
    <w:rsid w:val="00E7345D"/>
    <w:rsid w:val="00E923B9"/>
    <w:rsid w:val="00EA0B18"/>
    <w:rsid w:val="00EA18D7"/>
    <w:rsid w:val="00EA2898"/>
    <w:rsid w:val="00EA63BA"/>
    <w:rsid w:val="00EB0A7F"/>
    <w:rsid w:val="00EB4756"/>
    <w:rsid w:val="00EB706B"/>
    <w:rsid w:val="00EC3F10"/>
    <w:rsid w:val="00ED1E14"/>
    <w:rsid w:val="00ED6885"/>
    <w:rsid w:val="00EF0477"/>
    <w:rsid w:val="00EF4EE7"/>
    <w:rsid w:val="00EF6C1B"/>
    <w:rsid w:val="00F034BE"/>
    <w:rsid w:val="00F16D69"/>
    <w:rsid w:val="00F231B8"/>
    <w:rsid w:val="00F2449F"/>
    <w:rsid w:val="00F24C7A"/>
    <w:rsid w:val="00F258B8"/>
    <w:rsid w:val="00F31FA7"/>
    <w:rsid w:val="00F33335"/>
    <w:rsid w:val="00F42E1F"/>
    <w:rsid w:val="00F46B27"/>
    <w:rsid w:val="00F46BAA"/>
    <w:rsid w:val="00F46EF7"/>
    <w:rsid w:val="00F4726C"/>
    <w:rsid w:val="00F52C02"/>
    <w:rsid w:val="00F57682"/>
    <w:rsid w:val="00F627E6"/>
    <w:rsid w:val="00F64FDB"/>
    <w:rsid w:val="00F6502E"/>
    <w:rsid w:val="00F87EBB"/>
    <w:rsid w:val="00F9160C"/>
    <w:rsid w:val="00F945B0"/>
    <w:rsid w:val="00FA03D8"/>
    <w:rsid w:val="00FA104E"/>
    <w:rsid w:val="00FA1841"/>
    <w:rsid w:val="00FA3109"/>
    <w:rsid w:val="00FA3690"/>
    <w:rsid w:val="00FB0367"/>
    <w:rsid w:val="00FB1933"/>
    <w:rsid w:val="00FB2436"/>
    <w:rsid w:val="00FB2873"/>
    <w:rsid w:val="00FC29CB"/>
    <w:rsid w:val="00FC60E8"/>
    <w:rsid w:val="00FD4E53"/>
    <w:rsid w:val="00FD6663"/>
    <w:rsid w:val="00FD7C2D"/>
    <w:rsid w:val="00FE1D45"/>
    <w:rsid w:val="00FE6B07"/>
    <w:rsid w:val="00FF2461"/>
    <w:rsid w:val="00FF39DF"/>
    <w:rsid w:val="1B31F53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47363E42"/>
  <w15:chartTrackingRefBased/>
  <w15:docId w15:val="{AC8146AC-91C2-4DB2-9FD2-C58B93E9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6A"/>
  </w:style>
  <w:style w:type="paragraph" w:styleId="Heading1">
    <w:name w:val="heading 1"/>
    <w:basedOn w:val="Normal"/>
    <w:next w:val="Normal"/>
    <w:link w:val="Heading1Char"/>
    <w:uiPriority w:val="4"/>
    <w:qFormat/>
    <w:rsid w:val="00F64FDB"/>
    <w:pPr>
      <w:keepNext/>
      <w:keepLines/>
      <w:spacing w:before="320" w:after="160" w:line="420" w:lineRule="atLeast"/>
      <w:outlineLvl w:val="0"/>
    </w:pPr>
    <w:rPr>
      <w:rFonts w:asciiTheme="majorHAnsi" w:eastAsiaTheme="majorEastAsia" w:hAnsiTheme="majorHAnsi" w:cstheme="majorBidi"/>
      <w:b/>
      <w:color w:val="264F90" w:themeColor="accent2"/>
      <w:sz w:val="36"/>
      <w:szCs w:val="32"/>
    </w:rPr>
  </w:style>
  <w:style w:type="paragraph" w:styleId="Heading2">
    <w:name w:val="heading 2"/>
    <w:basedOn w:val="Heading1"/>
    <w:next w:val="Normal"/>
    <w:link w:val="Heading2Char"/>
    <w:uiPriority w:val="4"/>
    <w:unhideWhenUsed/>
    <w:qFormat/>
    <w:rsid w:val="00F64FDB"/>
    <w:pPr>
      <w:spacing w:line="340" w:lineRule="atLeast"/>
      <w:outlineLvl w:val="1"/>
    </w:pPr>
    <w:rPr>
      <w:color w:val="212A4C" w:themeColor="text2"/>
      <w:sz w:val="28"/>
      <w:szCs w:val="26"/>
    </w:rPr>
  </w:style>
  <w:style w:type="paragraph" w:styleId="Heading3">
    <w:name w:val="heading 3"/>
    <w:basedOn w:val="Heading2"/>
    <w:next w:val="Normal"/>
    <w:link w:val="Heading3Char"/>
    <w:uiPriority w:val="4"/>
    <w:unhideWhenUsed/>
    <w:qFormat/>
    <w:rsid w:val="00F64FDB"/>
    <w:pPr>
      <w:spacing w:line="280" w:lineRule="atLeast"/>
      <w:outlineLvl w:val="2"/>
    </w:pPr>
    <w:rPr>
      <w:b w:val="0"/>
      <w:color w:val="264F90" w:themeColor="accent2"/>
      <w:sz w:val="24"/>
      <w:szCs w:val="24"/>
    </w:rPr>
  </w:style>
  <w:style w:type="paragraph" w:styleId="Heading4">
    <w:name w:val="heading 4"/>
    <w:basedOn w:val="Heading3"/>
    <w:next w:val="Normal"/>
    <w:link w:val="Heading4Char"/>
    <w:uiPriority w:val="4"/>
    <w:unhideWhenUsed/>
    <w:qFormat/>
    <w:rsid w:val="003E38FA"/>
    <w:pPr>
      <w:outlineLvl w:val="3"/>
    </w:pPr>
    <w:rPr>
      <w:b/>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val="0"/>
      <w:i/>
      <w:color w:val="264F90"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i/>
      <w:iCs/>
    </w:rPr>
  </w:style>
  <w:style w:type="character" w:styleId="IntenseEmphasis">
    <w:name w:val="Intense Emphasis"/>
    <w:basedOn w:val="DefaultParagraphFont"/>
    <w:uiPriority w:val="21"/>
    <w:qFormat/>
    <w:rsid w:val="00D560DC"/>
    <w:rPr>
      <w:i/>
      <w:iCs/>
      <w:color w:val="212A4C" w:themeColor="accent1"/>
    </w:rPr>
  </w:style>
  <w:style w:type="character" w:styleId="Strong">
    <w:name w:val="Strong"/>
    <w:basedOn w:val="DefaultParagraphFont"/>
    <w:uiPriority w:val="22"/>
    <w:qFormat/>
    <w:rsid w:val="00D560DC"/>
    <w:rPr>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style>
  <w:style w:type="paragraph" w:styleId="Footer">
    <w:name w:val="footer"/>
    <w:basedOn w:val="Normal"/>
    <w:link w:val="FooterChar"/>
    <w:uiPriority w:val="99"/>
    <w:unhideWhenUsed/>
    <w:rsid w:val="00D43D9C"/>
    <w:pPr>
      <w:tabs>
        <w:tab w:val="right" w:pos="9866"/>
      </w:tabs>
      <w:spacing w:after="0" w:line="320" w:lineRule="atLeast"/>
    </w:pPr>
  </w:style>
  <w:style w:type="character" w:customStyle="1" w:styleId="FooterChar">
    <w:name w:val="Footer Char"/>
    <w:basedOn w:val="DefaultParagraphFont"/>
    <w:link w:val="Footer"/>
    <w:uiPriority w:val="99"/>
    <w:rsid w:val="00D43D9C"/>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64FDB"/>
    <w:pPr>
      <w:spacing w:before="0" w:after="0" w:line="240" w:lineRule="auto"/>
      <w:contextualSpacing/>
    </w:pPr>
    <w:rPr>
      <w:b w:val="0"/>
      <w:color w:val="212A4C" w:themeColor="text2"/>
      <w:spacing w:val="-10"/>
      <w:kern w:val="28"/>
      <w:sz w:val="56"/>
      <w:szCs w:val="56"/>
    </w:rPr>
  </w:style>
  <w:style w:type="character" w:customStyle="1" w:styleId="TitleChar">
    <w:name w:val="Title Char"/>
    <w:basedOn w:val="DefaultParagraphFont"/>
    <w:link w:val="Title"/>
    <w:uiPriority w:val="10"/>
    <w:rsid w:val="00F64FDB"/>
    <w:rPr>
      <w:rFonts w:asciiTheme="majorHAnsi" w:eastAsiaTheme="majorEastAsia" w:hAnsiTheme="majorHAnsi" w:cstheme="majorBidi"/>
      <w:color w:val="212A4C" w:themeColor="text2"/>
      <w:spacing w:val="-10"/>
      <w:kern w:val="28"/>
      <w:sz w:val="56"/>
      <w:szCs w:val="56"/>
    </w:rPr>
  </w:style>
  <w:style w:type="character" w:styleId="PlaceholderText">
    <w:name w:val="Placeholder Text"/>
    <w:basedOn w:val="DefaultParagraphFont"/>
    <w:uiPriority w:val="99"/>
    <w:semiHidden/>
    <w:rsid w:val="00D560DC"/>
    <w:rPr>
      <w:color w:val="808080"/>
    </w:rPr>
  </w:style>
  <w:style w:type="character" w:customStyle="1" w:styleId="Heading2Char">
    <w:name w:val="Heading 2 Char"/>
    <w:basedOn w:val="DefaultParagraphFont"/>
    <w:link w:val="Heading2"/>
    <w:uiPriority w:val="4"/>
    <w:rsid w:val="008A340B"/>
    <w:rPr>
      <w:rFonts w:asciiTheme="majorHAnsi" w:eastAsiaTheme="majorEastAsia" w:hAnsiTheme="majorHAnsi" w:cstheme="majorBidi"/>
      <w:b/>
      <w:color w:val="212A4C" w:themeColor="text2"/>
      <w:sz w:val="28"/>
      <w:szCs w:val="26"/>
    </w:rPr>
  </w:style>
  <w:style w:type="character" w:customStyle="1" w:styleId="Heading1Char">
    <w:name w:val="Heading 1 Char"/>
    <w:basedOn w:val="DefaultParagraphFont"/>
    <w:link w:val="Heading1"/>
    <w:uiPriority w:val="4"/>
    <w:rsid w:val="008A340B"/>
    <w:rPr>
      <w:rFonts w:asciiTheme="majorHAnsi" w:eastAsiaTheme="majorEastAsia" w:hAnsiTheme="majorHAnsi" w:cstheme="majorBidi"/>
      <w:b/>
      <w:color w:val="264F90" w:themeColor="accent2"/>
      <w:sz w:val="36"/>
      <w:szCs w:val="32"/>
    </w:rPr>
  </w:style>
  <w:style w:type="character" w:customStyle="1" w:styleId="Heading3Char">
    <w:name w:val="Heading 3 Char"/>
    <w:basedOn w:val="DefaultParagraphFont"/>
    <w:link w:val="Heading3"/>
    <w:uiPriority w:val="4"/>
    <w:rsid w:val="008A340B"/>
    <w:rPr>
      <w:rFonts w:asciiTheme="majorHAnsi" w:eastAsiaTheme="majorEastAsia" w:hAnsiTheme="majorHAnsi" w:cstheme="majorBidi"/>
      <w:color w:val="264F90" w:themeColor="accent2"/>
      <w:sz w:val="24"/>
      <w:szCs w:val="24"/>
    </w:rPr>
  </w:style>
  <w:style w:type="character" w:customStyle="1" w:styleId="Heading4Char">
    <w:name w:val="Heading 4 Char"/>
    <w:basedOn w:val="DefaultParagraphFont"/>
    <w:link w:val="Heading4"/>
    <w:uiPriority w:val="4"/>
    <w:rsid w:val="003E38FA"/>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061D6A"/>
    <w:pPr>
      <w:numPr>
        <w:numId w:val="2"/>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F64FDB"/>
    <w:pPr>
      <w:spacing w:before="320" w:after="320" w:line="340" w:lineRule="atLeast"/>
    </w:pPr>
    <w:rPr>
      <w:color w:val="176CB5" w:themeColor="accent3"/>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sz w:val="24"/>
    </w:rPr>
  </w:style>
  <w:style w:type="character" w:customStyle="1" w:styleId="QuoteChar">
    <w:name w:val="Quote Char"/>
    <w:basedOn w:val="DefaultParagraphFont"/>
    <w:link w:val="Quote"/>
    <w:uiPriority w:val="29"/>
    <w:rsid w:val="00061D6A"/>
    <w:rPr>
      <w:iCs/>
      <w:color w:val="176CB5" w:themeColor="accent3"/>
      <w:sz w:val="24"/>
    </w:rPr>
  </w:style>
  <w:style w:type="paragraph" w:customStyle="1" w:styleId="BoxQuote">
    <w:name w:val="Box Quote"/>
    <w:basedOn w:val="Quote"/>
    <w:uiPriority w:val="12"/>
    <w:qFormat/>
    <w:rsid w:val="00F24C7A"/>
    <w:pPr>
      <w:pBdr>
        <w:top w:val="single" w:sz="4" w:space="14" w:color="DAECFA"/>
        <w:left w:val="single" w:sz="4" w:space="14" w:color="264F90" w:themeColor="accent2"/>
        <w:bottom w:val="single" w:sz="4" w:space="14" w:color="DAECFA"/>
        <w:right w:val="single" w:sz="4" w:space="14" w:color="DAECFA"/>
      </w:pBdr>
      <w:shd w:val="clear" w:color="auto" w:fill="DFE7F6"/>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061D6A"/>
    <w:pPr>
      <w:numPr>
        <w:numId w:val="2"/>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D06FDA"/>
    <w:pPr>
      <w:spacing w:before="80" w:line="240" w:lineRule="auto"/>
    </w:pPr>
    <w:tblPr>
      <w:tblStyleRowBandSize w:val="1"/>
      <w:tblStyleColBandSize w:val="1"/>
      <w:tblBorders>
        <w:top w:val="single" w:sz="4" w:space="0" w:color="176CB5" w:themeColor="accent3"/>
        <w:bottom w:val="single" w:sz="4" w:space="0" w:color="176CB5" w:themeColor="accent3"/>
        <w:insideH w:val="single" w:sz="4" w:space="0" w:color="176CB5" w:themeColor="accent3"/>
      </w:tblBorders>
      <w:tblCellMar>
        <w:top w:w="57" w:type="dxa"/>
        <w:bottom w:w="57" w:type="dxa"/>
      </w:tblCellMar>
    </w:tblPr>
    <w:tcPr>
      <w:shd w:val="clear" w:color="auto" w:fill="auto"/>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customStyle="1" w:styleId="IconBox1Heading">
    <w:name w:val="Icon Box 1 Heading"/>
    <w:basedOn w:val="Heading1"/>
    <w:uiPriority w:val="15"/>
    <w:qFormat/>
    <w:rsid w:val="00BA4643"/>
    <w:pPr>
      <w:spacing w:before="480"/>
      <w:ind w:left="3402" w:right="284"/>
      <w:outlineLvl w:val="2"/>
    </w:pPr>
  </w:style>
  <w:style w:type="paragraph" w:customStyle="1" w:styleId="IconBox1Text">
    <w:name w:val="Icon Box 1 Text"/>
    <w:basedOn w:val="Normal"/>
    <w:uiPriority w:val="15"/>
    <w:qFormat/>
    <w:rsid w:val="004B3D3F"/>
    <w:pPr>
      <w:ind w:left="3402" w:right="283"/>
    </w:pPr>
  </w:style>
  <w:style w:type="paragraph" w:customStyle="1" w:styleId="IconBox1Bullet">
    <w:name w:val="Icon Box 1 Bullet"/>
    <w:basedOn w:val="IconBox1Text"/>
    <w:uiPriority w:val="16"/>
    <w:qFormat/>
    <w:rsid w:val="004B3D3F"/>
    <w:pPr>
      <w:numPr>
        <w:numId w:val="3"/>
      </w:numPr>
      <w:spacing w:before="80"/>
      <w:ind w:left="3686" w:hanging="284"/>
    </w:pPr>
  </w:style>
  <w:style w:type="paragraph" w:customStyle="1" w:styleId="IconBox2Heading">
    <w:name w:val="Icon Box 2 Heading"/>
    <w:basedOn w:val="IconBox1Heading"/>
    <w:uiPriority w:val="17"/>
    <w:qFormat/>
    <w:rsid w:val="00BA4643"/>
    <w:rPr>
      <w:color w:val="FFFFFF" w:themeColor="background1"/>
    </w:rPr>
  </w:style>
  <w:style w:type="paragraph" w:customStyle="1" w:styleId="IconBox2Text">
    <w:name w:val="Icon Box 2 Text"/>
    <w:basedOn w:val="IconBox1Text"/>
    <w:uiPriority w:val="17"/>
    <w:qFormat/>
    <w:rsid w:val="004B3D3F"/>
    <w:pPr>
      <w:spacing w:after="160" w:line="340" w:lineRule="atLeast"/>
      <w:ind w:right="284"/>
    </w:pPr>
    <w:rPr>
      <w:color w:val="FFFFFF" w:themeColor="background1"/>
      <w:sz w:val="28"/>
    </w:rPr>
  </w:style>
  <w:style w:type="paragraph" w:customStyle="1" w:styleId="IconBox2Bullet">
    <w:name w:val="Icon Box 2 Bullet"/>
    <w:basedOn w:val="IconBox1Bullet"/>
    <w:uiPriority w:val="18"/>
    <w:qFormat/>
    <w:rsid w:val="004B3D3F"/>
    <w:pPr>
      <w:numPr>
        <w:numId w:val="4"/>
      </w:numPr>
    </w:pPr>
    <w:rPr>
      <w:color w:val="FFFFFF" w:themeColor="background1"/>
    </w:r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8A340B"/>
    <w:pPr>
      <w:spacing w:before="0" w:after="0"/>
    </w:p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BA4643"/>
    <w:rPr>
      <w:color w:val="0046FF" w:themeColor="hyperlink"/>
      <w:u w:val="single"/>
    </w:rPr>
  </w:style>
  <w:style w:type="paragraph" w:styleId="ListParagraph">
    <w:name w:val="List Paragraph"/>
    <w:aliases w:val="Bullet point,L,List Paragraph - bullets,List Paragraph1,List Paragraph11,NFP GP Bulleted List,Recommendation,bullet point list,AR bullet 1,Bullet Point,Bullet Points,Bullet points,Bulletr List Paragraph,CV text,Content descriptions,Dot pt"/>
    <w:basedOn w:val="Normal"/>
    <w:link w:val="ListParagraphChar"/>
    <w:uiPriority w:val="34"/>
    <w:qFormat/>
    <w:rsid w:val="00C554AF"/>
    <w:pPr>
      <w:ind w:left="720"/>
      <w:contextualSpacing/>
    </w:pPr>
  </w:style>
  <w:style w:type="character" w:styleId="CommentReference">
    <w:name w:val="annotation reference"/>
    <w:basedOn w:val="DefaultParagraphFont"/>
    <w:uiPriority w:val="99"/>
    <w:semiHidden/>
    <w:unhideWhenUsed/>
    <w:rsid w:val="00755BF6"/>
    <w:rPr>
      <w:sz w:val="16"/>
      <w:szCs w:val="16"/>
    </w:rPr>
  </w:style>
  <w:style w:type="paragraph" w:styleId="CommentText">
    <w:name w:val="annotation text"/>
    <w:basedOn w:val="Normal"/>
    <w:link w:val="CommentTextChar"/>
    <w:uiPriority w:val="99"/>
    <w:semiHidden/>
    <w:unhideWhenUsed/>
    <w:rsid w:val="00755BF6"/>
    <w:pPr>
      <w:spacing w:line="240" w:lineRule="auto"/>
    </w:pPr>
  </w:style>
  <w:style w:type="character" w:customStyle="1" w:styleId="CommentTextChar">
    <w:name w:val="Comment Text Char"/>
    <w:basedOn w:val="DefaultParagraphFont"/>
    <w:link w:val="CommentText"/>
    <w:uiPriority w:val="99"/>
    <w:semiHidden/>
    <w:rsid w:val="00755BF6"/>
  </w:style>
  <w:style w:type="paragraph" w:styleId="CommentSubject">
    <w:name w:val="annotation subject"/>
    <w:basedOn w:val="CommentText"/>
    <w:next w:val="CommentText"/>
    <w:link w:val="CommentSubjectChar"/>
    <w:uiPriority w:val="99"/>
    <w:semiHidden/>
    <w:unhideWhenUsed/>
    <w:rsid w:val="00755BF6"/>
    <w:rPr>
      <w:b/>
      <w:bCs/>
    </w:rPr>
  </w:style>
  <w:style w:type="character" w:customStyle="1" w:styleId="CommentSubjectChar">
    <w:name w:val="Comment Subject Char"/>
    <w:basedOn w:val="CommentTextChar"/>
    <w:link w:val="CommentSubject"/>
    <w:uiPriority w:val="99"/>
    <w:semiHidden/>
    <w:rsid w:val="00755BF6"/>
    <w:rPr>
      <w:b/>
      <w:bCs/>
    </w:rPr>
  </w:style>
  <w:style w:type="paragraph" w:styleId="BalloonText">
    <w:name w:val="Balloon Text"/>
    <w:basedOn w:val="Normal"/>
    <w:link w:val="BalloonTextChar"/>
    <w:uiPriority w:val="99"/>
    <w:semiHidden/>
    <w:unhideWhenUsed/>
    <w:rsid w:val="00755BF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BF6"/>
    <w:rPr>
      <w:rFonts w:ascii="Segoe UI" w:hAnsi="Segoe UI" w:cs="Segoe UI"/>
      <w:sz w:val="18"/>
      <w:szCs w:val="18"/>
    </w:rPr>
  </w:style>
  <w:style w:type="character" w:customStyle="1" w:styleId="ListParagraphChar">
    <w:name w:val="List Paragraph Char"/>
    <w:aliases w:val="Bullet point Char,L Char,List Paragraph - bullets Char,List Paragraph1 Char,List Paragraph11 Char,NFP GP Bulleted List Char,Recommendation Char,bullet point list Char,AR bullet 1 Char,Bullet Point Char,Bullet Points Char,CV text Char"/>
    <w:basedOn w:val="DefaultParagraphFont"/>
    <w:link w:val="ListParagraph"/>
    <w:uiPriority w:val="34"/>
    <w:qFormat/>
    <w:locked/>
    <w:rsid w:val="00E55C27"/>
  </w:style>
  <w:style w:type="paragraph" w:styleId="ListBullet2">
    <w:name w:val="List Bullet 2"/>
    <w:basedOn w:val="Normal"/>
    <w:uiPriority w:val="99"/>
    <w:unhideWhenUsed/>
    <w:rsid w:val="00D3164A"/>
    <w:pPr>
      <w:tabs>
        <w:tab w:val="num" w:pos="720"/>
      </w:tabs>
      <w:spacing w:before="0" w:after="160" w:line="264" w:lineRule="auto"/>
      <w:ind w:left="720" w:hanging="360"/>
    </w:pPr>
    <w:rPr>
      <w:rFonts w:eastAsiaTheme="minorHAnsi"/>
      <w:color w:val="auto"/>
      <w:szCs w:val="26"/>
      <w:lang w:val="en-US" w:eastAsia="ja-JP"/>
    </w:rPr>
  </w:style>
  <w:style w:type="character" w:styleId="FollowedHyperlink">
    <w:name w:val="FollowedHyperlink"/>
    <w:basedOn w:val="DefaultParagraphFont"/>
    <w:uiPriority w:val="99"/>
    <w:semiHidden/>
    <w:unhideWhenUsed/>
    <w:rsid w:val="00157EFE"/>
    <w:rPr>
      <w:color w:val="0046FF" w:themeColor="followedHyperlink"/>
      <w:u w:val="single"/>
    </w:rPr>
  </w:style>
  <w:style w:type="character" w:customStyle="1" w:styleId="ui-provider">
    <w:name w:val="ui-provider"/>
    <w:basedOn w:val="DefaultParagraphFont"/>
    <w:rsid w:val="0082349C"/>
  </w:style>
  <w:style w:type="character" w:styleId="UnresolvedMention">
    <w:name w:val="Unresolved Mention"/>
    <w:basedOn w:val="DefaultParagraphFont"/>
    <w:uiPriority w:val="99"/>
    <w:semiHidden/>
    <w:unhideWhenUsed/>
    <w:rsid w:val="00776A97"/>
    <w:rPr>
      <w:color w:val="605E5C"/>
      <w:shd w:val="clear" w:color="auto" w:fill="E1DFDD"/>
    </w:rPr>
  </w:style>
  <w:style w:type="paragraph" w:styleId="Revision">
    <w:name w:val="Revision"/>
    <w:hidden/>
    <w:uiPriority w:val="99"/>
    <w:semiHidden/>
    <w:rsid w:val="00CE7D9C"/>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954">
      <w:bodyDiv w:val="1"/>
      <w:marLeft w:val="0"/>
      <w:marRight w:val="0"/>
      <w:marTop w:val="0"/>
      <w:marBottom w:val="0"/>
      <w:divBdr>
        <w:top w:val="none" w:sz="0" w:space="0" w:color="auto"/>
        <w:left w:val="none" w:sz="0" w:space="0" w:color="auto"/>
        <w:bottom w:val="none" w:sz="0" w:space="0" w:color="auto"/>
        <w:right w:val="none" w:sz="0" w:space="0" w:color="auto"/>
      </w:divBdr>
    </w:div>
    <w:div w:id="569659426">
      <w:bodyDiv w:val="1"/>
      <w:marLeft w:val="0"/>
      <w:marRight w:val="0"/>
      <w:marTop w:val="0"/>
      <w:marBottom w:val="0"/>
      <w:divBdr>
        <w:top w:val="none" w:sz="0" w:space="0" w:color="auto"/>
        <w:left w:val="none" w:sz="0" w:space="0" w:color="auto"/>
        <w:bottom w:val="none" w:sz="0" w:space="0" w:color="auto"/>
        <w:right w:val="none" w:sz="0" w:space="0" w:color="auto"/>
      </w:divBdr>
    </w:div>
    <w:div w:id="867328303">
      <w:bodyDiv w:val="1"/>
      <w:marLeft w:val="0"/>
      <w:marRight w:val="0"/>
      <w:marTop w:val="0"/>
      <w:marBottom w:val="0"/>
      <w:divBdr>
        <w:top w:val="none" w:sz="0" w:space="0" w:color="auto"/>
        <w:left w:val="none" w:sz="0" w:space="0" w:color="auto"/>
        <w:bottom w:val="none" w:sz="0" w:space="0" w:color="auto"/>
        <w:right w:val="none" w:sz="0" w:space="0" w:color="auto"/>
      </w:divBdr>
    </w:div>
    <w:div w:id="1065950833">
      <w:bodyDiv w:val="1"/>
      <w:marLeft w:val="0"/>
      <w:marRight w:val="0"/>
      <w:marTop w:val="0"/>
      <w:marBottom w:val="0"/>
      <w:divBdr>
        <w:top w:val="none" w:sz="0" w:space="0" w:color="auto"/>
        <w:left w:val="none" w:sz="0" w:space="0" w:color="auto"/>
        <w:bottom w:val="none" w:sz="0" w:space="0" w:color="auto"/>
        <w:right w:val="none" w:sz="0" w:space="0" w:color="auto"/>
      </w:divBdr>
    </w:div>
    <w:div w:id="1123307490">
      <w:bodyDiv w:val="1"/>
      <w:marLeft w:val="0"/>
      <w:marRight w:val="0"/>
      <w:marTop w:val="0"/>
      <w:marBottom w:val="0"/>
      <w:divBdr>
        <w:top w:val="none" w:sz="0" w:space="0" w:color="auto"/>
        <w:left w:val="none" w:sz="0" w:space="0" w:color="auto"/>
        <w:bottom w:val="none" w:sz="0" w:space="0" w:color="auto"/>
        <w:right w:val="none" w:sz="0" w:space="0" w:color="auto"/>
      </w:divBdr>
    </w:div>
    <w:div w:id="1257834154">
      <w:bodyDiv w:val="1"/>
      <w:marLeft w:val="0"/>
      <w:marRight w:val="0"/>
      <w:marTop w:val="0"/>
      <w:marBottom w:val="0"/>
      <w:divBdr>
        <w:top w:val="none" w:sz="0" w:space="0" w:color="auto"/>
        <w:left w:val="none" w:sz="0" w:space="0" w:color="auto"/>
        <w:bottom w:val="none" w:sz="0" w:space="0" w:color="auto"/>
        <w:right w:val="none" w:sz="0" w:space="0" w:color="auto"/>
      </w:divBdr>
    </w:div>
    <w:div w:id="1470443206">
      <w:bodyDiv w:val="1"/>
      <w:marLeft w:val="0"/>
      <w:marRight w:val="0"/>
      <w:marTop w:val="0"/>
      <w:marBottom w:val="0"/>
      <w:divBdr>
        <w:top w:val="none" w:sz="0" w:space="0" w:color="auto"/>
        <w:left w:val="none" w:sz="0" w:space="0" w:color="auto"/>
        <w:bottom w:val="none" w:sz="0" w:space="0" w:color="auto"/>
        <w:right w:val="none" w:sz="0" w:space="0" w:color="auto"/>
      </w:divBdr>
    </w:div>
    <w:div w:id="1526596191">
      <w:bodyDiv w:val="1"/>
      <w:marLeft w:val="0"/>
      <w:marRight w:val="0"/>
      <w:marTop w:val="0"/>
      <w:marBottom w:val="0"/>
      <w:divBdr>
        <w:top w:val="none" w:sz="0" w:space="0" w:color="auto"/>
        <w:left w:val="none" w:sz="0" w:space="0" w:color="auto"/>
        <w:bottom w:val="none" w:sz="0" w:space="0" w:color="auto"/>
        <w:right w:val="none" w:sz="0" w:space="0" w:color="auto"/>
      </w:divBdr>
    </w:div>
    <w:div w:id="1538664542">
      <w:bodyDiv w:val="1"/>
      <w:marLeft w:val="0"/>
      <w:marRight w:val="0"/>
      <w:marTop w:val="0"/>
      <w:marBottom w:val="0"/>
      <w:divBdr>
        <w:top w:val="none" w:sz="0" w:space="0" w:color="auto"/>
        <w:left w:val="none" w:sz="0" w:space="0" w:color="auto"/>
        <w:bottom w:val="none" w:sz="0" w:space="0" w:color="auto"/>
        <w:right w:val="none" w:sz="0" w:space="0" w:color="auto"/>
      </w:divBdr>
    </w:div>
    <w:div w:id="1755128947">
      <w:bodyDiv w:val="1"/>
      <w:marLeft w:val="0"/>
      <w:marRight w:val="0"/>
      <w:marTop w:val="0"/>
      <w:marBottom w:val="0"/>
      <w:divBdr>
        <w:top w:val="none" w:sz="0" w:space="0" w:color="auto"/>
        <w:left w:val="none" w:sz="0" w:space="0" w:color="auto"/>
        <w:bottom w:val="none" w:sz="0" w:space="0" w:color="auto"/>
        <w:right w:val="none" w:sz="0" w:space="0" w:color="auto"/>
      </w:divBdr>
    </w:div>
    <w:div w:id="1764884665">
      <w:bodyDiv w:val="1"/>
      <w:marLeft w:val="0"/>
      <w:marRight w:val="0"/>
      <w:marTop w:val="0"/>
      <w:marBottom w:val="0"/>
      <w:divBdr>
        <w:top w:val="none" w:sz="0" w:space="0" w:color="auto"/>
        <w:left w:val="none" w:sz="0" w:space="0" w:color="auto"/>
        <w:bottom w:val="none" w:sz="0" w:space="0" w:color="auto"/>
        <w:right w:val="none" w:sz="0" w:space="0" w:color="auto"/>
      </w:divBdr>
    </w:div>
    <w:div w:id="1783497290">
      <w:bodyDiv w:val="1"/>
      <w:marLeft w:val="0"/>
      <w:marRight w:val="0"/>
      <w:marTop w:val="0"/>
      <w:marBottom w:val="0"/>
      <w:divBdr>
        <w:top w:val="none" w:sz="0" w:space="0" w:color="auto"/>
        <w:left w:val="none" w:sz="0" w:space="0" w:color="auto"/>
        <w:bottom w:val="none" w:sz="0" w:space="0" w:color="auto"/>
        <w:right w:val="none" w:sz="0" w:space="0" w:color="auto"/>
      </w:divBdr>
    </w:div>
    <w:div w:id="1811902442">
      <w:bodyDiv w:val="1"/>
      <w:marLeft w:val="0"/>
      <w:marRight w:val="0"/>
      <w:marTop w:val="0"/>
      <w:marBottom w:val="0"/>
      <w:divBdr>
        <w:top w:val="none" w:sz="0" w:space="0" w:color="auto"/>
        <w:left w:val="none" w:sz="0" w:space="0" w:color="auto"/>
        <w:bottom w:val="none" w:sz="0" w:space="0" w:color="auto"/>
        <w:right w:val="none" w:sz="0" w:space="0" w:color="auto"/>
      </w:divBdr>
    </w:div>
    <w:div w:id="1994287712">
      <w:bodyDiv w:val="1"/>
      <w:marLeft w:val="0"/>
      <w:marRight w:val="0"/>
      <w:marTop w:val="0"/>
      <w:marBottom w:val="0"/>
      <w:divBdr>
        <w:top w:val="none" w:sz="0" w:space="0" w:color="auto"/>
        <w:left w:val="none" w:sz="0" w:space="0" w:color="auto"/>
        <w:bottom w:val="none" w:sz="0" w:space="0" w:color="auto"/>
        <w:right w:val="none" w:sz="0" w:space="0" w:color="auto"/>
      </w:divBdr>
    </w:div>
    <w:div w:id="2031299449">
      <w:bodyDiv w:val="1"/>
      <w:marLeft w:val="0"/>
      <w:marRight w:val="0"/>
      <w:marTop w:val="0"/>
      <w:marBottom w:val="0"/>
      <w:divBdr>
        <w:top w:val="none" w:sz="0" w:space="0" w:color="auto"/>
        <w:left w:val="none" w:sz="0" w:space="0" w:color="auto"/>
        <w:bottom w:val="none" w:sz="0" w:space="0" w:color="auto"/>
        <w:right w:val="none" w:sz="0" w:space="0" w:color="auto"/>
      </w:divBdr>
    </w:div>
    <w:div w:id="2045668027">
      <w:bodyDiv w:val="1"/>
      <w:marLeft w:val="0"/>
      <w:marRight w:val="0"/>
      <w:marTop w:val="0"/>
      <w:marBottom w:val="0"/>
      <w:divBdr>
        <w:top w:val="none" w:sz="0" w:space="0" w:color="auto"/>
        <w:left w:val="none" w:sz="0" w:space="0" w:color="auto"/>
        <w:bottom w:val="none" w:sz="0" w:space="0" w:color="auto"/>
        <w:right w:val="none" w:sz="0" w:space="0" w:color="auto"/>
      </w:divBdr>
    </w:div>
    <w:div w:id="210641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ndustry.gov.au/people/organisation-chart" TargetMode="External"/><Relationship Id="rId18" Type="http://schemas.openxmlformats.org/officeDocument/2006/relationships/hyperlink" Target="https://business.gov.au/grants-and-programs/research-and-development-tax-incentive/getting-help-from-a-research-service-provider/list-of-research-service-provider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rsp@industry.gov.au" TargetMode="External"/><Relationship Id="rId7" Type="http://schemas.openxmlformats.org/officeDocument/2006/relationships/styles" Target="styles.xml"/><Relationship Id="rId12" Type="http://schemas.openxmlformats.org/officeDocument/2006/relationships/hyperlink" Target="mailto:digitalgames@arts.gov.au" TargetMode="External"/><Relationship Id="rId17" Type="http://schemas.openxmlformats.org/officeDocument/2006/relationships/hyperlink" Target="https://business.gov.au/grants-and-programs/research-and-development-tax-incentive/getting-help-from-a-research-service-provider"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rdti.engagement@industry.gov.au" TargetMode="External"/><Relationship Id="rId20" Type="http://schemas.openxmlformats.org/officeDocument/2006/relationships/hyperlink" Target="https://business.gov.au/grants-and-programs/research-and-development-tax-incentive/customer-portal-help-and-suppor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business.gov.au/grants-and-programs/research-and-development-tax-incentive/latest-updates-to-the-rdti-content?mc_cid=e4e6e5a986&amp;mc_eid=afd1a2b7bc&amp;mc_cid=e4e6e5a986&amp;mc_eid=afd1a2b7bc"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business.gov.au/grants-and-programs/research-and-development-tax-incentive/getting-help-from-a-research-service-provider/list-of-research-service-provide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usiness.gov.au/grants-and-programs/research-and-development-tax-incentive/events-and-information-sessions" TargetMode="External"/><Relationship Id="rId22" Type="http://schemas.openxmlformats.org/officeDocument/2006/relationships/image" Target="media/image1.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073702B1C25647A67EAEBFEAC27B4F" ma:contentTypeVersion="14" ma:contentTypeDescription="Create a new document." ma:contentTypeScope="" ma:versionID="b0cadbdfb1af509336a17c6c5aa4135c">
  <xsd:schema xmlns:xsd="http://www.w3.org/2001/XMLSchema" xmlns:xs="http://www.w3.org/2001/XMLSchema" xmlns:p="http://schemas.microsoft.com/office/2006/metadata/properties" xmlns:ns1="http://schemas.microsoft.com/sharepoint/v3" xmlns:ns2="a36bd50b-1532-4c22-b385-5c082c960938" xmlns:ns3="2a251b7e-61e4-4816-a71f-b295a9ad20fb" targetNamespace="http://schemas.microsoft.com/office/2006/metadata/properties" ma:root="true" ma:fieldsID="f8b3d80a667403b218ca32407771147b" ns1:_="" ns2:_="" ns3:_="">
    <xsd:import namespace="http://schemas.microsoft.com/sharepoint/v3"/>
    <xsd:import namespace="a36bd50b-1532-4c22-b385-5c082c960938"/>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Meeting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MeetingDate" ma:index="23" nillable="true" ma:displayName="Meeting Date" ma:description="Date of the meeting (DD/MM/YYYY)" ma:format="DateOnly" ma:internalName="DocHub_Meeting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a36bd50b-1532-4c22-b385-5c082c960938">
      <Terms xmlns="http://schemas.microsoft.com/office/infopath/2007/PartnerControls">
        <TermInfo xmlns="http://schemas.microsoft.com/office/infopath/2007/PartnerControls">
          <TermName>Talk Points</TermName>
          <TermId>259d99c0-c8be-434c-8d1e-2e7c8cd146e5</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Roundtable</TermName>
          <TermId xmlns="http://schemas.microsoft.com/office/infopath/2007/PartnerControls">1b43a101-ca18-4ba8-b830-236cb84c9453</TermId>
        </TermInfo>
        <TermInfo xmlns="http://schemas.microsoft.com/office/infopath/2007/PartnerControls">
          <TermName xmlns="http://schemas.microsoft.com/office/infopath/2007/PartnerControls">Engagement</TermName>
          <TermId xmlns="http://schemas.microsoft.com/office/infopath/2007/PartnerControls">69be3788-1130-41d9-8269-9fdc04c2deb9</TermId>
        </TermInfo>
      </Terms>
    </adb9bed2e36e4a93af574aeb444da63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a36bd50b-1532-4c22-b385-5c082c960938">
      <Value>2886</Value>
      <Value>36882</Value>
      <Value>3</Value>
      <Value>40989</Value>
      <Value>18</Value>
      <Value>614</Value>
    </TaxCatchAll>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805ad0cb-164b-47a7-a552-b10534128590</TermId>
        </TermInfo>
      </Terms>
    </g7bcb40ba23249a78edca7d43a67c1c9>
    <_dlc_DocId xmlns="a36bd50b-1532-4c22-b385-5c082c960938">YZXQVS7QACYM-2114359073-9701</_dlc_DocId>
    <_dlc_DocIdUrl xmlns="a36bd50b-1532-4c22-b385-5c082c960938">
      <Url>https://dochub/div/ausindustry/programmesprojectstaskforces/rdti/_layouts/15/DocIdRedir.aspx?ID=YZXQVS7QACYM-2114359073-9701</Url>
      <Description>YZXQVS7QACYM-2114359073-9701</Description>
    </_dlc_DocIdUrl>
    <DocHub_MeetingDate xmlns="a36bd50b-1532-4c22-b385-5c082c960938" xsi:nil="true"/>
  </documentManagement>
</p:properties>
</file>

<file path=customXml/itemProps1.xml><?xml version="1.0" encoding="utf-8"?>
<ds:datastoreItem xmlns:ds="http://schemas.openxmlformats.org/officeDocument/2006/customXml" ds:itemID="{C3427368-38A5-4D83-88F3-6DBF9C929621}">
  <ds:schemaRefs>
    <ds:schemaRef ds:uri="http://schemas.microsoft.com/sharepoint/events"/>
  </ds:schemaRefs>
</ds:datastoreItem>
</file>

<file path=customXml/itemProps2.xml><?xml version="1.0" encoding="utf-8"?>
<ds:datastoreItem xmlns:ds="http://schemas.openxmlformats.org/officeDocument/2006/customXml" ds:itemID="{8B6E58AE-8B17-46C6-8520-46DBB4A1F017}">
  <ds:schemaRefs>
    <ds:schemaRef ds:uri="http://schemas.openxmlformats.org/officeDocument/2006/bibliography"/>
  </ds:schemaRefs>
</ds:datastoreItem>
</file>

<file path=customXml/itemProps3.xml><?xml version="1.0" encoding="utf-8"?>
<ds:datastoreItem xmlns:ds="http://schemas.openxmlformats.org/officeDocument/2006/customXml" ds:itemID="{72A79A79-EB6D-4C71-A6F8-9A6854A032E7}">
  <ds:schemaRefs>
    <ds:schemaRef ds:uri="http://schemas.microsoft.com/sharepoint/v3/contenttype/forms"/>
  </ds:schemaRefs>
</ds:datastoreItem>
</file>

<file path=customXml/itemProps4.xml><?xml version="1.0" encoding="utf-8"?>
<ds:datastoreItem xmlns:ds="http://schemas.openxmlformats.org/officeDocument/2006/customXml" ds:itemID="{32DB05F4-4022-4550-8BD7-5DFBE92D4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7C6C70-35E8-421B-BB2C-6F13C83C472A}">
  <ds:schemaRefs>
    <ds:schemaRef ds:uri="http://schemas.microsoft.com/office/2006/documentManagement/types"/>
    <ds:schemaRef ds:uri="a36bd50b-1532-4c22-b385-5c082c960938"/>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infopath/2007/PartnerControls"/>
    <ds:schemaRef ds:uri="2a251b7e-61e4-4816-a71f-b295a9ad20fb"/>
    <ds:schemaRef ds:uri="http://schemas.microsoft.com/sharepoint/v3"/>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4500</Words>
  <Characters>25651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Tymkiw, Anita</dc:creator>
  <cp:keywords/>
  <dc:description/>
  <cp:lastModifiedBy>McMahon, Emily</cp:lastModifiedBy>
  <cp:revision>4</cp:revision>
  <cp:lastPrinted>2023-04-20T04:23:00Z</cp:lastPrinted>
  <dcterms:created xsi:type="dcterms:W3CDTF">2023-05-10T22:49:00Z</dcterms:created>
  <dcterms:modified xsi:type="dcterms:W3CDTF">2023-05-11T04:27:00Z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0x0101000D073702B1C25647A67EAEBFEAC27B4F</vt:lpwstr>
  </property>
  <property fmtid="{D5CDD505-2E9C-101B-9397-08002B2CF9AE}" pid="3" name="_dlc_DocIdItemGuid">
    <vt:lpwstr>7beebd57-55ee-476e-b86a-286c59ae5ab9</vt:lpwstr>
  </property>
  <property fmtid="{D5CDD505-2E9C-101B-9397-08002B2CF9AE}" pid="4" name="DocHub_Year">
    <vt:lpwstr>36882;#2022|4a777a70-2aa9-481e-a746-cca47d761c8e</vt:lpwstr>
  </property>
  <property fmtid="{D5CDD505-2E9C-101B-9397-08002B2CF9AE}" pid="5" name="DocHub_DocumentType">
    <vt:lpwstr>614;#Talk Points|259d99c0-c8be-434c-8d1e-2e7c8cd146e5</vt:lpwstr>
  </property>
  <property fmtid="{D5CDD505-2E9C-101B-9397-08002B2CF9AE}" pid="6" name="DocHub_SecurityClassification">
    <vt:lpwstr>3;#OFFICIAL|6106d03b-a1a0-4e30-9d91-d5e9fb4314f9</vt:lpwstr>
  </property>
  <property fmtid="{D5CDD505-2E9C-101B-9397-08002B2CF9AE}" pid="7" name="DocHub_Keywords">
    <vt:lpwstr>40989;#Roundtable|1b43a101-ca18-4ba8-b830-236cb84c9453;#2886;#Engagement|69be3788-1130-41d9-8269-9fdc04c2deb9</vt:lpwstr>
  </property>
  <property fmtid="{D5CDD505-2E9C-101B-9397-08002B2CF9AE}" pid="8" name="DocHub_Division">
    <vt:lpwstr>111;#Common|8a2f92e9-1da3-4088-a90a-dd57315f71b9</vt:lpwstr>
  </property>
  <property fmtid="{D5CDD505-2E9C-101B-9397-08002B2CF9AE}" pid="9" name="DocHub_WorkActivity">
    <vt:lpwstr>18;#Meetings|805ad0cb-164b-47a7-a552-b10534128590</vt:lpwstr>
  </property>
  <property fmtid="{D5CDD505-2E9C-101B-9397-08002B2CF9AE}" pid="10" name="DocHub_CommsTemplateTopics">
    <vt:lpwstr>41970;#R＆D Tax Incentive|2f96d19e-ff06-41a3-af8f-e31ddc169295</vt:lpwstr>
  </property>
  <property fmtid="{D5CDD505-2E9C-101B-9397-08002B2CF9AE}" pid="11" name="DocHub_EntityCustomer">
    <vt:lpwstr/>
  </property>
  <property fmtid="{D5CDD505-2E9C-101B-9397-08002B2CF9AE}" pid="12" name="DocHub_DSOSection">
    <vt:lpwstr>20844;#Stakeholder Engagement|07e4cd81-7a18-4e45-b3c4-b652921e6ecc</vt:lpwstr>
  </property>
  <property fmtid="{D5CDD505-2E9C-101B-9397-08002B2CF9AE}" pid="13" name="DocHub_Active">
    <vt:lpwstr>true</vt:lpwstr>
  </property>
  <property fmtid="{D5CDD505-2E9C-101B-9397-08002B2CF9AE}" pid="14" name="fa7a0ce8d25a4404813a3f5ddca1ff61">
    <vt:lpwstr>Stakeholder Engagement|07e4cd81-7a18-4e45-b3c4-b652921e6ecc</vt:lpwstr>
  </property>
  <property fmtid="{D5CDD505-2E9C-101B-9397-08002B2CF9AE}" pid="15" name="o1116530bc244d4bbd793e6e47aad9f9">
    <vt:lpwstr/>
  </property>
  <property fmtid="{D5CDD505-2E9C-101B-9397-08002B2CF9AE}" pid="16" name="IconOverlay">
    <vt:lpwstr/>
  </property>
  <property fmtid="{D5CDD505-2E9C-101B-9397-08002B2CF9AE}" pid="17" name="DocHub_ProjectGrantBenefitNo">
    <vt:lpwstr/>
  </property>
</Properties>
</file>