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D72A" w14:textId="004AF79F" w:rsidR="00F812F3" w:rsidRPr="00105FF6" w:rsidRDefault="00F812F3" w:rsidP="00F812F3">
      <w:pPr>
        <w:pStyle w:val="Heading1"/>
      </w:pPr>
      <w:bookmarkStart w:id="0" w:name="_Hlk143847966"/>
      <w:bookmarkStart w:id="1" w:name="_Hlk143847849"/>
      <w:r w:rsidRPr="00105FF6">
        <w:t xml:space="preserve">Frequently Asked Questions for the Safeguard Transformation Stream (STS) Round </w:t>
      </w:r>
      <w:r w:rsidR="00E30F54" w:rsidRPr="00DE63BD">
        <w:t>2</w:t>
      </w:r>
      <w:r w:rsidRPr="00105FF6">
        <w:t xml:space="preserve"> – Updated </w:t>
      </w:r>
      <w:r w:rsidR="00480949">
        <w:t>5</w:t>
      </w:r>
      <w:r w:rsidR="00DF3C06">
        <w:t xml:space="preserve"> February</w:t>
      </w:r>
      <w:r w:rsidR="388583F8">
        <w:t xml:space="preserve"> 2026 </w:t>
      </w:r>
    </w:p>
    <w:p w14:paraId="4AAE4292" w14:textId="77777777" w:rsidR="00F812F3" w:rsidRPr="00105FF6" w:rsidRDefault="00F812F3" w:rsidP="00F812F3">
      <w:pPr>
        <w:rPr>
          <w:b/>
          <w:bCs/>
        </w:rPr>
      </w:pPr>
    </w:p>
    <w:p w14:paraId="1A3CAC7D" w14:textId="6A05EEE4" w:rsidR="00F812F3" w:rsidRPr="00105FF6" w:rsidRDefault="00F812F3" w:rsidP="00F812F3">
      <w:pPr>
        <w:rPr>
          <w:lang w:val="en-GB"/>
        </w:rPr>
      </w:pPr>
      <w:r w:rsidRPr="0DD8CF1C">
        <w:rPr>
          <w:b/>
          <w:bCs/>
        </w:rPr>
        <w:t xml:space="preserve">Note: </w:t>
      </w:r>
      <w:r>
        <w:t xml:space="preserve">The </w:t>
      </w:r>
      <w:r w:rsidR="00F968F8" w:rsidRPr="00260DB4">
        <w:rPr>
          <w:b/>
          <w:bCs/>
        </w:rPr>
        <w:t>Grant Opportunity Guidelines</w:t>
      </w:r>
      <w:r w:rsidR="00F968F8" w:rsidRPr="00724123">
        <w:t xml:space="preserve"> for </w:t>
      </w:r>
      <w:hyperlink r:id="rId12" w:history="1">
        <w:r w:rsidR="00F968F8" w:rsidRPr="009232F5">
          <w:rPr>
            <w:rStyle w:val="Hyperlink"/>
          </w:rPr>
          <w:t>Round 2 of the Powering the Regions Fund (PRF) Safeguard Transformation Stream (STS)</w:t>
        </w:r>
      </w:hyperlink>
      <w:r>
        <w:t xml:space="preserve"> are the primary authority to understand eligibility, assessment criteria and grant process under the STS. </w:t>
      </w:r>
      <w:r w:rsidRPr="3BCEE868">
        <w:rPr>
          <w:lang w:val="en-GB"/>
        </w:rPr>
        <w:t xml:space="preserve">The following FAQs summarises the requirements set out in the Guidelines in plain English while also addressing queries submitted by potential </w:t>
      </w:r>
      <w:r w:rsidR="4183A0EC" w:rsidRPr="3BCEE868">
        <w:rPr>
          <w:lang w:val="en-GB"/>
        </w:rPr>
        <w:t>applicants.</w:t>
      </w:r>
      <w:r w:rsidRPr="3BCEE868">
        <w:rPr>
          <w:lang w:val="en-GB"/>
        </w:rPr>
        <w:t> </w:t>
      </w:r>
    </w:p>
    <w:p w14:paraId="24B1FBE6" w14:textId="77777777" w:rsidR="00F812F3" w:rsidRPr="001C473D" w:rsidRDefault="00F812F3" w:rsidP="00F812F3">
      <w:r w:rsidRPr="00105FF6">
        <w:rPr>
          <w:i/>
          <w:iCs/>
          <w:lang w:val="en-GB"/>
        </w:rPr>
        <w:t xml:space="preserve">In the event of any inconsistency between the FAQ document and the published Guidelines, </w:t>
      </w:r>
      <w:r w:rsidRPr="00105FF6">
        <w:rPr>
          <w:b/>
          <w:bCs/>
          <w:i/>
          <w:iCs/>
          <w:lang w:val="en-GB"/>
        </w:rPr>
        <w:t>you should always follow the Guidelines</w:t>
      </w:r>
      <w:r w:rsidRPr="00105FF6">
        <w:rPr>
          <w:i/>
          <w:iCs/>
          <w:lang w:val="en-GB"/>
        </w:rPr>
        <w:t>.</w:t>
      </w:r>
      <w:bookmarkStart w:id="2" w:name="_Hlk143847975"/>
      <w:bookmarkEnd w:id="0"/>
    </w:p>
    <w:p w14:paraId="5B195AC7" w14:textId="77777777" w:rsidR="00F812F3" w:rsidRPr="00105FF6" w:rsidRDefault="00F812F3" w:rsidP="00F812F3">
      <w:pPr>
        <w:pStyle w:val="Heading2"/>
      </w:pPr>
      <w:r w:rsidRPr="00105FF6">
        <w:t>Are you having difficulties with applying in the portal?</w:t>
      </w:r>
    </w:p>
    <w:p w14:paraId="76BC7548" w14:textId="3374A959" w:rsidR="00F812F3" w:rsidRPr="00105FF6" w:rsidRDefault="00F812F3" w:rsidP="00F812F3">
      <w:r w:rsidRPr="00105FF6">
        <w:t xml:space="preserve">If you are experiencing difficulties when trying to apply in the Portal, the best way to seek assistance is to call our Contact Centre Team on 13 28 46. </w:t>
      </w:r>
    </w:p>
    <w:p w14:paraId="36EC4810" w14:textId="599171EF" w:rsidR="00F812F3" w:rsidRPr="00105FF6" w:rsidRDefault="00F812F3" w:rsidP="00F812F3">
      <w:r>
        <w:t>The</w:t>
      </w:r>
      <w:r w:rsidRPr="3BCEE868">
        <w:rPr>
          <w:color w:val="1F497D"/>
        </w:rPr>
        <w:t xml:space="preserve"> </w:t>
      </w:r>
      <w:hyperlink r:id="rId13">
        <w:r w:rsidRPr="3BCEE868">
          <w:rPr>
            <w:rStyle w:val="Hyperlink"/>
          </w:rPr>
          <w:t>Contact / Need help</w:t>
        </w:r>
      </w:hyperlink>
      <w:r w:rsidRPr="3BCEE868">
        <w:rPr>
          <w:color w:val="1F497D"/>
        </w:rPr>
        <w:t xml:space="preserve"> </w:t>
      </w:r>
      <w:r>
        <w:t>link on our website also provides other ways to receive support from our Contact Centre team. The Contact Centre will answer your question via phone, email, or webchat. If they can't help, they will put you in touch with someone who can.</w:t>
      </w:r>
      <w:bookmarkStart w:id="3" w:name="_Hlk143848033"/>
      <w:bookmarkEnd w:id="1"/>
      <w:bookmarkEnd w:id="2"/>
    </w:p>
    <w:p w14:paraId="72B87D2A" w14:textId="119FC2DC" w:rsidR="00EB4223" w:rsidRDefault="00EB4223" w:rsidP="00F812F3">
      <w:pPr>
        <w:pStyle w:val="Heading2"/>
      </w:pPr>
      <w:bookmarkStart w:id="4" w:name="_Hlk143847882"/>
      <w:bookmarkEnd w:id="3"/>
      <w:r>
        <w:t>What’s changed since STS Round 1?</w:t>
      </w:r>
    </w:p>
    <w:p w14:paraId="0C0106DE" w14:textId="70DE3CE7" w:rsidR="00EB4223" w:rsidRDefault="00CB6E0A" w:rsidP="003D3173">
      <w:pPr>
        <w:numPr>
          <w:ilvl w:val="0"/>
          <w:numId w:val="6"/>
        </w:numPr>
      </w:pPr>
      <w:r>
        <w:t>P</w:t>
      </w:r>
      <w:r w:rsidR="0041453E">
        <w:t>ro</w:t>
      </w:r>
      <w:r w:rsidR="00617132">
        <w:t xml:space="preserve">jects can be completed over </w:t>
      </w:r>
      <w:r w:rsidR="00B337BC">
        <w:t xml:space="preserve">a maximum of </w:t>
      </w:r>
      <w:r w:rsidR="00617132">
        <w:t>5 years</w:t>
      </w:r>
      <w:r w:rsidR="00B337BC">
        <w:t xml:space="preserve">, out to </w:t>
      </w:r>
      <w:r w:rsidR="009A01FE">
        <w:t>31 March</w:t>
      </w:r>
      <w:r w:rsidR="00B337BC">
        <w:t xml:space="preserve"> 2033</w:t>
      </w:r>
      <w:r w:rsidR="002565C4">
        <w:t>.</w:t>
      </w:r>
    </w:p>
    <w:p w14:paraId="79366EE2" w14:textId="5581D699" w:rsidR="00617132" w:rsidRDefault="00CA1901" w:rsidP="003D3173">
      <w:pPr>
        <w:numPr>
          <w:ilvl w:val="0"/>
          <w:numId w:val="6"/>
        </w:numPr>
      </w:pPr>
      <w:r>
        <w:t xml:space="preserve">Front-end engineering and design (FEED) studies </w:t>
      </w:r>
      <w:r w:rsidR="009A01FE">
        <w:t>may</w:t>
      </w:r>
      <w:r>
        <w:t xml:space="preserve"> only be claimed as eligible expenditure</w:t>
      </w:r>
      <w:r w:rsidR="00E1300F">
        <w:t xml:space="preserve"> up to 10 per cent of the total grant funding</w:t>
      </w:r>
      <w:r w:rsidR="00F92F92">
        <w:t>, up to $5 million,</w:t>
      </w:r>
      <w:r>
        <w:t xml:space="preserve"> where your annual turnover in the </w:t>
      </w:r>
      <w:r w:rsidR="007814A2">
        <w:t>most recently completed</w:t>
      </w:r>
      <w:r>
        <w:t xml:space="preserve"> financial year is $3 billion or less</w:t>
      </w:r>
      <w:r w:rsidR="002565C4">
        <w:t>.</w:t>
      </w:r>
    </w:p>
    <w:p w14:paraId="506DCCCA" w14:textId="13A59E8F" w:rsidR="00CA1901" w:rsidRDefault="00CB6E0A" w:rsidP="003D3173">
      <w:pPr>
        <w:numPr>
          <w:ilvl w:val="0"/>
          <w:numId w:val="6"/>
        </w:numPr>
      </w:pPr>
      <w:r>
        <w:t>D</w:t>
      </w:r>
      <w:r w:rsidR="002565C4">
        <w:t xml:space="preserve">efinitions of new and expanded coal and gas facilities have been </w:t>
      </w:r>
      <w:r w:rsidR="00C1278A">
        <w:t>updated</w:t>
      </w:r>
      <w:r w:rsidR="002565C4">
        <w:t>.</w:t>
      </w:r>
    </w:p>
    <w:p w14:paraId="33B3025A" w14:textId="5F8E4C64" w:rsidR="00B55CA0" w:rsidRDefault="00B05809" w:rsidP="003D3173">
      <w:pPr>
        <w:numPr>
          <w:ilvl w:val="0"/>
          <w:numId w:val="6"/>
        </w:numPr>
      </w:pPr>
      <w:r>
        <w:t>Applicants are required to</w:t>
      </w:r>
      <w:r w:rsidR="00B55CA0">
        <w:t xml:space="preserve"> identify the trade-exposed production variable at the Safeguard facility that is the lead or only applicant.</w:t>
      </w:r>
    </w:p>
    <w:p w14:paraId="0AD73047" w14:textId="425CE1F2" w:rsidR="00A8660E" w:rsidRDefault="00CB6E0A" w:rsidP="003D3173">
      <w:pPr>
        <w:numPr>
          <w:ilvl w:val="0"/>
          <w:numId w:val="6"/>
        </w:numPr>
      </w:pPr>
      <w:r>
        <w:t>R</w:t>
      </w:r>
      <w:r w:rsidR="00CB1A01">
        <w:t>elevant documents</w:t>
      </w:r>
      <w:r w:rsidR="00F52CCD">
        <w:t xml:space="preserve"> that </w:t>
      </w:r>
      <w:r w:rsidR="00B21CC2">
        <w:t xml:space="preserve">convey information about the project that </w:t>
      </w:r>
      <w:r w:rsidR="00D642CF">
        <w:t xml:space="preserve">aren’t captured in </w:t>
      </w:r>
      <w:r w:rsidR="00B84D69">
        <w:t>the mandatory document set</w:t>
      </w:r>
      <w:r w:rsidR="00CB1A01">
        <w:t xml:space="preserve"> can now be considered by the </w:t>
      </w:r>
      <w:r w:rsidR="00B337BC">
        <w:t>expert assessment panel.</w:t>
      </w:r>
    </w:p>
    <w:p w14:paraId="4080A54A" w14:textId="7112A231" w:rsidR="00D3277E" w:rsidRDefault="00CB6E0A" w:rsidP="003D3173">
      <w:pPr>
        <w:numPr>
          <w:ilvl w:val="0"/>
          <w:numId w:val="6"/>
        </w:numPr>
      </w:pPr>
      <w:r>
        <w:t>F</w:t>
      </w:r>
      <w:r w:rsidR="00D3277E">
        <w:t xml:space="preserve">ile size limit </w:t>
      </w:r>
      <w:r w:rsidR="00C1278A">
        <w:t xml:space="preserve">for </w:t>
      </w:r>
      <w:r w:rsidR="008E2480">
        <w:t xml:space="preserve">the total of all </w:t>
      </w:r>
      <w:r w:rsidR="00C1278A">
        <w:t xml:space="preserve">attachments </w:t>
      </w:r>
      <w:r w:rsidR="00054023">
        <w:t>has increased to</w:t>
      </w:r>
      <w:r w:rsidR="00A8660E">
        <w:t xml:space="preserve"> 50MB.</w:t>
      </w:r>
    </w:p>
    <w:p w14:paraId="21955FDC" w14:textId="36297DB0" w:rsidR="00F812F3" w:rsidRPr="00105FF6" w:rsidRDefault="00F812F3" w:rsidP="00F812F3">
      <w:pPr>
        <w:pStyle w:val="Heading2"/>
      </w:pPr>
      <w:r w:rsidRPr="00105FF6">
        <w:t>1. Applicant eligibility</w:t>
      </w:r>
    </w:p>
    <w:p w14:paraId="7A8B50C9" w14:textId="76DD262A" w:rsidR="00F812F3" w:rsidRPr="00105FF6" w:rsidRDefault="00F812F3" w:rsidP="00F812F3">
      <w:pPr>
        <w:pStyle w:val="Heading3"/>
      </w:pPr>
      <w:r w:rsidRPr="00105FF6">
        <w:t xml:space="preserve">1.1 Who is eligible to apply </w:t>
      </w:r>
      <w:r w:rsidR="00AD1CB2">
        <w:t>for</w:t>
      </w:r>
      <w:r w:rsidR="00AD1CB2" w:rsidRPr="00105FF6">
        <w:t xml:space="preserve"> </w:t>
      </w:r>
      <w:r w:rsidRPr="00105FF6">
        <w:t>the STS?</w:t>
      </w:r>
    </w:p>
    <w:p w14:paraId="27425920" w14:textId="77777777" w:rsidR="0027680B" w:rsidRPr="00105FF6" w:rsidRDefault="0027680B" w:rsidP="0027680B">
      <w:r w:rsidRPr="00105FF6">
        <w:t>To be eligible you must: </w:t>
      </w:r>
    </w:p>
    <w:p w14:paraId="3761F106" w14:textId="77777777" w:rsidR="0027680B" w:rsidRPr="00105FF6" w:rsidRDefault="0027680B" w:rsidP="0027680B">
      <w:pPr>
        <w:numPr>
          <w:ilvl w:val="0"/>
          <w:numId w:val="6"/>
        </w:numPr>
      </w:pPr>
      <w:r w:rsidRPr="00105FF6">
        <w:t>be an owner or operator of a trade-exposed safeguard mechanism facility that is not a new or expanded coal or gas production facility (eligible facility) </w:t>
      </w:r>
    </w:p>
    <w:p w14:paraId="43684933" w14:textId="77777777" w:rsidR="0027680B" w:rsidRPr="00105FF6" w:rsidRDefault="0027680B" w:rsidP="0027680B">
      <w:pPr>
        <w:numPr>
          <w:ilvl w:val="0"/>
          <w:numId w:val="7"/>
        </w:numPr>
      </w:pPr>
      <w:r w:rsidRPr="00105FF6">
        <w:t>have an Australian Business Number (ABN) </w:t>
      </w:r>
    </w:p>
    <w:p w14:paraId="12CCF116" w14:textId="77777777" w:rsidR="0027680B" w:rsidRPr="00105FF6" w:rsidRDefault="0027680B" w:rsidP="0027680B">
      <w:r w:rsidRPr="00105FF6">
        <w:t>and be one of the following entities: </w:t>
      </w:r>
    </w:p>
    <w:p w14:paraId="5B499E60" w14:textId="77777777" w:rsidR="0027680B" w:rsidRPr="00105FF6" w:rsidRDefault="0027680B" w:rsidP="0027680B">
      <w:pPr>
        <w:numPr>
          <w:ilvl w:val="0"/>
          <w:numId w:val="8"/>
        </w:numPr>
      </w:pPr>
      <w:r w:rsidRPr="00105FF6">
        <w:t>an entity, incorporated in Australia </w:t>
      </w:r>
    </w:p>
    <w:p w14:paraId="324DAA5C" w14:textId="77777777" w:rsidR="0027680B" w:rsidRPr="00105FF6" w:rsidRDefault="0027680B" w:rsidP="0027680B">
      <w:pPr>
        <w:numPr>
          <w:ilvl w:val="0"/>
          <w:numId w:val="9"/>
        </w:numPr>
      </w:pPr>
      <w:r w:rsidRPr="00105FF6">
        <w:lastRenderedPageBreak/>
        <w:t>a company limited by a guarantee </w:t>
      </w:r>
    </w:p>
    <w:p w14:paraId="688D4AF5" w14:textId="77777777" w:rsidR="0027680B" w:rsidRPr="00105FF6" w:rsidRDefault="0027680B" w:rsidP="0027680B">
      <w:pPr>
        <w:numPr>
          <w:ilvl w:val="0"/>
          <w:numId w:val="10"/>
        </w:numPr>
      </w:pPr>
      <w:r w:rsidRPr="00105FF6">
        <w:t>an incorporated association. </w:t>
      </w:r>
    </w:p>
    <w:p w14:paraId="3DAFBB3E" w14:textId="06B31B82" w:rsidR="00F4191D" w:rsidRPr="00105FF6" w:rsidRDefault="00F4191D" w:rsidP="00F4191D">
      <w:r>
        <w:t>Joint applications are welcome, provided the lead organisation, who is the main driver of the project, is a trade-exposed safeguard mechanism facility that is eligible to apply. For further information on joint applications, refer to section 7.2</w:t>
      </w:r>
      <w:r w:rsidR="00123EEB">
        <w:t xml:space="preserve"> of the G</w:t>
      </w:r>
      <w:r w:rsidR="005551DA">
        <w:t>rant Opportunity G</w:t>
      </w:r>
      <w:r w:rsidR="00123EEB">
        <w:t>uidelines</w:t>
      </w:r>
      <w:r>
        <w:t>. </w:t>
      </w:r>
    </w:p>
    <w:p w14:paraId="5567ED5E" w14:textId="77777777" w:rsidR="005F099C" w:rsidRPr="00105FF6" w:rsidRDefault="005F099C" w:rsidP="005F099C">
      <w:pPr>
        <w:spacing w:after="0"/>
      </w:pPr>
      <w:r w:rsidRPr="00105FF6">
        <w:t>You are not eligible to apply if you are: </w:t>
      </w:r>
    </w:p>
    <w:p w14:paraId="0F0A1488" w14:textId="77777777" w:rsidR="005F099C" w:rsidRPr="00105FF6" w:rsidRDefault="005F099C" w:rsidP="005F099C">
      <w:pPr>
        <w:numPr>
          <w:ilvl w:val="0"/>
          <w:numId w:val="12"/>
        </w:numPr>
        <w:spacing w:after="0"/>
      </w:pPr>
      <w:r w:rsidRPr="00105FF6">
        <w:t>the owner or operator of a trade-exposed safeguard mechanism facility that is also a new or expanded coal or gas production facility </w:t>
      </w:r>
    </w:p>
    <w:p w14:paraId="10C24FAB" w14:textId="77777777" w:rsidR="005F099C" w:rsidRPr="00105FF6" w:rsidRDefault="005F099C" w:rsidP="005F099C">
      <w:pPr>
        <w:numPr>
          <w:ilvl w:val="0"/>
          <w:numId w:val="13"/>
        </w:numPr>
        <w:spacing w:after="0"/>
      </w:pPr>
      <w:r w:rsidRPr="00105FF6">
        <w:t xml:space="preserve">an organisation, or your project partner is an organisation, included on the </w:t>
      </w:r>
      <w:hyperlink r:id="rId14" w:tgtFrame="_blank" w:history="1">
        <w:r w:rsidRPr="00105FF6">
          <w:rPr>
            <w:rStyle w:val="Hyperlink"/>
          </w:rPr>
          <w:t>National Redress Scheme’s website</w:t>
        </w:r>
      </w:hyperlink>
      <w:r w:rsidRPr="00105FF6">
        <w:t xml:space="preserve"> on the list of ‘Institutions that have not joined or signified their intent to join the Scheme’ </w:t>
      </w:r>
    </w:p>
    <w:p w14:paraId="097717AF" w14:textId="77777777" w:rsidR="005F099C" w:rsidRPr="00105FF6" w:rsidRDefault="005F099C" w:rsidP="005F099C">
      <w:pPr>
        <w:numPr>
          <w:ilvl w:val="0"/>
          <w:numId w:val="14"/>
        </w:numPr>
        <w:spacing w:after="0"/>
      </w:pPr>
      <w:r w:rsidRPr="00105FF6">
        <w:t xml:space="preserve">an employer of 100 or more employees that has </w:t>
      </w:r>
      <w:hyperlink r:id="rId15" w:tgtFrame="_blank" w:history="1">
        <w:r w:rsidRPr="00105FF6">
          <w:rPr>
            <w:rStyle w:val="Hyperlink"/>
          </w:rPr>
          <w:t>not complied</w:t>
        </w:r>
      </w:hyperlink>
      <w:r w:rsidRPr="00105FF6">
        <w:t xml:space="preserve"> with the </w:t>
      </w:r>
      <w:r w:rsidRPr="00105FF6">
        <w:rPr>
          <w:i/>
          <w:iCs/>
        </w:rPr>
        <w:t>Workplace Gender Equality Act (2012)</w:t>
      </w:r>
      <w:r w:rsidRPr="00105FF6">
        <w:t>. </w:t>
      </w:r>
    </w:p>
    <w:p w14:paraId="100CA687" w14:textId="77777777" w:rsidR="00346E02" w:rsidRDefault="00F85474" w:rsidP="003826B8">
      <w:r w:rsidRPr="003826B8">
        <w:t>Section 4 of the Grant Opportunity Guidelines</w:t>
      </w:r>
      <w:r w:rsidR="00F812F3">
        <w:t xml:space="preserve"> provides full details about who is and is not eligible to apply.</w:t>
      </w:r>
    </w:p>
    <w:p w14:paraId="13D3C7EF" w14:textId="0FD5F334" w:rsidR="00F812F3" w:rsidRPr="00105FF6" w:rsidRDefault="00346E02" w:rsidP="003826B8">
      <w:r w:rsidRPr="00105FF6">
        <w:t xml:space="preserve">The definition of a trade-exposed facility is </w:t>
      </w:r>
      <w:r>
        <w:t>a facility that produces a trade-exposed production variable listed in section 1 or 2 of Schedule 2 of</w:t>
      </w:r>
      <w:r w:rsidRPr="00105FF6">
        <w:t xml:space="preserve"> the </w:t>
      </w:r>
      <w:hyperlink r:id="rId16">
        <w:r w:rsidRPr="0DD8CF1C">
          <w:rPr>
            <w:i/>
            <w:iCs/>
          </w:rPr>
          <w:t>National Greenhouse and Energy Reporting (Safeguard Mechanism) Rule 2015</w:t>
        </w:r>
      </w:hyperlink>
      <w:r w:rsidRPr="00105FF6">
        <w:t xml:space="preserve">. </w:t>
      </w:r>
    </w:p>
    <w:p w14:paraId="14C1A04B" w14:textId="77777777" w:rsidR="00F812F3" w:rsidRPr="00105FF6" w:rsidRDefault="00F812F3" w:rsidP="00F812F3">
      <w:pPr>
        <w:pStyle w:val="Heading3"/>
      </w:pPr>
      <w:r w:rsidRPr="00105FF6">
        <w:t>1.2 Are applications lodged by the entity or facility? Are joint or multiple applications allowed?</w:t>
      </w:r>
    </w:p>
    <w:p w14:paraId="6C7A6DE7" w14:textId="5512CE6C" w:rsidR="00F812F3" w:rsidRPr="00105FF6" w:rsidRDefault="00F812F3" w:rsidP="00F812F3">
      <w:r w:rsidRPr="00105FF6">
        <w:t xml:space="preserve">It is a matter for each eligible entity as to how you prepare your application. To be eligible under the STS you must be an eligible entity with an eligible facility. </w:t>
      </w:r>
    </w:p>
    <w:p w14:paraId="2FD727E9" w14:textId="77777777" w:rsidR="00F812F3" w:rsidRPr="00105FF6" w:rsidRDefault="00F812F3" w:rsidP="00F812F3">
      <w:r w:rsidRPr="00105FF6">
        <w:t>Each application should relate to a single project. A single project may include:</w:t>
      </w:r>
    </w:p>
    <w:p w14:paraId="6C22EC2F" w14:textId="77777777" w:rsidR="00F812F3" w:rsidRPr="00105FF6" w:rsidRDefault="00F812F3" w:rsidP="00F812F3">
      <w:pPr>
        <w:ind w:left="851" w:hanging="425"/>
      </w:pPr>
      <w:r w:rsidRPr="00105FF6">
        <w:t>-</w:t>
      </w:r>
      <w:r w:rsidRPr="00105FF6">
        <w:tab/>
        <w:t>a single eligible facility owned or operated by an eligible entity.</w:t>
      </w:r>
    </w:p>
    <w:p w14:paraId="12CBBF6A" w14:textId="77777777" w:rsidR="00F812F3" w:rsidRPr="00105FF6" w:rsidRDefault="00F812F3" w:rsidP="00F812F3">
      <w:pPr>
        <w:ind w:left="851" w:hanging="425"/>
      </w:pPr>
      <w:r w:rsidRPr="00105FF6">
        <w:t>-</w:t>
      </w:r>
      <w:r w:rsidRPr="00105FF6">
        <w:tab/>
        <w:t xml:space="preserve">multiple eligible facilities owned or operated by an eligible entity. For example, shared infrastructure to supply clean energy to multiple eligible facilities.  </w:t>
      </w:r>
    </w:p>
    <w:p w14:paraId="2D7AEE32" w14:textId="77777777" w:rsidR="00F812F3" w:rsidRPr="00105FF6" w:rsidRDefault="00F812F3" w:rsidP="00F812F3">
      <w:pPr>
        <w:ind w:left="851" w:hanging="425"/>
      </w:pPr>
      <w:r w:rsidRPr="00105FF6">
        <w:t>-</w:t>
      </w:r>
      <w:r w:rsidRPr="00105FF6">
        <w:tab/>
        <w:t xml:space="preserve">multiple eligible facilities owned or operated by multiple eligible entities. This is considered a joint (consortia) proposal and has additional requirements that are provided at Section 7.2 of the guidelines. </w:t>
      </w:r>
    </w:p>
    <w:p w14:paraId="6010BFD7" w14:textId="550D1E5A" w:rsidR="00F812F3" w:rsidRPr="00105FF6" w:rsidRDefault="00F812F3" w:rsidP="00F812F3">
      <w:r w:rsidRPr="00105FF6">
        <w:t xml:space="preserve">Eligible entities are welcome to submit multiple applications. Applicants should put forward their best possible proposals. The STS is a competitive grant </w:t>
      </w:r>
      <w:proofErr w:type="gramStart"/>
      <w:r w:rsidRPr="00105FF6">
        <w:t>program</w:t>
      </w:r>
      <w:proofErr w:type="gramEnd"/>
      <w:r w:rsidRPr="00105FF6">
        <w:t xml:space="preserve"> and higher scoring projects are more likely to be recommended for funding by the </w:t>
      </w:r>
      <w:r w:rsidR="002430FC" w:rsidRPr="00105FF6">
        <w:t xml:space="preserve">Powering the Regions Expert Advisory Panel (PRF EAP) </w:t>
      </w:r>
      <w:r w:rsidR="001D0809" w:rsidRPr="00105FF6">
        <w:t xml:space="preserve">a </w:t>
      </w:r>
      <w:r w:rsidR="00801C05" w:rsidRPr="00105FF6">
        <w:t>committee comprised of senior government officials and external experts</w:t>
      </w:r>
      <w:r w:rsidR="001D0809" w:rsidRPr="00105FF6">
        <w:t xml:space="preserve"> </w:t>
      </w:r>
      <w:r w:rsidRPr="00105FF6">
        <w:t xml:space="preserve">which will assess and score applications. </w:t>
      </w:r>
    </w:p>
    <w:p w14:paraId="7D9C8679" w14:textId="77777777" w:rsidR="00F812F3" w:rsidRPr="00105FF6" w:rsidRDefault="00F812F3" w:rsidP="00F812F3">
      <w:r w:rsidRPr="00105FF6">
        <w:t>Each application is assessed as a stand-alone project and any reliance or reference to another application will not be taken into consideration during the assessment.</w:t>
      </w:r>
    </w:p>
    <w:p w14:paraId="78DFDB52" w14:textId="77777777" w:rsidR="00F812F3" w:rsidRPr="00105FF6" w:rsidRDefault="00F812F3" w:rsidP="00F812F3">
      <w:pPr>
        <w:pStyle w:val="Heading3"/>
      </w:pPr>
      <w:r w:rsidRPr="00105FF6">
        <w:t xml:space="preserve">1.3 Can I partner with a non-eligible entity to deliver a project?  </w:t>
      </w:r>
    </w:p>
    <w:p w14:paraId="3EEDD34C" w14:textId="77777777" w:rsidR="00F812F3" w:rsidRPr="00105FF6" w:rsidRDefault="00F812F3" w:rsidP="00F812F3">
      <w:r w:rsidRPr="00105FF6">
        <w:t>We recognise that some organisations may want to join as a group to deliver a project. In these circumstances, you must appoint a lead organisation to make an application and (if successful) enter into a grant agreement with the Commonwealth, on the group’s behalf. The lead organisation must be an eligible entity; however, non-eligible entities may be project partners.</w:t>
      </w:r>
    </w:p>
    <w:p w14:paraId="44CFE3D9" w14:textId="435DA01E" w:rsidR="00F812F3" w:rsidRPr="00105FF6" w:rsidRDefault="00F812F3" w:rsidP="00F812F3">
      <w:r w:rsidRPr="00105FF6">
        <w:lastRenderedPageBreak/>
        <w:t>Project partners must comply with the National Redress Scheme</w:t>
      </w:r>
      <w:r w:rsidR="005B2BA9">
        <w:t xml:space="preserve">, and if they employ 100 or more employees, they must also comply with the </w:t>
      </w:r>
      <w:r w:rsidR="005B2BA9" w:rsidRPr="00425EC6">
        <w:rPr>
          <w:i/>
          <w:iCs/>
        </w:rPr>
        <w:t>Workplace Gender Equality Act</w:t>
      </w:r>
      <w:r w:rsidR="0098714A">
        <w:t xml:space="preserve"> (2012)</w:t>
      </w:r>
      <w:r w:rsidRPr="00105FF6">
        <w:t>.</w:t>
      </w:r>
    </w:p>
    <w:p w14:paraId="7664E27B" w14:textId="0674E592" w:rsidR="00F812F3" w:rsidRPr="003826B8" w:rsidRDefault="00F812F3" w:rsidP="00F812F3">
      <w:r w:rsidRPr="00105FF6">
        <w:t xml:space="preserve">Information about joint (consortia) applications are in </w:t>
      </w:r>
      <w:r w:rsidR="00F85474" w:rsidRPr="00AB16D3">
        <w:t>Section 7.2 of the guidelines.</w:t>
      </w:r>
    </w:p>
    <w:p w14:paraId="1751830B" w14:textId="5202F482" w:rsidR="00F812F3" w:rsidRPr="00105FF6" w:rsidRDefault="00F812F3" w:rsidP="00F812F3">
      <w:pPr>
        <w:pStyle w:val="Heading3"/>
      </w:pPr>
      <w:r w:rsidRPr="00105FF6">
        <w:t>1.4 Are all coal and gas facilities excluded?</w:t>
      </w:r>
    </w:p>
    <w:p w14:paraId="111A2022" w14:textId="77777777" w:rsidR="003A7183" w:rsidRDefault="00F812F3" w:rsidP="00F812F3">
      <w:r w:rsidRPr="00105FF6">
        <w:t xml:space="preserve">No, not all coal and gas facilities are excluded. However, </w:t>
      </w:r>
      <w:r w:rsidR="00F85474" w:rsidRPr="00AB16D3">
        <w:t>Section 4.3 of the guidelines</w:t>
      </w:r>
      <w:r w:rsidRPr="00105FF6">
        <w:t xml:space="preserve"> states that new or expanded coal or gas facilities are ineligible to apply for STS grant funding. This eligibility requirement is intended to ensure STS grant funding decisions are consistent with the policy objectives of the Safeguard Mechanism reforms. </w:t>
      </w:r>
    </w:p>
    <w:p w14:paraId="2A9DB0A8" w14:textId="79F041D2" w:rsidR="00C648A5" w:rsidRDefault="003A7183" w:rsidP="00F812F3">
      <w:r w:rsidRPr="00105FF6">
        <w:t>Potential applicants are responsible for demonstrating eligibility. In the case of an existing coal or gas facility, for example, it will be necessary to demonstrate that the facility has not materially expanded, and does not plan to materially expand, its coal or gas production compared to production levels before 30 June 2023.</w:t>
      </w:r>
    </w:p>
    <w:p w14:paraId="5F121C34" w14:textId="12DAE35E" w:rsidR="0023453E" w:rsidRPr="00105FF6" w:rsidRDefault="0023453E" w:rsidP="0023453E">
      <w:pPr>
        <w:pStyle w:val="Heading3"/>
      </w:pPr>
      <w:r w:rsidRPr="00105FF6">
        <w:t>1.</w:t>
      </w:r>
      <w:r>
        <w:t>5</w:t>
      </w:r>
      <w:r w:rsidRPr="00105FF6">
        <w:t xml:space="preserve"> How is “new or expanded coal or gas facility” defined?</w:t>
      </w:r>
    </w:p>
    <w:p w14:paraId="5275C19F" w14:textId="227678C5" w:rsidR="001D3F29" w:rsidRPr="00AB16D3" w:rsidRDefault="00C648A5" w:rsidP="00F812F3">
      <w:r w:rsidRPr="00AB16D3">
        <w:t>The guidelines define</w:t>
      </w:r>
      <w:r w:rsidR="001D3F29" w:rsidRPr="00AB16D3">
        <w:t xml:space="preserve"> a “new or expanded coal or gas facility” as: </w:t>
      </w:r>
    </w:p>
    <w:p w14:paraId="5EF276B5" w14:textId="77777777" w:rsidR="00470344" w:rsidRDefault="00C648A5" w:rsidP="00470344">
      <w:pPr>
        <w:ind w:left="720"/>
      </w:pPr>
      <w:r w:rsidRPr="00AB16D3">
        <w:t>A trade-exposed Safeguard Mechanism facility that produces coal or gas as a production variable and either commenced operation, materially expanded production, or plans to materially expand production after 30 June 2023. </w:t>
      </w:r>
    </w:p>
    <w:p w14:paraId="4DD43A81" w14:textId="7EFA33DB" w:rsidR="00F812F3" w:rsidRDefault="00F812F3" w:rsidP="00F812F3">
      <w:r w:rsidRPr="00105FF6">
        <w:t>This definition should be read with reference to the STS program objectives (set out in Section 2 of the guidelines) and considering the Safeguard Mechanism reforms.</w:t>
      </w:r>
    </w:p>
    <w:p w14:paraId="3EDC1A07" w14:textId="75382ED8" w:rsidR="0023453E" w:rsidRPr="00105FF6" w:rsidRDefault="0023453E" w:rsidP="0023453E">
      <w:pPr>
        <w:pStyle w:val="Heading3"/>
      </w:pPr>
      <w:r w:rsidRPr="00105FF6">
        <w:t>1.</w:t>
      </w:r>
      <w:r w:rsidR="003F7FA2">
        <w:t>6</w:t>
      </w:r>
      <w:r w:rsidRPr="00105FF6">
        <w:t xml:space="preserve"> </w:t>
      </w:r>
      <w:r w:rsidR="003F7FA2">
        <w:t>What is meant by ‘materially expanded’</w:t>
      </w:r>
      <w:r w:rsidR="00DA7847">
        <w:t xml:space="preserve"> coal or gas facility</w:t>
      </w:r>
      <w:r w:rsidR="003F7FA2">
        <w:t>?</w:t>
      </w:r>
    </w:p>
    <w:p w14:paraId="7D9D8CA0" w14:textId="3818F6C7" w:rsidR="0088530A" w:rsidRPr="00470344" w:rsidRDefault="0088530A" w:rsidP="00F812F3">
      <w:r w:rsidRPr="00470344">
        <w:t xml:space="preserve">The guidelines define </w:t>
      </w:r>
      <w:r w:rsidR="00641737" w:rsidRPr="00470344">
        <w:t>“materially expanded” as:</w:t>
      </w:r>
    </w:p>
    <w:p w14:paraId="71B1D2A0" w14:textId="77777777" w:rsidR="00224999" w:rsidRPr="00470344" w:rsidRDefault="00224999" w:rsidP="00224999">
      <w:r w:rsidRPr="00470344">
        <w:t>A trade-exposed Safeguard Mechanism facility that produces coal or gas as a production variable is considered to have materially expanded production if it has done one or more of the following: </w:t>
      </w:r>
    </w:p>
    <w:p w14:paraId="4DEA27C7" w14:textId="37C6C242" w:rsidR="00224999" w:rsidRPr="00470344" w:rsidRDefault="00224999" w:rsidP="00224999">
      <w:pPr>
        <w:numPr>
          <w:ilvl w:val="0"/>
          <w:numId w:val="15"/>
        </w:numPr>
      </w:pPr>
      <w:r w:rsidRPr="00470344">
        <w:t>Increased by 5</w:t>
      </w:r>
      <w:r w:rsidR="5C78CDA0">
        <w:t xml:space="preserve"> per cent</w:t>
      </w:r>
      <w:r w:rsidRPr="00470344">
        <w:t xml:space="preserve"> or more annual coal or gas production compared to pre-30 June 2023 annual production </w:t>
      </w:r>
      <w:proofErr w:type="gramStart"/>
      <w:r w:rsidRPr="00470344">
        <w:t>levels;</w:t>
      </w:r>
      <w:proofErr w:type="gramEnd"/>
      <w:r w:rsidRPr="00470344">
        <w:t> </w:t>
      </w:r>
    </w:p>
    <w:p w14:paraId="2B04ED9D" w14:textId="77777777" w:rsidR="00224999" w:rsidRPr="00470344" w:rsidRDefault="00224999" w:rsidP="00224999">
      <w:pPr>
        <w:numPr>
          <w:ilvl w:val="0"/>
          <w:numId w:val="16"/>
        </w:numPr>
      </w:pPr>
      <w:r w:rsidRPr="00470344">
        <w:t xml:space="preserve">If the facility produces coal as a production variable, commenced extracting coal from an area that is not covered by an environmental approval provided before 30 June </w:t>
      </w:r>
      <w:proofErr w:type="gramStart"/>
      <w:r w:rsidRPr="00470344">
        <w:t>2023;</w:t>
      </w:r>
      <w:proofErr w:type="gramEnd"/>
      <w:r w:rsidRPr="00470344">
        <w:t> </w:t>
      </w:r>
    </w:p>
    <w:p w14:paraId="771C5E39" w14:textId="77777777" w:rsidR="00224999" w:rsidRPr="00470344" w:rsidRDefault="00224999" w:rsidP="00224999">
      <w:pPr>
        <w:numPr>
          <w:ilvl w:val="0"/>
          <w:numId w:val="17"/>
        </w:numPr>
      </w:pPr>
      <w:r w:rsidRPr="00470344">
        <w:t>If the facility produces gas, commenced liquefaction of gas from a new gas field within the meaning of the Safeguard Rules (see section 35 and section 35</w:t>
      </w:r>
      <w:proofErr w:type="gramStart"/>
      <w:r w:rsidRPr="00470344">
        <w:t>A(</w:t>
      </w:r>
      <w:proofErr w:type="gramEnd"/>
      <w:r w:rsidRPr="00470344">
        <w:t>4) of Schedule 1). </w:t>
      </w:r>
    </w:p>
    <w:p w14:paraId="363FBB73" w14:textId="47497228" w:rsidR="0034025D" w:rsidRPr="00470344" w:rsidRDefault="00ED508C" w:rsidP="00F812F3">
      <w:r w:rsidRPr="00470344">
        <w:t>The guidelines also define “plans to materially expand” as:</w:t>
      </w:r>
    </w:p>
    <w:p w14:paraId="3EB077FB" w14:textId="77777777" w:rsidR="00505FF4" w:rsidRPr="00105FF6" w:rsidRDefault="00505FF4" w:rsidP="00505FF4">
      <w:r w:rsidRPr="00105FF6">
        <w:t>A trade-exposed Safeguard Mechanism facility that produces coal or gas as a production variable is considered to have plans to materially expand production if it plans to do one or more of the following:</w:t>
      </w:r>
    </w:p>
    <w:p w14:paraId="12F7BFE3" w14:textId="6A6E1615" w:rsidR="00505FF4" w:rsidRPr="00105FF6" w:rsidRDefault="00505FF4" w:rsidP="00470344">
      <w:pPr>
        <w:numPr>
          <w:ilvl w:val="0"/>
          <w:numId w:val="31"/>
        </w:numPr>
      </w:pPr>
      <w:r w:rsidRPr="00105FF6">
        <w:t xml:space="preserve">Increase annual coal or gas production by 5 per cent or more compared to pre-30 June 2023 annual production </w:t>
      </w:r>
      <w:proofErr w:type="gramStart"/>
      <w:r w:rsidRPr="00105FF6">
        <w:t>levels;</w:t>
      </w:r>
      <w:proofErr w:type="gramEnd"/>
    </w:p>
    <w:p w14:paraId="458929ED" w14:textId="18FBF429" w:rsidR="00505FF4" w:rsidRPr="00105FF6" w:rsidRDefault="00505FF4" w:rsidP="00470344">
      <w:pPr>
        <w:numPr>
          <w:ilvl w:val="0"/>
          <w:numId w:val="31"/>
        </w:numPr>
      </w:pPr>
      <w:r w:rsidRPr="00105FF6">
        <w:t xml:space="preserve">If the facility produces coal as a production variable, extract coal from an area that is not covered by an environmental approval provided before 30 June </w:t>
      </w:r>
      <w:proofErr w:type="gramStart"/>
      <w:r w:rsidRPr="00105FF6">
        <w:t>2023;</w:t>
      </w:r>
      <w:proofErr w:type="gramEnd"/>
    </w:p>
    <w:p w14:paraId="3A1A475C" w14:textId="415D558E" w:rsidR="00505FF4" w:rsidRPr="00105FF6" w:rsidRDefault="00505FF4" w:rsidP="00470344">
      <w:pPr>
        <w:numPr>
          <w:ilvl w:val="0"/>
          <w:numId w:val="31"/>
        </w:numPr>
      </w:pPr>
      <w:r w:rsidRPr="00105FF6">
        <w:t>If the facility produces gas, commence liquefaction of gas from a new gas field within the meaning of the Safeguard Rules (see section 35 and section 35</w:t>
      </w:r>
      <w:proofErr w:type="gramStart"/>
      <w:r w:rsidRPr="00105FF6">
        <w:t>A(</w:t>
      </w:r>
      <w:proofErr w:type="gramEnd"/>
      <w:r w:rsidRPr="00105FF6">
        <w:t>4) of Schedule 1).</w:t>
      </w:r>
    </w:p>
    <w:p w14:paraId="56AA03E2" w14:textId="1D305B3B" w:rsidR="00ED508C" w:rsidRPr="00105FF6" w:rsidRDefault="00505FF4" w:rsidP="00470344">
      <w:pPr>
        <w:ind w:left="360"/>
      </w:pPr>
      <w:r w:rsidRPr="00105FF6">
        <w:lastRenderedPageBreak/>
        <w:t>For the purposes of (b) and (c) any application with a federal, state or territory environmental agency for expansion, including draft, pending and paused applications; will be considered evidence of plans to materially expand production</w:t>
      </w:r>
    </w:p>
    <w:p w14:paraId="4C231671" w14:textId="6569D167" w:rsidR="00F812F3" w:rsidRPr="00105FF6" w:rsidRDefault="00F812F3" w:rsidP="00F812F3">
      <w:r w:rsidRPr="00105FF6">
        <w:t>The evidence required to demonstrate eligibility will vary depending on site specific factors. In general, it would be appropriate for coal or gas producers to provide historical production data for the four years</w:t>
      </w:r>
      <w:r w:rsidR="005C2C62">
        <w:t xml:space="preserve"> before 2023 and any </w:t>
      </w:r>
      <w:r w:rsidR="00F52D54">
        <w:t xml:space="preserve">subsequent </w:t>
      </w:r>
      <w:r w:rsidR="009E7EB6">
        <w:t>periods</w:t>
      </w:r>
      <w:r w:rsidR="00F52D54">
        <w:t xml:space="preserve"> for which data is available</w:t>
      </w:r>
      <w:r w:rsidRPr="00105FF6">
        <w:t xml:space="preserve">, their forecast production figures, and a statement from senior representatives (e.g., CEO or CFO) that there are no plans to materially expand production at the relevant facility. </w:t>
      </w:r>
    </w:p>
    <w:p w14:paraId="7920D7D2" w14:textId="1E043906" w:rsidR="00F812F3" w:rsidRPr="001C473D" w:rsidRDefault="00F812F3" w:rsidP="00F812F3">
      <w:r w:rsidRPr="00105FF6">
        <w:t>Noting that production may naturally vary year to year due to geological and operational issues, if the production forecast is an increase of five per cent or more in annual production compared to production before 30 June 2023, then the entity should provide a justification supporting any forecast or provide contextual information about the market to substantiate why the fluctuation should not be characterised as a material expansion.</w:t>
      </w:r>
    </w:p>
    <w:p w14:paraId="7C048D45" w14:textId="77777777" w:rsidR="00F812F3" w:rsidRPr="00105FF6" w:rsidRDefault="00F812F3" w:rsidP="00F812F3">
      <w:pPr>
        <w:pStyle w:val="Heading2"/>
      </w:pPr>
      <w:r w:rsidRPr="00105FF6">
        <w:t xml:space="preserve">2. Eligible expenditure and activities </w:t>
      </w:r>
    </w:p>
    <w:p w14:paraId="55AC852E" w14:textId="77777777" w:rsidR="00F812F3" w:rsidRPr="00105FF6" w:rsidRDefault="00F812F3" w:rsidP="00F812F3">
      <w:pPr>
        <w:pStyle w:val="Heading3"/>
      </w:pPr>
      <w:r w:rsidRPr="00105FF6">
        <w:t>2.1 Is there a list of eligible activities?</w:t>
      </w:r>
    </w:p>
    <w:p w14:paraId="3C9D6C1A" w14:textId="6E12B8BF" w:rsidR="00F812F3" w:rsidRPr="00105FF6" w:rsidRDefault="00F812F3" w:rsidP="3BCEE868">
      <w:pPr>
        <w:rPr>
          <w:rFonts w:asciiTheme="majorHAnsi" w:eastAsiaTheme="majorEastAsia" w:hAnsiTheme="majorHAnsi" w:cstheme="majorBidi"/>
          <w:color w:val="1F4D78" w:themeColor="accent1" w:themeShade="7F"/>
          <w:sz w:val="24"/>
          <w:szCs w:val="24"/>
        </w:rPr>
      </w:pPr>
      <w:r w:rsidRPr="3BCEE868">
        <w:rPr>
          <w:rFonts w:eastAsia="Arial"/>
        </w:rPr>
        <w:t>The STS is a technology neutral program.</w:t>
      </w:r>
      <w:r w:rsidR="0D5F98A8" w:rsidRPr="3BCEE868">
        <w:rPr>
          <w:rFonts w:eastAsia="Arial"/>
        </w:rPr>
        <w:t xml:space="preserve"> </w:t>
      </w:r>
      <w:r w:rsidR="00F85474" w:rsidRPr="001C473D">
        <w:t>Section 5 of the guidelines</w:t>
      </w:r>
      <w:r w:rsidRPr="3BCEE868">
        <w:rPr>
          <w:rFonts w:eastAsia="Arial"/>
        </w:rPr>
        <w:t xml:space="preserve"> sets out the requirements for projects to be eligible (including </w:t>
      </w:r>
      <w:r w:rsidR="09A95189" w:rsidRPr="3BCEE868">
        <w:rPr>
          <w:rFonts w:eastAsia="Arial"/>
        </w:rPr>
        <w:t xml:space="preserve">activities, </w:t>
      </w:r>
      <w:r w:rsidRPr="3BCEE868">
        <w:rPr>
          <w:rFonts w:eastAsia="Arial"/>
        </w:rPr>
        <w:t xml:space="preserve">expenditure and location requirements). Some examples of the types of activities that could be eligible are described on page </w:t>
      </w:r>
      <w:r w:rsidR="004B033A" w:rsidRPr="3BCEE868">
        <w:rPr>
          <w:rFonts w:eastAsia="Arial"/>
        </w:rPr>
        <w:t>1</w:t>
      </w:r>
      <w:r w:rsidR="00F22C51" w:rsidRPr="3BCEE868">
        <w:rPr>
          <w:rFonts w:eastAsia="Arial"/>
        </w:rPr>
        <w:t>0</w:t>
      </w:r>
      <w:r w:rsidR="46615C8D" w:rsidRPr="3BCEE868">
        <w:rPr>
          <w:rFonts w:eastAsia="Arial"/>
        </w:rPr>
        <w:t xml:space="preserve"> and 11 </w:t>
      </w:r>
      <w:r w:rsidRPr="3BCEE868">
        <w:rPr>
          <w:rFonts w:eastAsia="Arial"/>
        </w:rPr>
        <w:t>of the guidelines.</w:t>
      </w:r>
      <w:r w:rsidR="006D2EAB" w:rsidRPr="3BCEE868">
        <w:rPr>
          <w:rFonts w:eastAsia="Arial"/>
        </w:rPr>
        <w:t xml:space="preserve"> This includes</w:t>
      </w:r>
      <w:r w:rsidR="00790FF8" w:rsidRPr="3BCEE868">
        <w:rPr>
          <w:rFonts w:eastAsia="Arial"/>
        </w:rPr>
        <w:t xml:space="preserve"> direct abatement of </w:t>
      </w:r>
      <w:r w:rsidR="003029DF">
        <w:rPr>
          <w:rFonts w:eastAsia="Arial"/>
        </w:rPr>
        <w:t>s</w:t>
      </w:r>
      <w:r w:rsidR="00790FF8" w:rsidRPr="3BCEE868">
        <w:rPr>
          <w:rFonts w:eastAsia="Arial"/>
        </w:rPr>
        <w:t>cope 1 emissions</w:t>
      </w:r>
      <w:r w:rsidR="00AE07F2" w:rsidRPr="3BCEE868">
        <w:rPr>
          <w:rFonts w:eastAsia="Arial"/>
        </w:rPr>
        <w:t xml:space="preserve"> (on-site projects)</w:t>
      </w:r>
      <w:r w:rsidR="00790FF8" w:rsidRPr="3BCEE868">
        <w:rPr>
          <w:rFonts w:eastAsia="Arial"/>
        </w:rPr>
        <w:t xml:space="preserve">, and </w:t>
      </w:r>
      <w:r w:rsidR="00AE07F2" w:rsidRPr="3BCEE868">
        <w:rPr>
          <w:rFonts w:eastAsia="Arial"/>
        </w:rPr>
        <w:t>common use infrastructure (off-site projects).</w:t>
      </w:r>
    </w:p>
    <w:p w14:paraId="7E4900D3" w14:textId="77777777" w:rsidR="00F812F3" w:rsidRPr="00105FF6" w:rsidRDefault="00F812F3" w:rsidP="00F812F3">
      <w:pPr>
        <w:pStyle w:val="Heading3"/>
      </w:pPr>
      <w:r w:rsidRPr="00105FF6">
        <w:t>2.2 Are research, or feasibility studies within the scope of the STS?</w:t>
      </w:r>
    </w:p>
    <w:p w14:paraId="48DB1007" w14:textId="36830558" w:rsidR="00DE58E2" w:rsidRPr="00105FF6" w:rsidRDefault="00220BF9" w:rsidP="00F812F3">
      <w:pPr>
        <w:rPr>
          <w:rFonts w:eastAsia="Arial"/>
        </w:rPr>
      </w:pPr>
      <w:r w:rsidRPr="00D036C9">
        <w:rPr>
          <w:rFonts w:eastAsia="Arial"/>
        </w:rPr>
        <w:t xml:space="preserve">Research or feasibility analysis </w:t>
      </w:r>
      <w:r w:rsidR="006E75D3">
        <w:rPr>
          <w:rFonts w:eastAsia="Arial"/>
        </w:rPr>
        <w:t xml:space="preserve">eligibility </w:t>
      </w:r>
      <w:r w:rsidR="00E3684C" w:rsidRPr="00D036C9">
        <w:rPr>
          <w:rFonts w:eastAsia="Arial"/>
        </w:rPr>
        <w:t>is limited to Front-End Engineering and Design</w:t>
      </w:r>
      <w:r w:rsidR="00E3684C" w:rsidRPr="229A6937">
        <w:rPr>
          <w:rFonts w:eastAsia="Arial"/>
        </w:rPr>
        <w:t xml:space="preserve"> </w:t>
      </w:r>
      <w:r w:rsidR="42CF7B36" w:rsidRPr="229A6937">
        <w:rPr>
          <w:rFonts w:eastAsia="Arial"/>
        </w:rPr>
        <w:t>(FEED)</w:t>
      </w:r>
      <w:r w:rsidR="00E3684C" w:rsidRPr="00D036C9">
        <w:rPr>
          <w:rFonts w:eastAsia="Arial"/>
        </w:rPr>
        <w:t xml:space="preserve"> studies, </w:t>
      </w:r>
      <w:r w:rsidR="00105FF6" w:rsidRPr="229A6937">
        <w:rPr>
          <w:rFonts w:eastAsia="Arial"/>
        </w:rPr>
        <w:t xml:space="preserve">which </w:t>
      </w:r>
      <w:r w:rsidRPr="00D036C9">
        <w:rPr>
          <w:rFonts w:eastAsia="Arial"/>
          <w:b/>
        </w:rPr>
        <w:t>is eligible only</w:t>
      </w:r>
      <w:r w:rsidRPr="00D036C9">
        <w:rPr>
          <w:rFonts w:eastAsia="Arial"/>
        </w:rPr>
        <w:t xml:space="preserve"> </w:t>
      </w:r>
      <w:r w:rsidRPr="00D036C9">
        <w:rPr>
          <w:rFonts w:eastAsia="Arial"/>
          <w:b/>
        </w:rPr>
        <w:t>if</w:t>
      </w:r>
      <w:r w:rsidRPr="00D036C9">
        <w:rPr>
          <w:rFonts w:eastAsia="Arial"/>
        </w:rPr>
        <w:t xml:space="preserve"> </w:t>
      </w:r>
      <w:r w:rsidR="006E75D3">
        <w:rPr>
          <w:rFonts w:eastAsia="Arial"/>
        </w:rPr>
        <w:t xml:space="preserve">the following conditions are met. First, the FEED study is </w:t>
      </w:r>
      <w:r w:rsidRPr="00D036C9">
        <w:rPr>
          <w:rFonts w:eastAsia="Arial"/>
        </w:rPr>
        <w:t xml:space="preserve">linked to capital works to be delivered as part of the project proposal. </w:t>
      </w:r>
      <w:r w:rsidR="006E75D3">
        <w:rPr>
          <w:rFonts w:eastAsia="Arial"/>
        </w:rPr>
        <w:t>Second, the</w:t>
      </w:r>
      <w:r w:rsidRPr="00D036C9">
        <w:rPr>
          <w:rFonts w:eastAsia="Arial"/>
        </w:rPr>
        <w:t xml:space="preserve"> </w:t>
      </w:r>
      <w:r w:rsidR="00DE58E2" w:rsidRPr="00D036C9">
        <w:rPr>
          <w:rFonts w:eastAsia="Arial"/>
        </w:rPr>
        <w:t>FEED studies</w:t>
      </w:r>
      <w:r w:rsidR="005E3115" w:rsidRPr="00D036C9">
        <w:rPr>
          <w:rFonts w:eastAsia="Arial"/>
        </w:rPr>
        <w:t xml:space="preserve"> </w:t>
      </w:r>
      <w:r w:rsidR="005A6581" w:rsidRPr="00D036C9">
        <w:rPr>
          <w:rFonts w:eastAsia="Arial"/>
        </w:rPr>
        <w:t>comprise</w:t>
      </w:r>
      <w:r w:rsidR="00DE58E2" w:rsidRPr="00D036C9">
        <w:rPr>
          <w:rFonts w:eastAsia="Arial"/>
        </w:rPr>
        <w:t xml:space="preserve"> </w:t>
      </w:r>
      <w:r w:rsidR="006E75D3">
        <w:rPr>
          <w:rFonts w:eastAsia="Arial"/>
        </w:rPr>
        <w:t>no more than</w:t>
      </w:r>
      <w:r w:rsidR="00DE58E2" w:rsidRPr="00D036C9">
        <w:rPr>
          <w:rFonts w:eastAsia="Arial"/>
        </w:rPr>
        <w:t xml:space="preserve"> 10 per cent of the total grant funding</w:t>
      </w:r>
      <w:r w:rsidR="006E75D3">
        <w:rPr>
          <w:rFonts w:eastAsia="Arial"/>
        </w:rPr>
        <w:t xml:space="preserve"> sought. Third,</w:t>
      </w:r>
      <w:r w:rsidR="00DE58E2" w:rsidRPr="00D036C9">
        <w:rPr>
          <w:rFonts w:eastAsia="Arial"/>
        </w:rPr>
        <w:t xml:space="preserve"> </w:t>
      </w:r>
      <w:r w:rsidR="00BD5AC7">
        <w:rPr>
          <w:rFonts w:eastAsia="Arial"/>
        </w:rPr>
        <w:t>the applicant’s</w:t>
      </w:r>
      <w:r w:rsidR="006E75D3">
        <w:rPr>
          <w:rFonts w:eastAsia="Arial"/>
        </w:rPr>
        <w:t xml:space="preserve"> </w:t>
      </w:r>
      <w:r w:rsidR="00DE58E2" w:rsidRPr="00D036C9">
        <w:rPr>
          <w:rFonts w:eastAsia="Arial"/>
        </w:rPr>
        <w:t xml:space="preserve">annual turnover in the most recently completed financial year is </w:t>
      </w:r>
      <w:r w:rsidR="006E75D3">
        <w:rPr>
          <w:rFonts w:eastAsia="Arial"/>
        </w:rPr>
        <w:t>equivalent to</w:t>
      </w:r>
      <w:r w:rsidR="00DE58E2" w:rsidRPr="00D036C9">
        <w:rPr>
          <w:rFonts w:eastAsia="Arial"/>
        </w:rPr>
        <w:t xml:space="preserve"> </w:t>
      </w:r>
      <w:r w:rsidR="005A6581" w:rsidRPr="00D036C9">
        <w:rPr>
          <w:rFonts w:eastAsia="Arial"/>
        </w:rPr>
        <w:t>AUD</w:t>
      </w:r>
      <w:r w:rsidR="00DE58E2" w:rsidRPr="00D036C9">
        <w:rPr>
          <w:rFonts w:eastAsia="Arial"/>
        </w:rPr>
        <w:t>$3 billion</w:t>
      </w:r>
      <w:r w:rsidR="006E75D3">
        <w:rPr>
          <w:rFonts w:eastAsia="Arial"/>
        </w:rPr>
        <w:t xml:space="preserve"> or less</w:t>
      </w:r>
      <w:r w:rsidR="7BC04D03" w:rsidRPr="229A6937">
        <w:rPr>
          <w:rFonts w:eastAsia="Arial"/>
        </w:rPr>
        <w:t>.</w:t>
      </w:r>
      <w:r w:rsidR="00DE58E2" w:rsidRPr="00D036C9">
        <w:rPr>
          <w:rFonts w:eastAsia="Arial"/>
        </w:rPr>
        <w:t> </w:t>
      </w:r>
    </w:p>
    <w:p w14:paraId="67221599" w14:textId="387180CD" w:rsidR="00F812F3" w:rsidRPr="00105FF6" w:rsidDel="00907A5D" w:rsidRDefault="00F812F3" w:rsidP="00F812F3">
      <w:pPr>
        <w:rPr>
          <w:rFonts w:eastAsia="Arial"/>
        </w:rPr>
      </w:pPr>
      <w:r w:rsidRPr="229A6937" w:rsidDel="00907A5D">
        <w:rPr>
          <w:rFonts w:eastAsia="Arial"/>
        </w:rPr>
        <w:t xml:space="preserve">Should you wish to include research or feasibility analysis in your application, you will need to satisfy the Commonwealth that the research or feasibilities analysis directly support the achievement of the planned outcomes for the project and the objectives of the program. </w:t>
      </w:r>
    </w:p>
    <w:p w14:paraId="21A38AAA" w14:textId="7451174D" w:rsidR="00F812F3" w:rsidRPr="00D036C9" w:rsidRDefault="00F812F3" w:rsidP="00F812F3">
      <w:pPr>
        <w:rPr>
          <w:rFonts w:eastAsia="Arial" w:cstheme="minorHAnsi"/>
        </w:rPr>
      </w:pPr>
      <w:r w:rsidRPr="00105FF6">
        <w:rPr>
          <w:rFonts w:eastAsia="Arial" w:cstheme="minorHAnsi"/>
        </w:rPr>
        <w:t xml:space="preserve">Further evidence is </w:t>
      </w:r>
      <w:r w:rsidR="00D2126E" w:rsidRPr="00D036C9">
        <w:rPr>
          <w:rFonts w:eastAsia="Arial" w:cstheme="minorHAnsi"/>
        </w:rPr>
        <w:t>recommended</w:t>
      </w:r>
      <w:r w:rsidR="00D2126E" w:rsidRPr="00105FF6">
        <w:rPr>
          <w:rFonts w:eastAsia="Arial" w:cstheme="minorHAnsi"/>
        </w:rPr>
        <w:t xml:space="preserve"> </w:t>
      </w:r>
      <w:r w:rsidRPr="00105FF6">
        <w:rPr>
          <w:rFonts w:eastAsia="Arial" w:cstheme="minorHAnsi"/>
        </w:rPr>
        <w:t>to illustrate emissions abatement potential of trial projects.</w:t>
      </w:r>
    </w:p>
    <w:p w14:paraId="5011A15C" w14:textId="0E1D83DB" w:rsidR="00EA4BBB" w:rsidRPr="00D036C9" w:rsidRDefault="00E67DE9" w:rsidP="00F812F3">
      <w:pPr>
        <w:rPr>
          <w:rFonts w:eastAsia="Arial" w:cstheme="minorHAnsi"/>
        </w:rPr>
      </w:pPr>
      <w:r w:rsidRPr="00D036C9">
        <w:rPr>
          <w:rFonts w:eastAsia="Arial" w:cstheme="minorHAnsi"/>
        </w:rPr>
        <w:t>Research or feas</w:t>
      </w:r>
      <w:r w:rsidR="00EA4BBB" w:rsidRPr="00D036C9">
        <w:rPr>
          <w:rFonts w:eastAsia="Arial" w:cstheme="minorHAnsi"/>
        </w:rPr>
        <w:t xml:space="preserve">ibility studies </w:t>
      </w:r>
      <w:r w:rsidR="004B588F">
        <w:rPr>
          <w:rFonts w:eastAsia="Arial" w:cstheme="minorHAnsi"/>
        </w:rPr>
        <w:t xml:space="preserve">(except for FEED studies as discussed above) </w:t>
      </w:r>
      <w:r w:rsidR="00EA4BBB" w:rsidRPr="00D036C9">
        <w:rPr>
          <w:rFonts w:eastAsia="Arial" w:cstheme="minorHAnsi"/>
        </w:rPr>
        <w:t xml:space="preserve">are </w:t>
      </w:r>
      <w:r w:rsidR="00EA4BBB" w:rsidRPr="00D036C9">
        <w:rPr>
          <w:rFonts w:eastAsia="Arial" w:cstheme="minorHAnsi"/>
          <w:b/>
          <w:bCs/>
        </w:rPr>
        <w:t>ineligible</w:t>
      </w:r>
      <w:r w:rsidR="00EA4BBB" w:rsidRPr="00D036C9">
        <w:rPr>
          <w:rFonts w:eastAsia="Arial" w:cstheme="minorHAnsi"/>
        </w:rPr>
        <w:t xml:space="preserve"> </w:t>
      </w:r>
      <w:r w:rsidR="005D01E3" w:rsidRPr="00D036C9">
        <w:rPr>
          <w:rFonts w:eastAsia="Arial" w:cstheme="minorHAnsi"/>
        </w:rPr>
        <w:t>for funding</w:t>
      </w:r>
      <w:r w:rsidR="00683118">
        <w:rPr>
          <w:rFonts w:eastAsia="Arial" w:cstheme="minorHAnsi"/>
        </w:rPr>
        <w:t>, including</w:t>
      </w:r>
      <w:r w:rsidR="005D01E3" w:rsidRPr="00D036C9">
        <w:rPr>
          <w:rFonts w:eastAsia="Arial" w:cstheme="minorHAnsi"/>
        </w:rPr>
        <w:t>:</w:t>
      </w:r>
    </w:p>
    <w:p w14:paraId="38692421" w14:textId="7669E786" w:rsidR="00BD0857" w:rsidRPr="00D036C9" w:rsidRDefault="00BD0857" w:rsidP="00BD0857">
      <w:pPr>
        <w:numPr>
          <w:ilvl w:val="0"/>
          <w:numId w:val="18"/>
        </w:numPr>
        <w:rPr>
          <w:rFonts w:eastAsia="Arial" w:cstheme="minorHAnsi"/>
        </w:rPr>
      </w:pPr>
      <w:r w:rsidRPr="00D036C9">
        <w:rPr>
          <w:rFonts w:eastAsia="Arial" w:cstheme="minorHAnsi"/>
        </w:rPr>
        <w:t>research not directly supporting eligible activities, including pre-feasibility and feasibility studies</w:t>
      </w:r>
      <w:r w:rsidR="00520F5E">
        <w:rPr>
          <w:rFonts w:eastAsia="Arial" w:cstheme="minorHAnsi"/>
        </w:rPr>
        <w:t>.</w:t>
      </w:r>
    </w:p>
    <w:p w14:paraId="349BD1F7" w14:textId="0EDD793F" w:rsidR="00BD0857" w:rsidRPr="00D036C9" w:rsidRDefault="00BD0857" w:rsidP="00BD0857">
      <w:pPr>
        <w:numPr>
          <w:ilvl w:val="0"/>
          <w:numId w:val="19"/>
        </w:numPr>
        <w:rPr>
          <w:rFonts w:eastAsia="Arial" w:cstheme="minorHAnsi"/>
        </w:rPr>
      </w:pPr>
      <w:r w:rsidRPr="00D036C9">
        <w:rPr>
          <w:rFonts w:eastAsia="Arial" w:cstheme="minorHAnsi"/>
        </w:rPr>
        <w:t>costs associated with reaching or undertaking a Final Investment Decision (FID)</w:t>
      </w:r>
      <w:r w:rsidR="00520F5E">
        <w:rPr>
          <w:rFonts w:eastAsia="Arial" w:cstheme="minorHAnsi"/>
        </w:rPr>
        <w:t>.</w:t>
      </w:r>
    </w:p>
    <w:p w14:paraId="5597F578" w14:textId="3E659210" w:rsidR="00FC7579" w:rsidRPr="00D036C9" w:rsidRDefault="00FC7579" w:rsidP="00D036C9">
      <w:pPr>
        <w:rPr>
          <w:rFonts w:eastAsia="Arial" w:cstheme="minorHAnsi"/>
        </w:rPr>
      </w:pPr>
      <w:r w:rsidRPr="00D036C9">
        <w:rPr>
          <w:rFonts w:eastAsia="Arial" w:cstheme="minorHAnsi"/>
        </w:rPr>
        <w:t xml:space="preserve">When responding to assessment criteria 2, </w:t>
      </w:r>
      <w:r w:rsidR="00172C42" w:rsidRPr="00D036C9">
        <w:rPr>
          <w:rFonts w:eastAsia="Arial" w:cstheme="minorHAnsi"/>
        </w:rPr>
        <w:t xml:space="preserve">it is important to note that including FEED in your </w:t>
      </w:r>
      <w:r w:rsidR="00B00BE9" w:rsidRPr="00D036C9">
        <w:rPr>
          <w:rFonts w:eastAsia="Arial" w:cstheme="minorHAnsi"/>
        </w:rPr>
        <w:t xml:space="preserve">grant </w:t>
      </w:r>
      <w:r w:rsidR="00172C42" w:rsidRPr="00D036C9">
        <w:rPr>
          <w:rFonts w:eastAsia="Arial" w:cstheme="minorHAnsi"/>
        </w:rPr>
        <w:t xml:space="preserve">application </w:t>
      </w:r>
      <w:r w:rsidR="00683118">
        <w:rPr>
          <w:rFonts w:eastAsia="Arial" w:cstheme="minorHAnsi"/>
        </w:rPr>
        <w:t>means you may</w:t>
      </w:r>
      <w:r w:rsidR="00683118" w:rsidRPr="00D036C9">
        <w:rPr>
          <w:rFonts w:eastAsia="Arial" w:cstheme="minorHAnsi"/>
        </w:rPr>
        <w:t xml:space="preserve"> </w:t>
      </w:r>
      <w:r w:rsidR="007C0A1D" w:rsidRPr="00D036C9">
        <w:rPr>
          <w:rFonts w:eastAsia="Arial" w:cstheme="minorHAnsi"/>
        </w:rPr>
        <w:t xml:space="preserve">not score as highly as </w:t>
      </w:r>
      <w:r w:rsidR="00B00BE9" w:rsidRPr="00D036C9">
        <w:rPr>
          <w:rFonts w:eastAsia="Arial" w:cstheme="minorHAnsi"/>
        </w:rPr>
        <w:t>a similar project that has already passed FID</w:t>
      </w:r>
      <w:r w:rsidR="00624659" w:rsidRPr="00D036C9">
        <w:rPr>
          <w:rFonts w:eastAsia="Arial" w:cstheme="minorHAnsi"/>
        </w:rPr>
        <w:t xml:space="preserve"> without</w:t>
      </w:r>
      <w:r w:rsidR="004E284F" w:rsidRPr="00D036C9">
        <w:rPr>
          <w:rFonts w:eastAsia="Arial" w:cstheme="minorHAnsi"/>
        </w:rPr>
        <w:t xml:space="preserve"> a strong response with supporting evidence</w:t>
      </w:r>
      <w:r w:rsidR="00B00BE9" w:rsidRPr="00D036C9">
        <w:rPr>
          <w:rFonts w:eastAsia="Arial" w:cstheme="minorHAnsi"/>
        </w:rPr>
        <w:t>.</w:t>
      </w:r>
    </w:p>
    <w:p w14:paraId="1A0B6DCF" w14:textId="140A8C4F" w:rsidR="00F812F3" w:rsidRPr="00105FF6" w:rsidRDefault="00F85474" w:rsidP="00F812F3">
      <w:pPr>
        <w:rPr>
          <w:u w:val="single"/>
        </w:rPr>
      </w:pPr>
      <w:r w:rsidRPr="001C473D">
        <w:t>Section 5 of the guidelines</w:t>
      </w:r>
      <w:r w:rsidR="00F812F3" w:rsidRPr="00105FF6">
        <w:t xml:space="preserve"> sets out requirements for your project to be eligible for funding, including eligible activities, locations, and expenditure. Further details on eligible and ineligible expenditures are in </w:t>
      </w:r>
      <w:r w:rsidRPr="001C473D">
        <w:t>Appendix A and B of the guidelines.</w:t>
      </w:r>
    </w:p>
    <w:p w14:paraId="43804DB4" w14:textId="313D5F2F" w:rsidR="00F812F3" w:rsidRPr="00105FF6" w:rsidRDefault="00F812F3" w:rsidP="00F812F3">
      <w:pPr>
        <w:pStyle w:val="Heading3"/>
        <w:rPr>
          <w:rFonts w:eastAsiaTheme="minorHAnsi"/>
        </w:rPr>
      </w:pPr>
      <w:r w:rsidRPr="00105FF6">
        <w:lastRenderedPageBreak/>
        <w:t xml:space="preserve">2.3 Can I </w:t>
      </w:r>
      <w:r w:rsidR="008360CC">
        <w:t>buy</w:t>
      </w:r>
      <w:r w:rsidR="008360CC" w:rsidRPr="00105FF6">
        <w:rPr>
          <w:rFonts w:eastAsiaTheme="minorHAnsi"/>
        </w:rPr>
        <w:t xml:space="preserve"> </w:t>
      </w:r>
      <w:r w:rsidRPr="00105FF6">
        <w:rPr>
          <w:rFonts w:eastAsiaTheme="minorHAnsi"/>
        </w:rPr>
        <w:t>Australian Carbon Credits Units (ACCUs) with grant funding?</w:t>
      </w:r>
    </w:p>
    <w:p w14:paraId="2C31D260" w14:textId="77777777" w:rsidR="00F812F3" w:rsidRPr="00105FF6" w:rsidRDefault="00F812F3" w:rsidP="00F812F3">
      <w:pPr>
        <w:rPr>
          <w:rFonts w:eastAsia="Arial" w:cstheme="minorHAnsi"/>
        </w:rPr>
      </w:pPr>
      <w:r w:rsidRPr="00105FF6">
        <w:rPr>
          <w:rFonts w:eastAsia="Arial" w:cstheme="minorHAnsi"/>
        </w:rPr>
        <w:t xml:space="preserve">No, the purchase of ACCUs or any credits in any other carbon crediting scheme is an ineligible expenditure. </w:t>
      </w:r>
    </w:p>
    <w:p w14:paraId="0E607A81" w14:textId="0A424919" w:rsidR="00F812F3" w:rsidRPr="00105FF6" w:rsidRDefault="00F812F3" w:rsidP="00F812F3">
      <w:pPr>
        <w:rPr>
          <w:rFonts w:eastAsia="Arial"/>
          <w:u w:val="single"/>
        </w:rPr>
      </w:pPr>
      <w:r w:rsidRPr="00105FF6">
        <w:rPr>
          <w:rFonts w:eastAsia="Arial"/>
        </w:rPr>
        <w:t xml:space="preserve">The STS aims to fund </w:t>
      </w:r>
      <w:r w:rsidRPr="00105FF6">
        <w:rPr>
          <w:rFonts w:eastAsia="Arial"/>
          <w:b/>
        </w:rPr>
        <w:t>new capital investments</w:t>
      </w:r>
      <w:r w:rsidRPr="00105FF6">
        <w:rPr>
          <w:rFonts w:eastAsia="Arial"/>
        </w:rPr>
        <w:t xml:space="preserve"> at trade-exposed Safeguard Mechanism facilities </w:t>
      </w:r>
      <w:r w:rsidR="00FA6019">
        <w:rPr>
          <w:rFonts w:eastAsia="Arial"/>
        </w:rPr>
        <w:t xml:space="preserve">(or in common user infrastructure that supports those facilities) </w:t>
      </w:r>
      <w:r w:rsidRPr="00105FF6">
        <w:rPr>
          <w:rFonts w:eastAsia="Arial"/>
        </w:rPr>
        <w:t xml:space="preserve">that reduce scope 1 emissions. As a result, these types of projects are not eligible in line with </w:t>
      </w:r>
      <w:r w:rsidR="00F85474" w:rsidRPr="00FE17C5">
        <w:t>Appendix B of the guidelines.</w:t>
      </w:r>
    </w:p>
    <w:p w14:paraId="2648613C" w14:textId="08FFF6AF" w:rsidR="00F812F3" w:rsidRPr="00105FF6" w:rsidRDefault="00F812F3" w:rsidP="00F812F3">
      <w:pPr>
        <w:pStyle w:val="Heading3"/>
      </w:pPr>
      <w:r w:rsidRPr="00105FF6">
        <w:t xml:space="preserve">2.4 How much funding is available? </w:t>
      </w:r>
    </w:p>
    <w:p w14:paraId="41C70161" w14:textId="5598F5FB" w:rsidR="00F812F3" w:rsidRPr="00105FF6" w:rsidRDefault="00F812F3" w:rsidP="00F812F3">
      <w:r w:rsidRPr="00105FF6">
        <w:t xml:space="preserve">Information about the grants available is in </w:t>
      </w:r>
      <w:r w:rsidR="00F85474" w:rsidRPr="00FE17C5">
        <w:t>Section 3 of the guidelines</w:t>
      </w:r>
      <w:r w:rsidRPr="00105FF6">
        <w:t xml:space="preserve">. </w:t>
      </w:r>
    </w:p>
    <w:p w14:paraId="12DF1D30" w14:textId="6A2161C6" w:rsidR="006336A8" w:rsidRPr="00105FF6" w:rsidRDefault="00C7680E" w:rsidP="00F812F3">
      <w:r w:rsidRPr="00FE17C5">
        <w:t>The S</w:t>
      </w:r>
      <w:r w:rsidR="1E67AAA3">
        <w:t>TS</w:t>
      </w:r>
      <w:r w:rsidRPr="00FE17C5">
        <w:t xml:space="preserve"> is a $600m grant program</w:t>
      </w:r>
      <w:r>
        <w:t>.</w:t>
      </w:r>
      <w:r w:rsidRPr="00FE17C5">
        <w:t xml:space="preserve"> </w:t>
      </w:r>
      <w:r w:rsidR="2CC53478">
        <w:t xml:space="preserve">The </w:t>
      </w:r>
      <w:r w:rsidR="006336A8">
        <w:t xml:space="preserve">second round of the </w:t>
      </w:r>
      <w:r w:rsidR="5166C4B2">
        <w:t>PRF STS has</w:t>
      </w:r>
      <w:r w:rsidR="006336A8">
        <w:t xml:space="preserve"> approximately $3</w:t>
      </w:r>
      <w:r w:rsidR="002A0B86">
        <w:t>21</w:t>
      </w:r>
      <w:r w:rsidR="006336A8">
        <w:t xml:space="preserve"> million available </w:t>
      </w:r>
      <w:r w:rsidR="00113369">
        <w:t>through to 31 March 2033</w:t>
      </w:r>
      <w:r w:rsidR="006336A8">
        <w:t>. </w:t>
      </w:r>
    </w:p>
    <w:p w14:paraId="554CC9F4" w14:textId="7F06A372" w:rsidR="00F812F3" w:rsidRDefault="00F812F3" w:rsidP="00F812F3">
      <w:r w:rsidRPr="00105FF6">
        <w:t xml:space="preserve">The minimum grant amount is $500,000 and the maximum grant amount is $50,000,000. </w:t>
      </w:r>
    </w:p>
    <w:p w14:paraId="26F5D37F" w14:textId="1274E3FA" w:rsidR="003F7FA2" w:rsidRPr="00105FF6" w:rsidRDefault="003F7FA2" w:rsidP="003F7FA2">
      <w:pPr>
        <w:pStyle w:val="Heading3"/>
      </w:pPr>
      <w:r w:rsidRPr="00105FF6">
        <w:t>2.</w:t>
      </w:r>
      <w:r>
        <w:t>5</w:t>
      </w:r>
      <w:r w:rsidRPr="00105FF6">
        <w:t xml:space="preserve"> How much of my project will the grant cover?</w:t>
      </w:r>
    </w:p>
    <w:p w14:paraId="7DEC76AB" w14:textId="283272CB" w:rsidR="00F812F3" w:rsidRPr="00105FF6" w:rsidRDefault="00F812F3" w:rsidP="00F812F3">
      <w:r w:rsidRPr="00105FF6">
        <w:t>The grant amount</w:t>
      </w:r>
      <w:r w:rsidRPr="00105FF6" w:rsidDel="003F7FA2">
        <w:t xml:space="preserve"> </w:t>
      </w:r>
      <w:r w:rsidR="003F7FA2">
        <w:t>may cover</w:t>
      </w:r>
      <w:r w:rsidRPr="00105FF6" w:rsidDel="003F7FA2">
        <w:t xml:space="preserve"> </w:t>
      </w:r>
      <w:r w:rsidR="003F7FA2">
        <w:t>only</w:t>
      </w:r>
      <w:r w:rsidRPr="00105FF6">
        <w:t xml:space="preserve"> </w:t>
      </w:r>
      <w:r w:rsidRPr="00105FF6">
        <w:rPr>
          <w:u w:val="single"/>
        </w:rPr>
        <w:t>up to</w:t>
      </w:r>
      <w:r w:rsidRPr="00105FF6">
        <w:t xml:space="preserve"> 50 per cent of eligible expenditure. This is the maximum contribution and if successful, you may be offered less than 50 per cent</w:t>
      </w:r>
      <w:r w:rsidR="00821C18" w:rsidRPr="00105FF6">
        <w:t xml:space="preserve"> of your project cost</w:t>
      </w:r>
      <w:r w:rsidRPr="00105FF6">
        <w:t xml:space="preserve">. </w:t>
      </w:r>
    </w:p>
    <w:p w14:paraId="4ACDA6E5" w14:textId="04BA523C" w:rsidR="36227C5E" w:rsidRDefault="000413DE" w:rsidP="6843E244">
      <w:pPr>
        <w:spacing w:before="120" w:after="120"/>
        <w:rPr>
          <w:rFonts w:ascii="Aptos" w:eastAsia="Aptos" w:hAnsi="Aptos" w:cs="Aptos"/>
          <w:color w:val="000000" w:themeColor="text1"/>
        </w:rPr>
      </w:pPr>
      <w:r w:rsidRPr="6843E244">
        <w:rPr>
          <w:rFonts w:ascii="Aptos" w:eastAsia="Aptos" w:hAnsi="Aptos" w:cs="Aptos"/>
          <w:color w:val="000000" w:themeColor="text1"/>
        </w:rPr>
        <w:t>You are responsible for the remaining eligible and</w:t>
      </w:r>
      <w:r w:rsidR="00821C18" w:rsidRPr="6843E244">
        <w:rPr>
          <w:rFonts w:ascii="Aptos" w:eastAsia="Aptos" w:hAnsi="Aptos" w:cs="Aptos"/>
          <w:color w:val="000000" w:themeColor="text1"/>
        </w:rPr>
        <w:t xml:space="preserve"> </w:t>
      </w:r>
      <w:r w:rsidRPr="6843E244">
        <w:rPr>
          <w:rFonts w:ascii="Aptos" w:eastAsia="Aptos" w:hAnsi="Aptos" w:cs="Aptos"/>
          <w:color w:val="000000" w:themeColor="text1"/>
        </w:rPr>
        <w:t>ineligible project costs.</w:t>
      </w:r>
    </w:p>
    <w:p w14:paraId="32101662" w14:textId="3C3DF559" w:rsidR="00687C76" w:rsidRPr="00105FF6" w:rsidRDefault="00687C76" w:rsidP="00687C76">
      <w:pPr>
        <w:pStyle w:val="Heading3"/>
      </w:pPr>
      <w:r w:rsidRPr="00105FF6">
        <w:t>2.</w:t>
      </w:r>
      <w:r>
        <w:t>6</w:t>
      </w:r>
      <w:r w:rsidRPr="00105FF6">
        <w:t xml:space="preserve"> </w:t>
      </w:r>
      <w:r w:rsidR="00FE642B">
        <w:t>W</w:t>
      </w:r>
      <w:r w:rsidR="002916FC">
        <w:t>hat do I need to know about</w:t>
      </w:r>
      <w:r w:rsidR="004F5DDC">
        <w:t xml:space="preserve"> my co-contr</w:t>
      </w:r>
      <w:r w:rsidR="00DD5D44">
        <w:t>i</w:t>
      </w:r>
      <w:r w:rsidR="004F5DDC">
        <w:t>butions</w:t>
      </w:r>
      <w:r>
        <w:t>?</w:t>
      </w:r>
    </w:p>
    <w:p w14:paraId="0F57DFCC" w14:textId="4D01AB39" w:rsidR="495E6F72" w:rsidRDefault="495E6F72" w:rsidP="00940AFE">
      <w:pPr>
        <w:spacing w:before="120" w:after="120"/>
        <w:rPr>
          <w:rFonts w:ascii="Aptos" w:eastAsia="Aptos" w:hAnsi="Aptos" w:cs="Aptos"/>
          <w:color w:val="000000" w:themeColor="text1"/>
        </w:rPr>
      </w:pPr>
      <w:r w:rsidRPr="6843E244">
        <w:rPr>
          <w:rFonts w:ascii="Aptos" w:eastAsia="Aptos" w:hAnsi="Aptos" w:cs="Aptos"/>
          <w:color w:val="000000" w:themeColor="text1"/>
        </w:rPr>
        <w:t>Co-contributions to your project must be in cash</w:t>
      </w:r>
      <w:r w:rsidR="00174F98">
        <w:rPr>
          <w:rFonts w:ascii="Aptos" w:eastAsia="Aptos" w:hAnsi="Aptos" w:cs="Aptos"/>
          <w:color w:val="000000" w:themeColor="text1"/>
        </w:rPr>
        <w:t xml:space="preserve"> (that is</w:t>
      </w:r>
      <w:r w:rsidR="00794FB8">
        <w:rPr>
          <w:rFonts w:ascii="Aptos" w:eastAsia="Aptos" w:hAnsi="Aptos" w:cs="Aptos"/>
          <w:color w:val="000000" w:themeColor="text1"/>
        </w:rPr>
        <w:t>,</w:t>
      </w:r>
      <w:r w:rsidR="00174F98">
        <w:rPr>
          <w:rFonts w:ascii="Aptos" w:eastAsia="Aptos" w:hAnsi="Aptos" w:cs="Aptos"/>
          <w:color w:val="000000" w:themeColor="text1"/>
        </w:rPr>
        <w:t xml:space="preserve"> not ‘in kind’</w:t>
      </w:r>
      <w:r w:rsidR="00794FB8">
        <w:rPr>
          <w:rFonts w:ascii="Aptos" w:eastAsia="Aptos" w:hAnsi="Aptos" w:cs="Aptos"/>
          <w:color w:val="000000" w:themeColor="text1"/>
        </w:rPr>
        <w:t xml:space="preserve"> contributions</w:t>
      </w:r>
      <w:r w:rsidR="00174F98">
        <w:rPr>
          <w:rFonts w:ascii="Aptos" w:eastAsia="Aptos" w:hAnsi="Aptos" w:cs="Aptos"/>
          <w:color w:val="000000" w:themeColor="text1"/>
        </w:rPr>
        <w:t>)</w:t>
      </w:r>
      <w:r w:rsidRPr="6843E244">
        <w:rPr>
          <w:rFonts w:ascii="Aptos" w:eastAsia="Aptos" w:hAnsi="Aptos" w:cs="Aptos"/>
          <w:color w:val="000000" w:themeColor="text1"/>
        </w:rPr>
        <w:t>.</w:t>
      </w:r>
    </w:p>
    <w:p w14:paraId="0AFB1A4E" w14:textId="47FF9BE3" w:rsidR="495E6F72" w:rsidRDefault="00562635" w:rsidP="00940AFE">
      <w:pPr>
        <w:spacing w:before="120" w:after="120"/>
        <w:rPr>
          <w:rFonts w:ascii="Aptos" w:eastAsia="Aptos" w:hAnsi="Aptos" w:cs="Aptos"/>
          <w:color w:val="000000" w:themeColor="text1"/>
        </w:rPr>
      </w:pPr>
      <w:r w:rsidRPr="6843E244">
        <w:rPr>
          <w:rFonts w:ascii="Aptos" w:eastAsia="Aptos" w:hAnsi="Aptos" w:cs="Aptos"/>
          <w:color w:val="000000" w:themeColor="text1"/>
        </w:rPr>
        <w:t>Co-contributions may be from any source including parent company transfers, private loans, direct funds provided by joint partners or consortia (where relevant) with a limit of 40</w:t>
      </w:r>
      <w:r w:rsidR="52C69430" w:rsidRPr="229A6937">
        <w:rPr>
          <w:rFonts w:ascii="Aptos" w:eastAsia="Aptos" w:hAnsi="Aptos" w:cs="Aptos"/>
          <w:color w:val="000000" w:themeColor="text1"/>
        </w:rPr>
        <w:t xml:space="preserve"> per cent</w:t>
      </w:r>
      <w:r w:rsidRPr="6843E244">
        <w:rPr>
          <w:rFonts w:ascii="Aptos" w:eastAsia="Aptos" w:hAnsi="Aptos" w:cs="Aptos"/>
          <w:color w:val="000000" w:themeColor="text1"/>
        </w:rPr>
        <w:t xml:space="preserve"> of your co-contribution being funded from government sources, including loans, concessional financing, and grants from state, territory and local government.</w:t>
      </w:r>
    </w:p>
    <w:p w14:paraId="1229A2ED" w14:textId="6296D956" w:rsidR="00692010" w:rsidRPr="00105FF6" w:rsidRDefault="00692010" w:rsidP="00692010">
      <w:pPr>
        <w:pStyle w:val="Heading3"/>
      </w:pPr>
      <w:r>
        <w:t>2</w:t>
      </w:r>
      <w:r w:rsidRPr="00105FF6">
        <w:t>.</w:t>
      </w:r>
      <w:r w:rsidR="0002459E">
        <w:t>7</w:t>
      </w:r>
      <w:r w:rsidRPr="00105FF6">
        <w:t xml:space="preserve"> Can I apply for funding under the STS and other Grants?  </w:t>
      </w:r>
    </w:p>
    <w:p w14:paraId="625C2640" w14:textId="77777777" w:rsidR="00692010" w:rsidRPr="00105FF6" w:rsidRDefault="00692010" w:rsidP="00692010">
      <w:r w:rsidRPr="00105FF6">
        <w:t xml:space="preserve">While you can apply for funding for the </w:t>
      </w:r>
      <w:r w:rsidRPr="00003C2A">
        <w:t>same</w:t>
      </w:r>
      <w:r w:rsidRPr="00105FF6">
        <w:t xml:space="preserve"> project under more than one Commonwealth program, we cannot fund your project if it receives funding from another Commonwealth grant program. Therefore, should your application be successful, you must choose either the </w:t>
      </w:r>
      <w:r>
        <w:t xml:space="preserve">PRF STS </w:t>
      </w:r>
      <w:r w:rsidRPr="00105FF6">
        <w:t>grant or the other Commonwealth grant.</w:t>
      </w:r>
    </w:p>
    <w:p w14:paraId="04346262" w14:textId="4743F103" w:rsidR="00692010" w:rsidRPr="00105FF6" w:rsidRDefault="00692010" w:rsidP="00692010">
      <w:r w:rsidRPr="00105FF6">
        <w:t>You can receive State</w:t>
      </w:r>
      <w:r w:rsidR="00BC452E">
        <w:t xml:space="preserve">, </w:t>
      </w:r>
      <w:r w:rsidRPr="00105FF6">
        <w:t>Territory</w:t>
      </w:r>
      <w:r>
        <w:t xml:space="preserve"> or </w:t>
      </w:r>
      <w:r w:rsidR="00BC452E">
        <w:t>L</w:t>
      </w:r>
      <w:r>
        <w:t xml:space="preserve">ocal </w:t>
      </w:r>
      <w:r w:rsidR="00BC452E">
        <w:t>G</w:t>
      </w:r>
      <w:r>
        <w:t>overnment</w:t>
      </w:r>
      <w:r w:rsidRPr="00105FF6">
        <w:t xml:space="preserve"> grant funding up to 40</w:t>
      </w:r>
      <w:r>
        <w:t xml:space="preserve"> per cent</w:t>
      </w:r>
      <w:r w:rsidRPr="00105FF6">
        <w:t xml:space="preserve"> of your contribution component, </w:t>
      </w:r>
      <w:r>
        <w:t>including</w:t>
      </w:r>
      <w:r w:rsidRPr="00105FF6">
        <w:t xml:space="preserve"> joint funding or other funding arrangements such as concessional or other loans</w:t>
      </w:r>
      <w:r>
        <w:t>.</w:t>
      </w:r>
      <w:r w:rsidRPr="00105FF6">
        <w:t xml:space="preserve"> We will require an independent certification that you have the funds available to support your part of the project.</w:t>
      </w:r>
    </w:p>
    <w:p w14:paraId="68AF0A1D" w14:textId="77777777" w:rsidR="00692010" w:rsidRPr="00105FF6" w:rsidRDefault="00692010" w:rsidP="00692010">
      <w:r w:rsidRPr="00105FF6">
        <w:t xml:space="preserve">Information about additional funding sources is set out in </w:t>
      </w:r>
      <w:r w:rsidRPr="004B1231">
        <w:t>Section 3 of the guidelines</w:t>
      </w:r>
      <w:r w:rsidRPr="00105FF6">
        <w:t xml:space="preserve">. </w:t>
      </w:r>
    </w:p>
    <w:p w14:paraId="65E85448" w14:textId="1555EC7C" w:rsidR="00F812F3" w:rsidRPr="00105FF6" w:rsidRDefault="00F812F3" w:rsidP="00F812F3">
      <w:pPr>
        <w:pStyle w:val="Heading3"/>
      </w:pPr>
      <w:r w:rsidRPr="00105FF6">
        <w:t>2.</w:t>
      </w:r>
      <w:r w:rsidR="0067264F">
        <w:t>8</w:t>
      </w:r>
      <w:r w:rsidRPr="00105FF6">
        <w:t xml:space="preserve"> Can I </w:t>
      </w:r>
      <w:r w:rsidR="00E27133">
        <w:t>apply for more than one project</w:t>
      </w:r>
      <w:r w:rsidRPr="00105FF6">
        <w:t>?</w:t>
      </w:r>
      <w:r w:rsidR="00940E48">
        <w:t xml:space="preserve"> </w:t>
      </w:r>
    </w:p>
    <w:p w14:paraId="438922DD" w14:textId="5BE5D45B" w:rsidR="00913B2E" w:rsidRPr="00105FF6" w:rsidRDefault="00F812F3" w:rsidP="00F812F3">
      <w:r w:rsidRPr="00105FF6">
        <w:t xml:space="preserve">You may apply </w:t>
      </w:r>
      <w:r w:rsidR="00C62F86" w:rsidRPr="00105FF6">
        <w:t xml:space="preserve">more than once in </w:t>
      </w:r>
      <w:r w:rsidR="00957437">
        <w:t>Round 2</w:t>
      </w:r>
      <w:r w:rsidR="00D97D6D">
        <w:t>,</w:t>
      </w:r>
      <w:r w:rsidR="00957437">
        <w:t xml:space="preserve"> including </w:t>
      </w:r>
      <w:r w:rsidR="00D97D6D">
        <w:t>submitting multiple applications in a single</w:t>
      </w:r>
      <w:r w:rsidR="00C62F86" w:rsidRPr="00105FF6">
        <w:t xml:space="preserve"> batch</w:t>
      </w:r>
      <w:r w:rsidR="006C609E" w:rsidRPr="00105FF6">
        <w:t>;</w:t>
      </w:r>
      <w:r w:rsidRPr="00105FF6">
        <w:t xml:space="preserve"> </w:t>
      </w:r>
      <w:r w:rsidR="00506AC7" w:rsidRPr="00105FF6">
        <w:t>however,</w:t>
      </w:r>
      <w:r w:rsidRPr="00105FF6">
        <w:t xml:space="preserve"> each application must be for a different project and activities.</w:t>
      </w:r>
    </w:p>
    <w:p w14:paraId="30A65E56" w14:textId="77777777" w:rsidR="00F812F3" w:rsidRPr="00105FF6" w:rsidRDefault="00F812F3" w:rsidP="00F812F3">
      <w:pPr>
        <w:pStyle w:val="Heading2"/>
      </w:pPr>
      <w:r w:rsidRPr="00105FF6">
        <w:t>3. Project locations</w:t>
      </w:r>
    </w:p>
    <w:p w14:paraId="797DD451" w14:textId="1FACB4BC" w:rsidR="00F812F3" w:rsidRPr="00EE1EA3" w:rsidRDefault="00F812F3" w:rsidP="005A339A">
      <w:pPr>
        <w:pStyle w:val="Heading3"/>
      </w:pPr>
      <w:r w:rsidRPr="005A339A">
        <w:t xml:space="preserve">3.1 </w:t>
      </w:r>
      <w:r w:rsidR="00EB501B" w:rsidRPr="005A339A">
        <w:t xml:space="preserve">Do I have to </w:t>
      </w:r>
      <w:r w:rsidR="003D625C">
        <w:t>undertake</w:t>
      </w:r>
      <w:r w:rsidR="00EB501B" w:rsidRPr="005A339A">
        <w:t xml:space="preserve"> my project in a specific location</w:t>
      </w:r>
      <w:r w:rsidRPr="005A339A">
        <w:t>?</w:t>
      </w:r>
    </w:p>
    <w:p w14:paraId="6B4727C7" w14:textId="35ECDF9A" w:rsidR="00F812F3" w:rsidRDefault="00855AD0" w:rsidP="00F812F3">
      <w:pPr>
        <w:rPr>
          <w:rFonts w:eastAsia="Arial"/>
        </w:rPr>
      </w:pPr>
      <w:r w:rsidRPr="00105FF6">
        <w:t xml:space="preserve">Your project must be delivered in </w:t>
      </w:r>
      <w:r w:rsidR="008F0D98" w:rsidRPr="00105FF6">
        <w:t>Australia and</w:t>
      </w:r>
      <w:r w:rsidR="008868D3" w:rsidRPr="00105FF6">
        <w:t xml:space="preserve"> must deliver </w:t>
      </w:r>
      <w:r w:rsidR="003029DF">
        <w:t>s</w:t>
      </w:r>
      <w:r w:rsidR="008868D3" w:rsidRPr="00105FF6">
        <w:t>cope 1 emissions reduction at a</w:t>
      </w:r>
      <w:r w:rsidR="008520CF" w:rsidRPr="00105FF6">
        <w:t>n eligible</w:t>
      </w:r>
      <w:r w:rsidR="008868D3" w:rsidRPr="00105FF6">
        <w:t xml:space="preserve"> Safeguard facility</w:t>
      </w:r>
      <w:r w:rsidR="008520CF" w:rsidRPr="00105FF6">
        <w:t>.</w:t>
      </w:r>
      <w:r w:rsidRPr="00105FF6">
        <w:t xml:space="preserve"> </w:t>
      </w:r>
      <w:r w:rsidR="00EB03A0">
        <w:t xml:space="preserve">Projects themselves do not need to take place within the eligible facility, for example where </w:t>
      </w:r>
      <w:r w:rsidR="00F000CE">
        <w:t xml:space="preserve">a project </w:t>
      </w:r>
      <w:r w:rsidR="007B7880">
        <w:t>constructs</w:t>
      </w:r>
      <w:r w:rsidR="00485BBE">
        <w:t xml:space="preserve"> common user infrastructure </w:t>
      </w:r>
      <w:r w:rsidR="007B7880">
        <w:t xml:space="preserve">such as a hydrogen or biofuel </w:t>
      </w:r>
      <w:r w:rsidR="007B7880">
        <w:lastRenderedPageBreak/>
        <w:t xml:space="preserve">plant </w:t>
      </w:r>
      <w:r w:rsidR="00485BBE">
        <w:t xml:space="preserve">to </w:t>
      </w:r>
      <w:r w:rsidR="007B7880">
        <w:t xml:space="preserve">reduce emissions at an eligible facility. </w:t>
      </w:r>
      <w:r w:rsidR="00F85474" w:rsidRPr="00B818A5">
        <w:t>Section 5.2 of the guidelines</w:t>
      </w:r>
      <w:r w:rsidR="00F812F3" w:rsidRPr="00105FF6">
        <w:rPr>
          <w:rFonts w:eastAsia="Arial"/>
        </w:rPr>
        <w:t xml:space="preserve"> details the locations where your project must be delivered.</w:t>
      </w:r>
      <w:r w:rsidRPr="00105FF6">
        <w:rPr>
          <w:rFonts w:eastAsia="Arial"/>
        </w:rPr>
        <w:t xml:space="preserve"> </w:t>
      </w:r>
    </w:p>
    <w:p w14:paraId="32E1180F" w14:textId="77777777" w:rsidR="0002459E" w:rsidRPr="00105FF6" w:rsidRDefault="0002459E" w:rsidP="0002459E">
      <w:pPr>
        <w:pStyle w:val="Heading3"/>
        <w:spacing w:before="0"/>
        <w:rPr>
          <w:rFonts w:eastAsia="Arial"/>
        </w:rPr>
      </w:pPr>
      <w:r w:rsidRPr="00105FF6">
        <w:t>3.</w:t>
      </w:r>
      <w:r>
        <w:t>2</w:t>
      </w:r>
      <w:r w:rsidRPr="00105FF6">
        <w:t xml:space="preserve"> Are there specific funding allocations by region?</w:t>
      </w:r>
    </w:p>
    <w:p w14:paraId="23CDDCFA" w14:textId="52FE6A3F" w:rsidR="00F812F3" w:rsidRDefault="00F812F3" w:rsidP="00F812F3">
      <w:r w:rsidRPr="00105FF6">
        <w:rPr>
          <w:rFonts w:eastAsia="Arial"/>
        </w:rPr>
        <w:t xml:space="preserve">Funding will be allocated on a competitive basis and not by specific regions, although the </w:t>
      </w:r>
      <w:r w:rsidR="00942F8C" w:rsidRPr="00105FF6">
        <w:rPr>
          <w:rFonts w:eastAsia="Arial"/>
        </w:rPr>
        <w:t xml:space="preserve">PRF EAP </w:t>
      </w:r>
      <w:r w:rsidRPr="00105FF6">
        <w:rPr>
          <w:rFonts w:eastAsia="Arial"/>
        </w:rPr>
        <w:t xml:space="preserve">will also take into consideration the </w:t>
      </w:r>
      <w:r w:rsidR="00100F17" w:rsidRPr="00105FF6">
        <w:rPr>
          <w:rFonts w:eastAsia="Arial"/>
        </w:rPr>
        <w:t xml:space="preserve">geographic </w:t>
      </w:r>
      <w:r w:rsidRPr="00105FF6">
        <w:rPr>
          <w:rFonts w:eastAsia="Arial"/>
        </w:rPr>
        <w:t xml:space="preserve">spread of successful projects in its assessment in accordance with </w:t>
      </w:r>
      <w:r w:rsidR="00F85474" w:rsidRPr="00AE3742">
        <w:t>Section 8.1 of the guidelines.</w:t>
      </w:r>
    </w:p>
    <w:p w14:paraId="2BA33B03" w14:textId="77777777" w:rsidR="00F812F3" w:rsidRPr="00105FF6" w:rsidRDefault="00F812F3" w:rsidP="00F812F3">
      <w:pPr>
        <w:pStyle w:val="Heading2"/>
      </w:pPr>
      <w:r w:rsidRPr="00105FF6">
        <w:t>4. Project duration</w:t>
      </w:r>
    </w:p>
    <w:p w14:paraId="301BB3EA" w14:textId="3C9D9880" w:rsidR="00F812F3" w:rsidRPr="00105FF6" w:rsidRDefault="00F812F3" w:rsidP="00F812F3">
      <w:pPr>
        <w:pStyle w:val="Heading3"/>
      </w:pPr>
      <w:r w:rsidRPr="00105FF6">
        <w:t xml:space="preserve">4.1 </w:t>
      </w:r>
      <w:r w:rsidR="00EB501B">
        <w:t xml:space="preserve">How long do I have </w:t>
      </w:r>
      <w:r w:rsidR="00415B00">
        <w:t>to do my project</w:t>
      </w:r>
      <w:r w:rsidRPr="00105FF6">
        <w:t>?</w:t>
      </w:r>
    </w:p>
    <w:p w14:paraId="3110787B" w14:textId="2BE3F4C7" w:rsidR="007A386F" w:rsidRPr="00AE3742" w:rsidRDefault="00F812F3" w:rsidP="007A386F">
      <w:pPr>
        <w:rPr>
          <w:rFonts w:eastAsia="Arial" w:cstheme="minorHAnsi"/>
        </w:rPr>
      </w:pPr>
      <w:r w:rsidRPr="00105FF6">
        <w:rPr>
          <w:rFonts w:eastAsia="Arial" w:cstheme="minorHAnsi"/>
        </w:rPr>
        <w:t xml:space="preserve">Section 3.2 of the guidelines states </w:t>
      </w:r>
      <w:r w:rsidR="007A386F" w:rsidRPr="00AE3742">
        <w:rPr>
          <w:rFonts w:eastAsia="Arial" w:cstheme="minorHAnsi"/>
        </w:rPr>
        <w:t>the maximum project period is 60 months. </w:t>
      </w:r>
    </w:p>
    <w:p w14:paraId="5FEAC7F2" w14:textId="77777777" w:rsidR="007A386F" w:rsidRPr="00AE3742" w:rsidRDefault="007A386F" w:rsidP="007A386F">
      <w:pPr>
        <w:rPr>
          <w:rFonts w:eastAsia="Arial" w:cstheme="minorHAnsi"/>
        </w:rPr>
      </w:pPr>
      <w:r w:rsidRPr="00AE3742">
        <w:rPr>
          <w:rFonts w:eastAsia="Arial" w:cstheme="minorHAnsi"/>
        </w:rPr>
        <w:t>You must complete your project by 31 March 2033.  </w:t>
      </w:r>
    </w:p>
    <w:p w14:paraId="6C813D60" w14:textId="2501799C" w:rsidR="00C27A19" w:rsidRPr="00AE3742" w:rsidRDefault="00C27A19" w:rsidP="007A386F">
      <w:pPr>
        <w:rPr>
          <w:rFonts w:eastAsia="Arial" w:cstheme="minorHAnsi"/>
        </w:rPr>
      </w:pPr>
      <w:r>
        <w:rPr>
          <w:rFonts w:eastAsia="Arial" w:cstheme="minorHAnsi"/>
        </w:rPr>
        <w:t xml:space="preserve">Where </w:t>
      </w:r>
      <w:r w:rsidR="00395154">
        <w:rPr>
          <w:rFonts w:eastAsia="Arial" w:cstheme="minorHAnsi"/>
        </w:rPr>
        <w:t xml:space="preserve">a decarbonisation </w:t>
      </w:r>
      <w:r w:rsidR="00016D90">
        <w:rPr>
          <w:rFonts w:eastAsia="Arial" w:cstheme="minorHAnsi"/>
        </w:rPr>
        <w:t>project</w:t>
      </w:r>
      <w:r w:rsidR="00E25694">
        <w:rPr>
          <w:rFonts w:eastAsia="Arial" w:cstheme="minorHAnsi"/>
        </w:rPr>
        <w:t xml:space="preserve"> for an eligible facility</w:t>
      </w:r>
      <w:r w:rsidR="00395154">
        <w:rPr>
          <w:rFonts w:eastAsia="Arial" w:cstheme="minorHAnsi"/>
        </w:rPr>
        <w:t xml:space="preserve"> </w:t>
      </w:r>
      <w:r w:rsidR="00016D90">
        <w:rPr>
          <w:rFonts w:eastAsia="Arial" w:cstheme="minorHAnsi"/>
        </w:rPr>
        <w:t>would</w:t>
      </w:r>
      <w:r w:rsidR="00E25694">
        <w:rPr>
          <w:rFonts w:eastAsia="Arial" w:cstheme="minorHAnsi"/>
        </w:rPr>
        <w:t xml:space="preserve"> run</w:t>
      </w:r>
      <w:r w:rsidR="00395154">
        <w:rPr>
          <w:rFonts w:eastAsia="Arial" w:cstheme="minorHAnsi"/>
        </w:rPr>
        <w:t xml:space="preserve"> beyond </w:t>
      </w:r>
      <w:r w:rsidR="00395154" w:rsidRPr="00AE3742">
        <w:rPr>
          <w:rFonts w:eastAsia="Arial" w:cstheme="minorHAnsi"/>
        </w:rPr>
        <w:t>31 March 2033</w:t>
      </w:r>
      <w:r w:rsidR="00772FBF">
        <w:rPr>
          <w:rFonts w:eastAsia="Arial" w:cstheme="minorHAnsi"/>
        </w:rPr>
        <w:t xml:space="preserve">, </w:t>
      </w:r>
      <w:r w:rsidR="005B1174">
        <w:rPr>
          <w:rFonts w:eastAsia="Arial" w:cstheme="minorHAnsi"/>
        </w:rPr>
        <w:t xml:space="preserve">a </w:t>
      </w:r>
      <w:r w:rsidR="00016D90">
        <w:rPr>
          <w:rFonts w:eastAsia="Arial" w:cstheme="minorHAnsi"/>
        </w:rPr>
        <w:t>specific component (sub-project)</w:t>
      </w:r>
      <w:r w:rsidR="005B1174">
        <w:rPr>
          <w:rFonts w:eastAsia="Arial" w:cstheme="minorHAnsi"/>
        </w:rPr>
        <w:t xml:space="preserve"> of the </w:t>
      </w:r>
      <w:r w:rsidR="00E25694">
        <w:rPr>
          <w:rFonts w:eastAsia="Arial" w:cstheme="minorHAnsi"/>
        </w:rPr>
        <w:t>project</w:t>
      </w:r>
      <w:r w:rsidR="005B1174">
        <w:rPr>
          <w:rFonts w:eastAsia="Arial" w:cstheme="minorHAnsi"/>
        </w:rPr>
        <w:t xml:space="preserve"> </w:t>
      </w:r>
      <w:r w:rsidR="00B51164">
        <w:rPr>
          <w:rFonts w:eastAsia="Arial" w:cstheme="minorHAnsi"/>
        </w:rPr>
        <w:t xml:space="preserve">which </w:t>
      </w:r>
      <w:r w:rsidR="00016D90">
        <w:rPr>
          <w:rFonts w:eastAsia="Arial" w:cstheme="minorHAnsi"/>
        </w:rPr>
        <w:t>is able to be</w:t>
      </w:r>
      <w:r w:rsidR="00B51164">
        <w:rPr>
          <w:rFonts w:eastAsia="Arial" w:cstheme="minorHAnsi"/>
        </w:rPr>
        <w:t xml:space="preserve"> completed before </w:t>
      </w:r>
      <w:r w:rsidR="001B4CA8">
        <w:rPr>
          <w:rFonts w:eastAsia="Arial" w:cstheme="minorHAnsi"/>
        </w:rPr>
        <w:t>this date</w:t>
      </w:r>
      <w:r w:rsidR="00B51164">
        <w:rPr>
          <w:rFonts w:eastAsia="Arial" w:cstheme="minorHAnsi"/>
        </w:rPr>
        <w:t xml:space="preserve"> </w:t>
      </w:r>
      <w:r w:rsidR="00016D90">
        <w:rPr>
          <w:rFonts w:eastAsia="Arial" w:cstheme="minorHAnsi"/>
        </w:rPr>
        <w:t>could be considered an eligible project</w:t>
      </w:r>
      <w:r w:rsidR="001B4CA8">
        <w:rPr>
          <w:rFonts w:eastAsia="Arial" w:cstheme="minorHAnsi"/>
        </w:rPr>
        <w:t>,</w:t>
      </w:r>
      <w:r w:rsidR="00016D90">
        <w:rPr>
          <w:rFonts w:eastAsia="Arial" w:cstheme="minorHAnsi"/>
        </w:rPr>
        <w:t xml:space="preserve"> subject to the other requirements in the Guidelines. </w:t>
      </w:r>
      <w:r w:rsidR="00B51164">
        <w:rPr>
          <w:rFonts w:eastAsia="Arial" w:cstheme="minorHAnsi"/>
        </w:rPr>
        <w:t xml:space="preserve"> </w:t>
      </w:r>
    </w:p>
    <w:p w14:paraId="5A7D8E70" w14:textId="77777777" w:rsidR="00F812F3" w:rsidRPr="00105FF6" w:rsidRDefault="00F812F3" w:rsidP="00F812F3">
      <w:pPr>
        <w:pStyle w:val="Heading2"/>
      </w:pPr>
      <w:r w:rsidRPr="00105FF6">
        <w:t xml:space="preserve">5. Assessment criteria </w:t>
      </w:r>
    </w:p>
    <w:p w14:paraId="53A270CC" w14:textId="3C0C283E" w:rsidR="00F812F3" w:rsidRDefault="00F812F3" w:rsidP="0002459E">
      <w:pPr>
        <w:pStyle w:val="Heading3"/>
      </w:pPr>
      <w:r w:rsidRPr="00105FF6">
        <w:t xml:space="preserve">5.1 What are you looking for in a project? </w:t>
      </w:r>
    </w:p>
    <w:p w14:paraId="0F1B7986" w14:textId="36E082A1" w:rsidR="00F812F3" w:rsidRPr="00EE1EA3" w:rsidRDefault="00F812F3" w:rsidP="00EE1EA3">
      <w:pPr>
        <w:rPr>
          <w:rFonts w:eastAsia="Arial"/>
        </w:rPr>
      </w:pPr>
      <w:r w:rsidRPr="00EE1EA3">
        <w:rPr>
          <w:rFonts w:eastAsia="Arial"/>
        </w:rPr>
        <w:t>STS is open to a range of projects in relation to trade-exposed facilities that reduce scope 1 emissions (</w:t>
      </w:r>
      <w:r w:rsidR="00F85474" w:rsidRPr="00EE1EA3">
        <w:rPr>
          <w:rFonts w:eastAsia="Arial"/>
        </w:rPr>
        <w:t>See Section 4 and 5 of the guidelines</w:t>
      </w:r>
      <w:r w:rsidRPr="00EE1EA3">
        <w:rPr>
          <w:rFonts w:eastAsia="Arial"/>
        </w:rPr>
        <w:t xml:space="preserve">). </w:t>
      </w:r>
    </w:p>
    <w:p w14:paraId="435CD7AB" w14:textId="4CBB662A" w:rsidR="0002459E" w:rsidRPr="00105FF6" w:rsidRDefault="0002459E" w:rsidP="089D5813">
      <w:pPr>
        <w:pStyle w:val="Heading3"/>
      </w:pPr>
      <w:r w:rsidRPr="00105FF6">
        <w:t>5.</w:t>
      </w:r>
      <w:r>
        <w:t>2</w:t>
      </w:r>
      <w:r w:rsidRPr="00105FF6">
        <w:t xml:space="preserve"> </w:t>
      </w:r>
      <w:r>
        <w:t xml:space="preserve">How will applications be assessed? </w:t>
      </w:r>
    </w:p>
    <w:p w14:paraId="2C11C15A" w14:textId="2884627E" w:rsidR="00F812F3" w:rsidRPr="00105FF6" w:rsidRDefault="0002459E" w:rsidP="00F812F3">
      <w:r>
        <w:t xml:space="preserve">Eligible </w:t>
      </w:r>
      <w:r w:rsidR="00F812F3" w:rsidRPr="00105FF6">
        <w:t xml:space="preserve">Applications will be assessed on three weighted </w:t>
      </w:r>
      <w:r>
        <w:t xml:space="preserve">assessment </w:t>
      </w:r>
      <w:r w:rsidR="00F812F3" w:rsidRPr="00105FF6">
        <w:t xml:space="preserve">criteria: </w:t>
      </w:r>
    </w:p>
    <w:p w14:paraId="403371F6" w14:textId="189B5848" w:rsidR="00F812F3" w:rsidRPr="00105FF6" w:rsidRDefault="00F812F3" w:rsidP="00F812F3">
      <w:pPr>
        <w:ind w:left="851" w:hanging="425"/>
      </w:pPr>
      <w:r w:rsidRPr="00105FF6">
        <w:t>1.</w:t>
      </w:r>
      <w:r w:rsidRPr="00105FF6">
        <w:tab/>
        <w:t xml:space="preserve">Your project’s contribution to Australia’s emissions reductions targets </w:t>
      </w:r>
      <w:r w:rsidR="0002459E">
        <w:t>by</w:t>
      </w:r>
      <w:r w:rsidRPr="00105FF6">
        <w:t xml:space="preserve"> 2030</w:t>
      </w:r>
      <w:r w:rsidR="0002459E">
        <w:t>, 2035</w:t>
      </w:r>
      <w:r w:rsidRPr="00105FF6">
        <w:t xml:space="preserve"> and 2050 (50 points)</w:t>
      </w:r>
    </w:p>
    <w:p w14:paraId="10A7C329" w14:textId="77777777" w:rsidR="00F812F3" w:rsidRPr="00105FF6" w:rsidRDefault="00F812F3" w:rsidP="00F812F3">
      <w:pPr>
        <w:ind w:left="851" w:hanging="425"/>
      </w:pPr>
      <w:r w:rsidRPr="00105FF6">
        <w:t>2.</w:t>
      </w:r>
      <w:r w:rsidRPr="00105FF6">
        <w:tab/>
        <w:t>Your capacity, capability, and resources to deliver the project (10 points)</w:t>
      </w:r>
    </w:p>
    <w:p w14:paraId="0EF6B8BD" w14:textId="77777777" w:rsidR="00F812F3" w:rsidRPr="00105FF6" w:rsidRDefault="00F812F3" w:rsidP="00F812F3">
      <w:pPr>
        <w:ind w:left="851" w:hanging="425"/>
      </w:pPr>
      <w:r w:rsidRPr="00105FF6">
        <w:t>3.</w:t>
      </w:r>
      <w:r w:rsidRPr="00105FF6">
        <w:tab/>
        <w:t>The impact of grant funding (40 points)</w:t>
      </w:r>
    </w:p>
    <w:p w14:paraId="2A19F105" w14:textId="7E484462" w:rsidR="00F812F3" w:rsidRPr="00105FF6" w:rsidRDefault="00DE6AA3" w:rsidP="00F812F3">
      <w:r w:rsidRPr="00105FF6">
        <w:t>A</w:t>
      </w:r>
      <w:r w:rsidR="00F812F3" w:rsidRPr="00105FF6">
        <w:t xml:space="preserve">pplications will be assessed as a </w:t>
      </w:r>
      <w:r w:rsidR="00F812F3" w:rsidRPr="00105FF6">
        <w:rPr>
          <w:u w:val="single"/>
        </w:rPr>
        <w:t>whole</w:t>
      </w:r>
      <w:r w:rsidR="00F812F3" w:rsidRPr="00105FF6">
        <w:t xml:space="preserve"> proposal including consideration of value with relevant money</w:t>
      </w:r>
      <w:r w:rsidR="003314CB">
        <w:t xml:space="preserve"> </w:t>
      </w:r>
      <w:r w:rsidR="00101F18" w:rsidRPr="00105FF6">
        <w:t>(</w:t>
      </w:r>
      <w:r w:rsidR="00AE3742">
        <w:t>S</w:t>
      </w:r>
      <w:r w:rsidR="00101F18" w:rsidRPr="00105FF6">
        <w:t>ection 14</w:t>
      </w:r>
      <w:r w:rsidR="00B06A49" w:rsidRPr="00105FF6">
        <w:t xml:space="preserve"> </w:t>
      </w:r>
      <w:r w:rsidR="00875634" w:rsidRPr="00105FF6">
        <w:t xml:space="preserve">- </w:t>
      </w:r>
      <w:r w:rsidR="00B06A49" w:rsidRPr="00105FF6">
        <w:t>Glossary</w:t>
      </w:r>
      <w:r w:rsidR="00101F18" w:rsidRPr="00105FF6">
        <w:t>, page</w:t>
      </w:r>
      <w:r w:rsidR="00B06A49" w:rsidRPr="00105FF6">
        <w:t xml:space="preserve"> </w:t>
      </w:r>
      <w:r w:rsidR="007B7121">
        <w:t xml:space="preserve">31 </w:t>
      </w:r>
      <w:r w:rsidR="00875634" w:rsidRPr="00105FF6">
        <w:t>provides</w:t>
      </w:r>
      <w:r w:rsidR="00B06A49" w:rsidRPr="00105FF6">
        <w:t xml:space="preserve"> a definition)</w:t>
      </w:r>
      <w:r w:rsidR="00F812F3" w:rsidRPr="00105FF6">
        <w:t xml:space="preserve">. As such, applicants should submit the most attractive proposal possible, ensuring all assessment criteria (including all indicators and dot points as outlined in </w:t>
      </w:r>
      <w:r w:rsidR="00F85474" w:rsidRPr="00385627">
        <w:t>Section 6 of the guidelines</w:t>
      </w:r>
      <w:r w:rsidR="00F812F3" w:rsidRPr="00105FF6">
        <w:t>) are addressed, including evidence (</w:t>
      </w:r>
      <w:r w:rsidR="00F812F3" w:rsidRPr="00105FF6">
        <w:rPr>
          <w:u w:val="single"/>
        </w:rPr>
        <w:t xml:space="preserve">See </w:t>
      </w:r>
      <w:r w:rsidR="00F85474" w:rsidRPr="00385627">
        <w:t>Section 6 and 7 of the guidelines</w:t>
      </w:r>
      <w:r w:rsidR="00F812F3" w:rsidRPr="00105FF6">
        <w:t>).</w:t>
      </w:r>
    </w:p>
    <w:p w14:paraId="404015CC" w14:textId="61D56DFE" w:rsidR="00F812F3" w:rsidRPr="00105FF6" w:rsidRDefault="00F812F3" w:rsidP="00F812F3">
      <w:pPr>
        <w:pStyle w:val="Heading3"/>
      </w:pPr>
      <w:r w:rsidRPr="00105FF6">
        <w:t>5.</w:t>
      </w:r>
      <w:r w:rsidR="0002459E">
        <w:t>3</w:t>
      </w:r>
      <w:r w:rsidRPr="00105FF6">
        <w:t xml:space="preserve"> How much information should I provide?</w:t>
      </w:r>
    </w:p>
    <w:p w14:paraId="5831DD61" w14:textId="77777777" w:rsidR="00F812F3" w:rsidRPr="00105FF6" w:rsidRDefault="00F812F3" w:rsidP="00F812F3">
      <w:r w:rsidRPr="00105FF6">
        <w:t xml:space="preserve">The amount of detail and supporting evidence you provide in your application should be relative to the project size, complexity and grant amount requested. </w:t>
      </w:r>
    </w:p>
    <w:p w14:paraId="1C649ACC" w14:textId="0EDCC98A" w:rsidR="00ED0AAC" w:rsidRPr="00385627" w:rsidRDefault="00ED0AAC" w:rsidP="00ED0AAC">
      <w:r w:rsidRPr="00105FF6">
        <w:t xml:space="preserve">We encourage applicants to provide as much information as </w:t>
      </w:r>
      <w:r>
        <w:t>necessary for</w:t>
      </w:r>
      <w:r w:rsidRPr="00105FF6">
        <w:t xml:space="preserve"> the PRF EAP </w:t>
      </w:r>
      <w:r>
        <w:t>to</w:t>
      </w:r>
      <w:r w:rsidRPr="00105FF6">
        <w:t xml:space="preserve"> understand your project </w:t>
      </w:r>
      <w:r w:rsidR="00314EBC">
        <w:t>and how it will deliver on program objectives</w:t>
      </w:r>
      <w:r w:rsidRPr="00105FF6">
        <w:t>.</w:t>
      </w:r>
    </w:p>
    <w:p w14:paraId="1F034C3E" w14:textId="3DD6398D" w:rsidR="0002459E" w:rsidRPr="00105FF6" w:rsidRDefault="0002459E" w:rsidP="0002459E">
      <w:pPr>
        <w:pStyle w:val="Heading3"/>
      </w:pPr>
      <w:r w:rsidRPr="00105FF6">
        <w:t>5.</w:t>
      </w:r>
      <w:r>
        <w:t>4</w:t>
      </w:r>
      <w:r w:rsidRPr="00105FF6">
        <w:t xml:space="preserve"> </w:t>
      </w:r>
      <w:r w:rsidR="005041E8">
        <w:t>D</w:t>
      </w:r>
      <w:r w:rsidR="00666CCA">
        <w:t>o I have to</w:t>
      </w:r>
      <w:r w:rsidRPr="00105FF6">
        <w:t xml:space="preserve"> address all the Assessment Criteria?</w:t>
      </w:r>
    </w:p>
    <w:p w14:paraId="634A4AA6" w14:textId="383E49DE" w:rsidR="00F812F3" w:rsidRPr="00105FF6" w:rsidRDefault="0002459E" w:rsidP="37274139">
      <w:r>
        <w:t xml:space="preserve">Yes, applications will be assessed against each </w:t>
      </w:r>
      <w:r w:rsidR="00244558">
        <w:t xml:space="preserve">point and sub-point identified in the </w:t>
      </w:r>
      <w:r>
        <w:t>Assessment Criteria</w:t>
      </w:r>
      <w:r w:rsidR="00244558">
        <w:t xml:space="preserve"> in Section 6 of the guidelines</w:t>
      </w:r>
      <w:r>
        <w:t>.</w:t>
      </w:r>
      <w:r w:rsidR="00FC0C18">
        <w:t xml:space="preserve"> The weighting of each </w:t>
      </w:r>
      <w:proofErr w:type="gramStart"/>
      <w:r w:rsidR="00FC0C18">
        <w:t>criteria</w:t>
      </w:r>
      <w:proofErr w:type="gramEnd"/>
      <w:r w:rsidR="00FC0C18">
        <w:t xml:space="preserve"> should be considered a guide as to where you should </w:t>
      </w:r>
      <w:r w:rsidR="008A1DFD">
        <w:t>focus your application.</w:t>
      </w:r>
    </w:p>
    <w:p w14:paraId="2E5D155C" w14:textId="256B5707" w:rsidR="00F812F3" w:rsidRPr="003D625C" w:rsidRDefault="00F812F3" w:rsidP="003D625C">
      <w:pPr>
        <w:pStyle w:val="Heading3"/>
      </w:pPr>
      <w:r w:rsidRPr="003D625C">
        <w:lastRenderedPageBreak/>
        <w:t>5.</w:t>
      </w:r>
      <w:r w:rsidR="003926D0" w:rsidRPr="003D625C">
        <w:t>5</w:t>
      </w:r>
      <w:r w:rsidRPr="003D625C">
        <w:t xml:space="preserve"> How will emissions abatement be measured? </w:t>
      </w:r>
    </w:p>
    <w:p w14:paraId="0802137C" w14:textId="38375FEC" w:rsidR="001C00B2" w:rsidRPr="00DC665D" w:rsidRDefault="00F812F3" w:rsidP="001C00B2">
      <w:r w:rsidRPr="00105FF6">
        <w:t xml:space="preserve">You must identify your project’s emissions abatement potential (focusing on scope 1 emissions) and provide your corporate and/or facility emission reduction plan. </w:t>
      </w:r>
      <w:r w:rsidR="00F85474" w:rsidRPr="00427E87">
        <w:t>Section 6.1 (Assessment Criterion 1) of the guidelines</w:t>
      </w:r>
      <w:r w:rsidRPr="00105FF6">
        <w:t xml:space="preserve"> </w:t>
      </w:r>
      <w:r w:rsidR="00316AA1" w:rsidRPr="00DC665D">
        <w:t>states y</w:t>
      </w:r>
      <w:r w:rsidR="001C00B2" w:rsidRPr="00DC665D">
        <w:t>ou must demonstrate this through identifying your: </w:t>
      </w:r>
    </w:p>
    <w:p w14:paraId="52B2416E" w14:textId="77777777" w:rsidR="001C00B2" w:rsidRPr="00DC665D" w:rsidRDefault="001C00B2" w:rsidP="001C00B2">
      <w:pPr>
        <w:numPr>
          <w:ilvl w:val="0"/>
          <w:numId w:val="21"/>
        </w:numPr>
      </w:pPr>
      <w:r w:rsidRPr="00DC665D">
        <w:t>project’s emissions abatement potential. This must detail: </w:t>
      </w:r>
    </w:p>
    <w:p w14:paraId="1B84FA72" w14:textId="6361E33F" w:rsidR="001C00B2" w:rsidRPr="00DC665D" w:rsidRDefault="001C00B2" w:rsidP="0002459E">
      <w:pPr>
        <w:numPr>
          <w:ilvl w:val="0"/>
          <w:numId w:val="22"/>
        </w:numPr>
        <w:tabs>
          <w:tab w:val="clear" w:pos="720"/>
          <w:tab w:val="num" w:pos="1080"/>
        </w:tabs>
        <w:ind w:left="1080"/>
      </w:pPr>
      <w:r w:rsidRPr="00DC665D">
        <w:t>the potential scope 1 emissions reductions from trade-exposed Safeguard facilities to be delivered by the project in tonnes of carbon dioxide equivalent per annum (tCO</w:t>
      </w:r>
      <w:r w:rsidRPr="00DC665D">
        <w:rPr>
          <w:vertAlign w:val="subscript"/>
        </w:rPr>
        <w:t>2</w:t>
      </w:r>
      <w:r w:rsidRPr="00DC665D">
        <w:t>-e p.a.). You must include the basis for your calculations with sufficient detail for them to be replicated and validated</w:t>
      </w:r>
      <w:r w:rsidR="00AE5598">
        <w:t>.</w:t>
      </w:r>
      <w:r w:rsidRPr="00DC665D">
        <w:t>  </w:t>
      </w:r>
    </w:p>
    <w:p w14:paraId="5788A6F4" w14:textId="30976CE2" w:rsidR="001C00B2" w:rsidRPr="00DC665D" w:rsidRDefault="001C00B2" w:rsidP="0002459E">
      <w:pPr>
        <w:numPr>
          <w:ilvl w:val="0"/>
          <w:numId w:val="23"/>
        </w:numPr>
        <w:tabs>
          <w:tab w:val="clear" w:pos="720"/>
          <w:tab w:val="num" w:pos="1080"/>
        </w:tabs>
        <w:ind w:left="1080"/>
      </w:pPr>
      <w:r w:rsidRPr="00DC665D">
        <w:t>the expected timing for delivery of any emission reductions and the impact of grant funding in reducing this (if relevant)</w:t>
      </w:r>
      <w:r w:rsidR="00AE5598">
        <w:t>.</w:t>
      </w:r>
      <w:r w:rsidRPr="00DC665D">
        <w:t>  </w:t>
      </w:r>
    </w:p>
    <w:p w14:paraId="3079B9AE" w14:textId="77777777" w:rsidR="001C00B2" w:rsidRPr="00DC665D" w:rsidRDefault="001C00B2" w:rsidP="0002459E">
      <w:pPr>
        <w:numPr>
          <w:ilvl w:val="0"/>
          <w:numId w:val="24"/>
        </w:numPr>
        <w:tabs>
          <w:tab w:val="clear" w:pos="720"/>
          <w:tab w:val="num" w:pos="1080"/>
        </w:tabs>
        <w:ind w:left="1080"/>
      </w:pPr>
      <w:r w:rsidRPr="00DC665D">
        <w:t>how the project relates to any other projects or upgrades planned for the facility.  </w:t>
      </w:r>
    </w:p>
    <w:p w14:paraId="48D51649" w14:textId="77777777" w:rsidR="001C00B2" w:rsidRPr="00DC665D" w:rsidRDefault="001C00B2" w:rsidP="001C00B2">
      <w:pPr>
        <w:numPr>
          <w:ilvl w:val="0"/>
          <w:numId w:val="25"/>
        </w:numPr>
      </w:pPr>
      <w:r w:rsidRPr="00DC665D">
        <w:t>corporate and/or facility emission reduction plans. This should include: </w:t>
      </w:r>
    </w:p>
    <w:p w14:paraId="31C4D2B3" w14:textId="0CD12C1D" w:rsidR="001C00B2" w:rsidRPr="00DC665D" w:rsidRDefault="001C00B2" w:rsidP="0002459E">
      <w:pPr>
        <w:numPr>
          <w:ilvl w:val="0"/>
          <w:numId w:val="26"/>
        </w:numPr>
        <w:tabs>
          <w:tab w:val="clear" w:pos="720"/>
          <w:tab w:val="num" w:pos="1080"/>
        </w:tabs>
        <w:ind w:left="1080"/>
      </w:pPr>
      <w:r w:rsidRPr="00DC665D">
        <w:t>a summary of any existing corporate or facility emission reduction commitments</w:t>
      </w:r>
      <w:r w:rsidR="00AE5598">
        <w:t>.</w:t>
      </w:r>
    </w:p>
    <w:p w14:paraId="66D3F13F" w14:textId="7DA8A68B" w:rsidR="001C00B2" w:rsidRPr="00DC665D" w:rsidRDefault="001C00B2" w:rsidP="0002459E">
      <w:pPr>
        <w:numPr>
          <w:ilvl w:val="0"/>
          <w:numId w:val="27"/>
        </w:numPr>
        <w:tabs>
          <w:tab w:val="clear" w:pos="720"/>
          <w:tab w:val="num" w:pos="1080"/>
        </w:tabs>
        <w:ind w:left="1080"/>
      </w:pPr>
      <w:r w:rsidRPr="00DC665D">
        <w:t>a summary of your obligations under the Safeguard Mechanism</w:t>
      </w:r>
      <w:r w:rsidR="00AE5598">
        <w:t>.</w:t>
      </w:r>
    </w:p>
    <w:p w14:paraId="076E753B" w14:textId="48782BD7" w:rsidR="001C00B2" w:rsidRPr="00105FF6" w:rsidRDefault="001C00B2" w:rsidP="0002459E">
      <w:pPr>
        <w:numPr>
          <w:ilvl w:val="0"/>
          <w:numId w:val="28"/>
        </w:numPr>
        <w:tabs>
          <w:tab w:val="clear" w:pos="720"/>
          <w:tab w:val="num" w:pos="1080"/>
        </w:tabs>
        <w:ind w:left="1080"/>
      </w:pPr>
      <w:r w:rsidRPr="00DC665D">
        <w:t>an explanation of how this project supports or accelerates your plans to meet relevant corporate and regional commitments.  </w:t>
      </w:r>
    </w:p>
    <w:p w14:paraId="32BA8DF2" w14:textId="77777777" w:rsidR="00F812F3" w:rsidRPr="00105FF6" w:rsidRDefault="00F812F3" w:rsidP="00F812F3">
      <w:r w:rsidRPr="00105FF6">
        <w:t>When calculating ‘emissions abatement potential’ please consider and factor in considerations like the risk of non-delivery, as some technologies and processes may be more reliable than others. </w:t>
      </w:r>
    </w:p>
    <w:p w14:paraId="39E43ABB" w14:textId="2F288E8E" w:rsidR="00F812F3" w:rsidRPr="00105FF6" w:rsidRDefault="00F812F3" w:rsidP="00F812F3">
      <w:r w:rsidRPr="00105FF6">
        <w:t>Figures</w:t>
      </w:r>
      <w:r w:rsidR="00C462B0">
        <w:t>, especially expected abatement or emission reduction</w:t>
      </w:r>
      <w:r w:rsidR="00820C53">
        <w:t xml:space="preserve"> figures,</w:t>
      </w:r>
      <w:r w:rsidRPr="00105FF6">
        <w:t xml:space="preserve"> should be clearly stated and easy to locate within your application. They should also be consistent across the application and project plan with calculations and justifications provided</w:t>
      </w:r>
      <w:r w:rsidR="00262543">
        <w:t>,</w:t>
      </w:r>
      <w:r w:rsidRPr="00105FF6">
        <w:t xml:space="preserve"> as appropriate. </w:t>
      </w:r>
    </w:p>
    <w:p w14:paraId="03ADEC28" w14:textId="6B5FD92C" w:rsidR="00F812F3" w:rsidRPr="00105FF6" w:rsidRDefault="00F812F3" w:rsidP="00F812F3">
      <w:r w:rsidRPr="00105FF6">
        <w:t xml:space="preserve">You should demonstrate how your project and plans align with the Government’s targets, </w:t>
      </w:r>
      <w:r w:rsidR="003629FE">
        <w:t xml:space="preserve">any corporate or facility targets, </w:t>
      </w:r>
      <w:r w:rsidRPr="00105FF6">
        <w:t>and how that may impact your compliance with the Safeguard Mechanism. For example, do you expect to produce Safeguard Mechanism credit units (SMCs) as a result of the investment.</w:t>
      </w:r>
    </w:p>
    <w:p w14:paraId="4249744D" w14:textId="77777777" w:rsidR="00F812F3" w:rsidRDefault="00F812F3" w:rsidP="00F812F3">
      <w:r w:rsidRPr="00105FF6">
        <w:t>Assessments of other metrics for emissions abatement to support your case can be noted in your application as part of your overall or facility emission reduction plans. Your application will be assessed as a whole proposal against the three Assessment Criteria.</w:t>
      </w:r>
    </w:p>
    <w:p w14:paraId="257B2FAB" w14:textId="053E42FF" w:rsidR="0002459E" w:rsidRPr="00105FF6" w:rsidRDefault="0002459E" w:rsidP="0002459E">
      <w:pPr>
        <w:pStyle w:val="Heading3"/>
      </w:pPr>
      <w:r w:rsidRPr="00105FF6">
        <w:t>5.</w:t>
      </w:r>
      <w:r w:rsidR="003926D0">
        <w:t>6</w:t>
      </w:r>
      <w:r w:rsidRPr="00105FF6">
        <w:t xml:space="preserve"> Is there a set carbon price or emission target expected of projects?</w:t>
      </w:r>
    </w:p>
    <w:p w14:paraId="2D7EEB6E" w14:textId="35747138" w:rsidR="00F812F3" w:rsidRPr="00105FF6" w:rsidRDefault="00800C85" w:rsidP="789DDC27">
      <w:r>
        <w:t xml:space="preserve">No. But </w:t>
      </w:r>
      <w:r w:rsidR="00C84814">
        <w:t>your project</w:t>
      </w:r>
      <w:r w:rsidR="00AC7A5F">
        <w:t xml:space="preserve"> will be </w:t>
      </w:r>
      <w:r w:rsidR="005D4AD4">
        <w:t xml:space="preserve">competitively </w:t>
      </w:r>
      <w:r w:rsidR="00AC7A5F">
        <w:t xml:space="preserve">assessed </w:t>
      </w:r>
      <w:r w:rsidR="005D4AD4">
        <w:t xml:space="preserve">against other eligible applications </w:t>
      </w:r>
      <w:r w:rsidR="009F78CF">
        <w:t>for</w:t>
      </w:r>
      <w:r w:rsidR="00FA378F">
        <w:t xml:space="preserve"> value for money</w:t>
      </w:r>
      <w:r>
        <w:t xml:space="preserve">. </w:t>
      </w:r>
      <w:r w:rsidR="00644F97">
        <w:t xml:space="preserve"> </w:t>
      </w:r>
    </w:p>
    <w:p w14:paraId="16FF898A" w14:textId="7445042A" w:rsidR="00F812F3" w:rsidRPr="00994472" w:rsidRDefault="00F812F3" w:rsidP="003D625C">
      <w:pPr>
        <w:pStyle w:val="Heading3"/>
      </w:pPr>
      <w:r w:rsidRPr="003D625C">
        <w:t>5.</w:t>
      </w:r>
      <w:r w:rsidR="003926D0" w:rsidRPr="003D625C">
        <w:t>7</w:t>
      </w:r>
      <w:r w:rsidRPr="003D625C">
        <w:t xml:space="preserve"> My project reduces indirect (scope 2 and 3) emissions. How will these be assessed? </w:t>
      </w:r>
    </w:p>
    <w:p w14:paraId="644C2542" w14:textId="0359A692" w:rsidR="00F812F3" w:rsidRPr="00105FF6" w:rsidRDefault="00F812F3" w:rsidP="00F812F3">
      <w:r w:rsidRPr="00105FF6">
        <w:t>The objective of STS is to help trade-exposed facilities covered by the Safeguard Mechanism reduce scope 1 emissions. Your response to Assessment Criterion 1 (</w:t>
      </w:r>
      <w:r w:rsidR="00F85474" w:rsidRPr="00427E87">
        <w:t>Section 6.1 of the guidelines</w:t>
      </w:r>
      <w:r w:rsidRPr="00105FF6">
        <w:t xml:space="preserve">) should focus on this aspect. </w:t>
      </w:r>
    </w:p>
    <w:p w14:paraId="2C143A8C" w14:textId="5FA6BC64" w:rsidR="00184A47" w:rsidRPr="00105FF6" w:rsidRDefault="00184A47" w:rsidP="00F812F3">
      <w:r w:rsidRPr="00105FF6">
        <w:t xml:space="preserve">You may note any additional potential scope 2 or 3 emission increases or reductions obtained by this project as these may be </w:t>
      </w:r>
      <w:proofErr w:type="gramStart"/>
      <w:r w:rsidRPr="00105FF6">
        <w:t>taken into account</w:t>
      </w:r>
      <w:proofErr w:type="gramEnd"/>
      <w:r w:rsidRPr="00105FF6">
        <w:t xml:space="preserve"> as part of your overall corporate and/or facility emission reduction plans. </w:t>
      </w:r>
    </w:p>
    <w:p w14:paraId="67909753" w14:textId="4F283082" w:rsidR="00F812F3" w:rsidRPr="00105FF6" w:rsidRDefault="00F812F3" w:rsidP="00F812F3">
      <w:r w:rsidRPr="00105FF6">
        <w:lastRenderedPageBreak/>
        <w:t xml:space="preserve">Information about Scope 2 and 3 emission reductions may be relevant to </w:t>
      </w:r>
      <w:r w:rsidR="0031504B" w:rsidRPr="00105FF6">
        <w:t>both Assessment Criterion</w:t>
      </w:r>
      <w:r w:rsidR="006978A9" w:rsidRPr="00105FF6">
        <w:t> </w:t>
      </w:r>
      <w:r w:rsidR="0031504B" w:rsidRPr="00105FF6">
        <w:t xml:space="preserve">1 and </w:t>
      </w:r>
      <w:r w:rsidRPr="00105FF6">
        <w:t>Assessment Criterion 3 (</w:t>
      </w:r>
      <w:r w:rsidR="00F85474" w:rsidRPr="006C391F">
        <w:t>Section 6 of the guidelines).</w:t>
      </w:r>
      <w:r w:rsidRPr="00105FF6">
        <w:t xml:space="preserve"> For example, where they will support decarbonisation by other businesses or consumers in your region.   </w:t>
      </w:r>
    </w:p>
    <w:p w14:paraId="310A3900" w14:textId="6EF1E76F" w:rsidR="00F812F3" w:rsidRPr="00105FF6" w:rsidRDefault="00F812F3" w:rsidP="00F812F3">
      <w:pPr>
        <w:pStyle w:val="Heading3"/>
      </w:pPr>
      <w:r w:rsidRPr="00105FF6">
        <w:t>5.</w:t>
      </w:r>
      <w:r w:rsidR="003926D0">
        <w:t>8</w:t>
      </w:r>
      <w:r w:rsidRPr="00105FF6">
        <w:t xml:space="preserve"> Are new or demonstration projects eligible for STS? </w:t>
      </w:r>
    </w:p>
    <w:p w14:paraId="7039736A" w14:textId="77777777" w:rsidR="00F812F3" w:rsidRPr="00105FF6" w:rsidRDefault="00F812F3" w:rsidP="00F812F3">
      <w:r w:rsidRPr="00105FF6">
        <w:t xml:space="preserve">New, innovative, or demonstration projects are eligible under the STS. </w:t>
      </w:r>
    </w:p>
    <w:p w14:paraId="7DD0AD93" w14:textId="6EB99736" w:rsidR="00F45250" w:rsidRDefault="00F812F3" w:rsidP="00F812F3">
      <w:r w:rsidRPr="00105FF6">
        <w:t xml:space="preserve">When detailing the emissions abatement potential as outlined in </w:t>
      </w:r>
      <w:r w:rsidR="00F85474" w:rsidRPr="006C391F">
        <w:t>Section 6.1.a of the guidelines</w:t>
      </w:r>
      <w:r w:rsidRPr="00105FF6">
        <w:t>, you should factor in considerations like the risk of non-delivery.</w:t>
      </w:r>
      <w:r w:rsidR="003A4126">
        <w:t xml:space="preserve"> For trials or demonstration projects, it </w:t>
      </w:r>
      <w:r w:rsidR="001B6209">
        <w:t>will</w:t>
      </w:r>
      <w:r w:rsidR="003A4126">
        <w:t xml:space="preserve"> be helpful if you can detail the length of </w:t>
      </w:r>
      <w:proofErr w:type="gramStart"/>
      <w:r w:rsidR="003A4126">
        <w:t>time</w:t>
      </w:r>
      <w:proofErr w:type="gramEnd"/>
      <w:r w:rsidR="003A4126">
        <w:t xml:space="preserve"> you expect your trial or demonstration project to be operational</w:t>
      </w:r>
      <w:r w:rsidR="001B6209">
        <w:t xml:space="preserve"> and how replicable </w:t>
      </w:r>
      <w:r w:rsidR="0026555C">
        <w:t>the project could be at other locations</w:t>
      </w:r>
      <w:r w:rsidR="004E1B49">
        <w:t>.</w:t>
      </w:r>
      <w:r w:rsidRPr="00105FF6">
        <w:t xml:space="preserve"> </w:t>
      </w:r>
      <w:proofErr w:type="gramStart"/>
      <w:r w:rsidRPr="00105FF6">
        <w:t>In the event that</w:t>
      </w:r>
      <w:proofErr w:type="gramEnd"/>
      <w:r w:rsidRPr="00105FF6">
        <w:t xml:space="preserve"> your estimated emission reductions are not achieved, the lessons learnt and shared in your project completion report will be valuable to knowledge sharing</w:t>
      </w:r>
      <w:r w:rsidR="00FB0E50">
        <w:t xml:space="preserve"> and this may be relevant to </w:t>
      </w:r>
      <w:r w:rsidR="00703411" w:rsidRPr="00105FF6">
        <w:t>Assessment Criterion 3</w:t>
      </w:r>
      <w:r w:rsidR="0014724C">
        <w:t>.</w:t>
      </w:r>
    </w:p>
    <w:p w14:paraId="13D42D9A" w14:textId="11F4F7BC" w:rsidR="00CC48B8" w:rsidRPr="00105FF6" w:rsidRDefault="00CC48B8" w:rsidP="00F812F3">
      <w:r w:rsidRPr="00105FF6">
        <w:t xml:space="preserve">For demonstration projects, you may also want to consider the </w:t>
      </w:r>
      <w:hyperlink r:id="rId17" w:history="1">
        <w:r w:rsidRPr="00105FF6">
          <w:rPr>
            <w:rStyle w:val="Hyperlink"/>
          </w:rPr>
          <w:t>Powering the Regions Fund Industrial Transformation Stream</w:t>
        </w:r>
      </w:hyperlink>
      <w:r w:rsidRPr="00105FF6">
        <w:t xml:space="preserve"> </w:t>
      </w:r>
      <w:r w:rsidR="0055008D" w:rsidRPr="00105FF6">
        <w:t>run by ARENA.</w:t>
      </w:r>
    </w:p>
    <w:p w14:paraId="40004A92" w14:textId="420638BF" w:rsidR="006F07C5" w:rsidRPr="00105FF6" w:rsidRDefault="008C398B" w:rsidP="006C391F">
      <w:pPr>
        <w:pStyle w:val="Heading3"/>
      </w:pPr>
      <w:r w:rsidRPr="00105FF6">
        <w:t>5.</w:t>
      </w:r>
      <w:r w:rsidR="003926D0">
        <w:t>9</w:t>
      </w:r>
      <w:r w:rsidRPr="00105FF6">
        <w:t xml:space="preserve"> What about joint applications?</w:t>
      </w:r>
      <w:r w:rsidR="00796ED3" w:rsidRPr="00105FF6">
        <w:t xml:space="preserve"> </w:t>
      </w:r>
    </w:p>
    <w:p w14:paraId="3DAAC3AF" w14:textId="7351B918" w:rsidR="008C398B" w:rsidRDefault="0029507B" w:rsidP="00F812F3">
      <w:r w:rsidRPr="006C391F">
        <w:t>Joint</w:t>
      </w:r>
      <w:r w:rsidRPr="00105FF6">
        <w:t xml:space="preserve"> applications are welcomed. The lead applicant must be the Safeguard facility</w:t>
      </w:r>
      <w:r w:rsidR="00BA2FCF" w:rsidRPr="00105FF6">
        <w:t xml:space="preserve"> at which </w:t>
      </w:r>
      <w:r w:rsidR="003029DF">
        <w:t>s</w:t>
      </w:r>
      <w:r w:rsidR="00BA2FCF" w:rsidRPr="00105FF6">
        <w:t xml:space="preserve">cope 1 </w:t>
      </w:r>
      <w:proofErr w:type="gramStart"/>
      <w:r w:rsidR="00BA2FCF" w:rsidRPr="00105FF6">
        <w:t>emissions</w:t>
      </w:r>
      <w:proofErr w:type="gramEnd"/>
      <w:r w:rsidR="00BA2FCF" w:rsidRPr="00105FF6">
        <w:t xml:space="preserve"> are reduced</w:t>
      </w:r>
      <w:r w:rsidR="006C726E" w:rsidRPr="00105FF6">
        <w:t xml:space="preserve">, and you must include formal arrangements and letter of support. See Section </w:t>
      </w:r>
      <w:r w:rsidR="00F85474" w:rsidRPr="00105FF6">
        <w:t>7.2 of the guidelines.</w:t>
      </w:r>
    </w:p>
    <w:p w14:paraId="7A67ADBE" w14:textId="675FA835" w:rsidR="0002459E" w:rsidRPr="00105FF6" w:rsidRDefault="0002459E" w:rsidP="2A28537B">
      <w:pPr>
        <w:pStyle w:val="Heading3"/>
      </w:pPr>
      <w:r w:rsidRPr="00105FF6">
        <w:t>5.</w:t>
      </w:r>
      <w:r w:rsidR="003926D0">
        <w:t>10</w:t>
      </w:r>
      <w:r w:rsidRPr="00105FF6">
        <w:t xml:space="preserve"> </w:t>
      </w:r>
      <w:r>
        <w:t>Can we build shared infrastructure?</w:t>
      </w:r>
      <w:r w:rsidRPr="00105FF6">
        <w:t xml:space="preserve"> </w:t>
      </w:r>
    </w:p>
    <w:p w14:paraId="1799A1C8" w14:textId="6E82ABB9" w:rsidR="00796ED3" w:rsidRPr="006C391F" w:rsidRDefault="00796ED3" w:rsidP="00F812F3">
      <w:r w:rsidRPr="00105FF6">
        <w:t>Shared infras</w:t>
      </w:r>
      <w:r w:rsidR="00096A15" w:rsidRPr="00105FF6">
        <w:t>tr</w:t>
      </w:r>
      <w:r w:rsidRPr="00105FF6">
        <w:t>ucture</w:t>
      </w:r>
      <w:r w:rsidR="00096A15" w:rsidRPr="00105FF6">
        <w:t xml:space="preserve"> projects are </w:t>
      </w:r>
      <w:r w:rsidR="007D7F4D">
        <w:t xml:space="preserve">also </w:t>
      </w:r>
      <w:r w:rsidR="00096A15" w:rsidRPr="00105FF6">
        <w:t>welcomed</w:t>
      </w:r>
      <w:r w:rsidR="009E7B5B">
        <w:t>.</w:t>
      </w:r>
      <w:r w:rsidR="00096A15" w:rsidRPr="00105FF6">
        <w:t xml:space="preserve"> </w:t>
      </w:r>
      <w:r w:rsidR="00E467B6">
        <w:t xml:space="preserve">Shared, or common-use infrastructure projects should have a practical link to the </w:t>
      </w:r>
      <w:r w:rsidR="003A0ABE">
        <w:t>lead applicant’s Safeguard facility</w:t>
      </w:r>
      <w:r w:rsidR="003029DF">
        <w:t xml:space="preserve"> and should reduce scope 1 emissions at </w:t>
      </w:r>
      <w:r w:rsidR="009C45B3">
        <w:t>the lead applicant’s facility</w:t>
      </w:r>
      <w:r w:rsidR="003029DF">
        <w:t xml:space="preserve"> </w:t>
      </w:r>
      <w:r w:rsidR="009322CE">
        <w:t>and/or other</w:t>
      </w:r>
      <w:r w:rsidR="003029DF">
        <w:t xml:space="preserve"> Safeguard facilities.</w:t>
      </w:r>
    </w:p>
    <w:p w14:paraId="0E380AB4" w14:textId="77777777" w:rsidR="00F812F3" w:rsidRPr="00105FF6" w:rsidRDefault="00F812F3" w:rsidP="00F812F3">
      <w:pPr>
        <w:pStyle w:val="Heading2"/>
      </w:pPr>
      <w:r w:rsidRPr="00105FF6">
        <w:t xml:space="preserve">6. Application Process </w:t>
      </w:r>
    </w:p>
    <w:p w14:paraId="16FF5397" w14:textId="524DDDEF" w:rsidR="00F812F3" w:rsidRPr="00105FF6" w:rsidRDefault="00F812F3" w:rsidP="00F812F3">
      <w:pPr>
        <w:pStyle w:val="Heading3"/>
      </w:pPr>
      <w:bookmarkStart w:id="5" w:name="_Toc143522699"/>
      <w:r w:rsidRPr="00105FF6">
        <w:t>6.1 Key dates (may be subject to change)</w:t>
      </w:r>
      <w:bookmarkEnd w:id="5"/>
    </w:p>
    <w:tbl>
      <w:tblPr>
        <w:tblStyle w:val="TableGrid"/>
        <w:tblW w:w="0" w:type="auto"/>
        <w:tblLook w:val="04A0" w:firstRow="1" w:lastRow="0" w:firstColumn="1" w:lastColumn="0" w:noHBand="0" w:noVBand="1"/>
      </w:tblPr>
      <w:tblGrid>
        <w:gridCol w:w="4081"/>
        <w:gridCol w:w="4935"/>
      </w:tblGrid>
      <w:tr w:rsidR="00F812F3" w:rsidRPr="00105FF6" w14:paraId="7788F2B5" w14:textId="77777777" w:rsidTr="229A6937">
        <w:trPr>
          <w:trHeight w:val="300"/>
        </w:trPr>
        <w:tc>
          <w:tcPr>
            <w:tcW w:w="4081" w:type="dxa"/>
          </w:tcPr>
          <w:p w14:paraId="5C36842C" w14:textId="77777777" w:rsidR="00F812F3" w:rsidRPr="00105FF6" w:rsidRDefault="00F812F3">
            <w:pPr>
              <w:rPr>
                <w:b/>
                <w:bCs/>
              </w:rPr>
            </w:pPr>
            <w:r w:rsidRPr="00105FF6">
              <w:rPr>
                <w:b/>
                <w:bCs/>
              </w:rPr>
              <w:t>Key Milestone</w:t>
            </w:r>
          </w:p>
        </w:tc>
        <w:tc>
          <w:tcPr>
            <w:tcW w:w="4935" w:type="dxa"/>
          </w:tcPr>
          <w:p w14:paraId="32796E4B" w14:textId="77777777" w:rsidR="00F812F3" w:rsidRPr="00105FF6" w:rsidRDefault="00F812F3">
            <w:pPr>
              <w:rPr>
                <w:b/>
                <w:bCs/>
              </w:rPr>
            </w:pPr>
            <w:r w:rsidRPr="00105FF6">
              <w:rPr>
                <w:b/>
                <w:bCs/>
              </w:rPr>
              <w:t>Date</w:t>
            </w:r>
          </w:p>
        </w:tc>
      </w:tr>
      <w:tr w:rsidR="00F812F3" w:rsidRPr="00105FF6" w14:paraId="064D2567" w14:textId="77777777" w:rsidTr="229A6937">
        <w:trPr>
          <w:trHeight w:val="300"/>
        </w:trPr>
        <w:tc>
          <w:tcPr>
            <w:tcW w:w="4081" w:type="dxa"/>
          </w:tcPr>
          <w:p w14:paraId="5BD4042F" w14:textId="3887C010" w:rsidR="00F812F3" w:rsidRPr="00105FF6" w:rsidRDefault="00F812F3">
            <w:r w:rsidRPr="00105FF6">
              <w:rPr>
                <w:rFonts w:ascii="Calibri" w:hAnsi="Calibri" w:cs="Calibri"/>
                <w:kern w:val="24"/>
              </w:rPr>
              <w:t>Guidelines released</w:t>
            </w:r>
          </w:p>
        </w:tc>
        <w:tc>
          <w:tcPr>
            <w:tcW w:w="4935" w:type="dxa"/>
          </w:tcPr>
          <w:p w14:paraId="6FB177C8" w14:textId="64B41CDB" w:rsidR="00F812F3" w:rsidRPr="00105FF6" w:rsidRDefault="00DA7DA9">
            <w:r>
              <w:rPr>
                <w:rFonts w:ascii="Calibri" w:hAnsi="Calibri" w:cs="Calibri"/>
                <w:kern w:val="24"/>
              </w:rPr>
              <w:t>5</w:t>
            </w:r>
            <w:r w:rsidR="00DF3C06">
              <w:rPr>
                <w:rFonts w:ascii="Calibri" w:hAnsi="Calibri" w:cs="Calibri"/>
                <w:kern w:val="24"/>
              </w:rPr>
              <w:t xml:space="preserve"> February</w:t>
            </w:r>
            <w:r w:rsidR="002B2B82" w:rsidRPr="00EF0202">
              <w:rPr>
                <w:rFonts w:ascii="Calibri" w:hAnsi="Calibri" w:cs="Calibri"/>
                <w:kern w:val="24"/>
              </w:rPr>
              <w:t xml:space="preserve"> 2026</w:t>
            </w:r>
          </w:p>
        </w:tc>
      </w:tr>
      <w:tr w:rsidR="00CA3F7D" w:rsidRPr="00105FF6" w14:paraId="4EB6E0B4" w14:textId="77777777" w:rsidTr="008B1B0B">
        <w:tc>
          <w:tcPr>
            <w:tcW w:w="4081" w:type="dxa"/>
            <w:tcBorders>
              <w:bottom w:val="single" w:sz="4" w:space="0" w:color="auto"/>
              <w:right w:val="nil"/>
            </w:tcBorders>
            <w:shd w:val="clear" w:color="auto" w:fill="E7E6E6" w:themeFill="background2"/>
          </w:tcPr>
          <w:p w14:paraId="3EF2C13B" w14:textId="352F6E50" w:rsidR="00CA3F7D" w:rsidRPr="003135DF" w:rsidRDefault="00CA3F7D">
            <w:pPr>
              <w:rPr>
                <w:rFonts w:ascii="Calibri" w:hAnsi="Calibri" w:cs="Calibri"/>
                <w:b/>
                <w:bCs/>
                <w:kern w:val="24"/>
              </w:rPr>
            </w:pPr>
            <w:r w:rsidRPr="003135DF">
              <w:rPr>
                <w:rFonts w:ascii="Calibri" w:hAnsi="Calibri" w:cs="Calibri"/>
                <w:b/>
                <w:bCs/>
                <w:kern w:val="24"/>
              </w:rPr>
              <w:t>Batch 1</w:t>
            </w:r>
          </w:p>
        </w:tc>
        <w:tc>
          <w:tcPr>
            <w:tcW w:w="4935" w:type="dxa"/>
            <w:tcBorders>
              <w:left w:val="nil"/>
              <w:bottom w:val="single" w:sz="4" w:space="0" w:color="auto"/>
            </w:tcBorders>
            <w:shd w:val="clear" w:color="auto" w:fill="E7E6E6" w:themeFill="background2"/>
          </w:tcPr>
          <w:p w14:paraId="01EBD0D3" w14:textId="77777777" w:rsidR="00CA3F7D" w:rsidRPr="003135DF" w:rsidDel="005C11E7" w:rsidRDefault="00CA3F7D">
            <w:pPr>
              <w:rPr>
                <w:rFonts w:ascii="Calibri" w:hAnsi="Calibri" w:cs="Calibri"/>
                <w:b/>
                <w:bCs/>
                <w:kern w:val="24"/>
              </w:rPr>
            </w:pPr>
          </w:p>
        </w:tc>
      </w:tr>
      <w:tr w:rsidR="00D71341" w:rsidRPr="003135DF" w14:paraId="6EEF4EA4" w14:textId="77777777" w:rsidTr="008B1B0B">
        <w:tc>
          <w:tcPr>
            <w:tcW w:w="4081" w:type="dxa"/>
            <w:tcBorders>
              <w:right w:val="single" w:sz="4" w:space="0" w:color="auto"/>
            </w:tcBorders>
            <w:shd w:val="clear" w:color="auto" w:fill="E7E6E6" w:themeFill="background2"/>
          </w:tcPr>
          <w:p w14:paraId="54E50069" w14:textId="3F0DC2D7" w:rsidR="00D71341" w:rsidRPr="003135DF" w:rsidRDefault="00D71341">
            <w:pPr>
              <w:rPr>
                <w:rFonts w:ascii="Calibri" w:hAnsi="Calibri" w:cs="Calibri"/>
                <w:kern w:val="24"/>
              </w:rPr>
            </w:pPr>
            <w:r w:rsidRPr="003135DF">
              <w:rPr>
                <w:rFonts w:ascii="Calibri" w:hAnsi="Calibri" w:cs="Calibri"/>
                <w:kern w:val="24"/>
              </w:rPr>
              <w:t>Applications open</w:t>
            </w:r>
          </w:p>
        </w:tc>
        <w:tc>
          <w:tcPr>
            <w:tcW w:w="4935" w:type="dxa"/>
            <w:tcBorders>
              <w:left w:val="single" w:sz="4" w:space="0" w:color="auto"/>
            </w:tcBorders>
            <w:shd w:val="clear" w:color="auto" w:fill="E7E6E6" w:themeFill="background2"/>
          </w:tcPr>
          <w:p w14:paraId="704DACE9" w14:textId="309590F1" w:rsidR="00D71341" w:rsidRPr="003135DF" w:rsidDel="005C11E7" w:rsidRDefault="00DA7DA9">
            <w:pPr>
              <w:rPr>
                <w:rFonts w:ascii="Calibri" w:hAnsi="Calibri" w:cs="Calibri"/>
                <w:kern w:val="24"/>
              </w:rPr>
            </w:pPr>
            <w:r>
              <w:rPr>
                <w:rFonts w:ascii="Calibri" w:hAnsi="Calibri" w:cs="Calibri"/>
                <w:kern w:val="24"/>
              </w:rPr>
              <w:t>5</w:t>
            </w:r>
            <w:r w:rsidR="00DF3C06">
              <w:rPr>
                <w:rFonts w:ascii="Calibri" w:hAnsi="Calibri" w:cs="Calibri"/>
                <w:kern w:val="24"/>
              </w:rPr>
              <w:t xml:space="preserve"> February</w:t>
            </w:r>
            <w:r w:rsidR="005E0123" w:rsidRPr="003135DF">
              <w:rPr>
                <w:rFonts w:ascii="Calibri" w:hAnsi="Calibri" w:cs="Calibri"/>
                <w:kern w:val="24"/>
              </w:rPr>
              <w:t xml:space="preserve"> 2026</w:t>
            </w:r>
          </w:p>
        </w:tc>
      </w:tr>
      <w:tr w:rsidR="00F812F3" w:rsidRPr="00105FF6" w14:paraId="0AF380BC" w14:textId="77777777" w:rsidTr="003135DF">
        <w:tc>
          <w:tcPr>
            <w:tcW w:w="4081" w:type="dxa"/>
            <w:shd w:val="clear" w:color="auto" w:fill="E7E6E6" w:themeFill="background2"/>
          </w:tcPr>
          <w:p w14:paraId="660F6B7F" w14:textId="791F0E96" w:rsidR="00F812F3" w:rsidRPr="00105FF6" w:rsidRDefault="00CA3F7D">
            <w:r w:rsidRPr="003135DF">
              <w:rPr>
                <w:rFonts w:ascii="Calibri" w:hAnsi="Calibri" w:cs="Calibri"/>
                <w:kern w:val="24"/>
              </w:rPr>
              <w:t>Application closing date</w:t>
            </w:r>
          </w:p>
        </w:tc>
        <w:tc>
          <w:tcPr>
            <w:tcW w:w="4935" w:type="dxa"/>
            <w:shd w:val="clear" w:color="auto" w:fill="E7E6E6" w:themeFill="background2"/>
          </w:tcPr>
          <w:p w14:paraId="789BC578" w14:textId="416497F7" w:rsidR="00F812F3" w:rsidRPr="00105FF6" w:rsidRDefault="00DA7DA9">
            <w:r>
              <w:rPr>
                <w:rFonts w:ascii="Calibri" w:hAnsi="Calibri" w:cs="Calibri"/>
              </w:rPr>
              <w:t>5</w:t>
            </w:r>
            <w:r w:rsidR="00DF3C06">
              <w:rPr>
                <w:rFonts w:ascii="Calibri" w:hAnsi="Calibri" w:cs="Calibri"/>
              </w:rPr>
              <w:t xml:space="preserve"> May</w:t>
            </w:r>
            <w:r w:rsidR="002B2B82" w:rsidRPr="00214637">
              <w:rPr>
                <w:rFonts w:ascii="Calibri" w:hAnsi="Calibri" w:cs="Calibri"/>
              </w:rPr>
              <w:t xml:space="preserve"> 2026</w:t>
            </w:r>
          </w:p>
        </w:tc>
      </w:tr>
      <w:tr w:rsidR="00510501" w:rsidRPr="00105FF6" w14:paraId="3B10E46C" w14:textId="77777777" w:rsidTr="003135DF">
        <w:tc>
          <w:tcPr>
            <w:tcW w:w="4081" w:type="dxa"/>
            <w:shd w:val="clear" w:color="auto" w:fill="E7E6E6" w:themeFill="background2"/>
          </w:tcPr>
          <w:p w14:paraId="3DB9E50F" w14:textId="199CBD49" w:rsidR="00510501" w:rsidRPr="003135DF" w:rsidRDefault="00510501">
            <w:pPr>
              <w:rPr>
                <w:rFonts w:ascii="Calibri" w:hAnsi="Calibri" w:cs="Calibri"/>
                <w:kern w:val="24"/>
              </w:rPr>
            </w:pPr>
            <w:r>
              <w:rPr>
                <w:rFonts w:ascii="Calibri" w:hAnsi="Calibri" w:cs="Calibri"/>
                <w:kern w:val="24"/>
              </w:rPr>
              <w:t>Assessment of applications</w:t>
            </w:r>
          </w:p>
        </w:tc>
        <w:tc>
          <w:tcPr>
            <w:tcW w:w="4935" w:type="dxa"/>
            <w:shd w:val="clear" w:color="auto" w:fill="E7E6E6" w:themeFill="background2"/>
          </w:tcPr>
          <w:p w14:paraId="1F953B4E" w14:textId="0F2FB75B" w:rsidR="00510501" w:rsidRPr="229A6937" w:rsidRDefault="00DF3C06">
            <w:pPr>
              <w:rPr>
                <w:rFonts w:ascii="Calibri" w:hAnsi="Calibri" w:cs="Calibri"/>
              </w:rPr>
            </w:pPr>
            <w:r>
              <w:rPr>
                <w:rFonts w:ascii="Calibri" w:hAnsi="Calibri" w:cs="Calibri"/>
              </w:rPr>
              <w:t xml:space="preserve">May </w:t>
            </w:r>
            <w:r w:rsidR="004C76E0">
              <w:rPr>
                <w:rFonts w:ascii="Calibri" w:hAnsi="Calibri" w:cs="Calibri"/>
              </w:rPr>
              <w:t xml:space="preserve">– </w:t>
            </w:r>
            <w:r w:rsidR="008D031C">
              <w:rPr>
                <w:rFonts w:ascii="Calibri" w:hAnsi="Calibri" w:cs="Calibri"/>
              </w:rPr>
              <w:t xml:space="preserve">July </w:t>
            </w:r>
            <w:r w:rsidR="004C76E0">
              <w:rPr>
                <w:rFonts w:ascii="Calibri" w:hAnsi="Calibri" w:cs="Calibri"/>
              </w:rPr>
              <w:t>2026</w:t>
            </w:r>
          </w:p>
        </w:tc>
      </w:tr>
      <w:tr w:rsidR="00F812F3" w:rsidRPr="00105FF6" w14:paraId="6D039F00" w14:textId="77777777" w:rsidTr="003135DF">
        <w:tc>
          <w:tcPr>
            <w:tcW w:w="4081" w:type="dxa"/>
            <w:shd w:val="clear" w:color="auto" w:fill="E7E6E6" w:themeFill="background2"/>
          </w:tcPr>
          <w:p w14:paraId="09C18352" w14:textId="5652D42C" w:rsidR="00F812F3" w:rsidRPr="00105FF6" w:rsidRDefault="00F812F3">
            <w:r w:rsidRPr="00105FF6">
              <w:rPr>
                <w:rFonts w:ascii="Calibri" w:hAnsi="Calibri" w:cs="Calibri"/>
                <w:kern w:val="24"/>
              </w:rPr>
              <w:t>Successful applicants announced</w:t>
            </w:r>
          </w:p>
        </w:tc>
        <w:tc>
          <w:tcPr>
            <w:tcW w:w="4935" w:type="dxa"/>
            <w:shd w:val="clear" w:color="auto" w:fill="E7E6E6" w:themeFill="background2"/>
          </w:tcPr>
          <w:p w14:paraId="5FD79889" w14:textId="3499E9F6" w:rsidR="00F812F3" w:rsidRPr="00105FF6" w:rsidRDefault="00355C5A">
            <w:r>
              <w:rPr>
                <w:rFonts w:ascii="Calibri" w:hAnsi="Calibri" w:cs="Calibri"/>
              </w:rPr>
              <w:t xml:space="preserve">July </w:t>
            </w:r>
            <w:r w:rsidR="00A74A46">
              <w:rPr>
                <w:rFonts w:ascii="Calibri" w:hAnsi="Calibri" w:cs="Calibri"/>
              </w:rPr>
              <w:t>2026</w:t>
            </w:r>
          </w:p>
        </w:tc>
      </w:tr>
      <w:tr w:rsidR="00F812F3" w:rsidRPr="00105FF6" w14:paraId="205169FD" w14:textId="77777777" w:rsidTr="003135DF">
        <w:tc>
          <w:tcPr>
            <w:tcW w:w="4081" w:type="dxa"/>
            <w:shd w:val="clear" w:color="auto" w:fill="E7E6E6" w:themeFill="background2"/>
          </w:tcPr>
          <w:p w14:paraId="3EF7BE08" w14:textId="6BB6E3A3" w:rsidR="00F812F3" w:rsidRPr="00105FF6" w:rsidRDefault="00F812F3">
            <w:r w:rsidRPr="00105FF6">
              <w:rPr>
                <w:rFonts w:ascii="Calibri" w:hAnsi="Calibri" w:cs="Calibri"/>
                <w:kern w:val="24"/>
              </w:rPr>
              <w:t xml:space="preserve">Grant agreements </w:t>
            </w:r>
            <w:r w:rsidR="00C47C69" w:rsidRPr="00215672">
              <w:rPr>
                <w:rFonts w:ascii="Calibri" w:hAnsi="Calibri" w:cs="Calibri"/>
                <w:kern w:val="24"/>
              </w:rPr>
              <w:t>negotiated and finalised</w:t>
            </w:r>
          </w:p>
        </w:tc>
        <w:tc>
          <w:tcPr>
            <w:tcW w:w="4935" w:type="dxa"/>
            <w:shd w:val="clear" w:color="auto" w:fill="E7E6E6" w:themeFill="background2"/>
          </w:tcPr>
          <w:p w14:paraId="41421CA3" w14:textId="222E0ECC" w:rsidR="00F812F3" w:rsidRPr="00105FF6" w:rsidRDefault="005B5658">
            <w:r>
              <w:rPr>
                <w:rFonts w:ascii="Calibri" w:hAnsi="Calibri" w:cs="Calibri"/>
              </w:rPr>
              <w:t xml:space="preserve">August </w:t>
            </w:r>
            <w:r w:rsidR="00355C5A">
              <w:rPr>
                <w:rFonts w:ascii="Calibri" w:hAnsi="Calibri" w:cs="Calibri"/>
              </w:rPr>
              <w:t xml:space="preserve">– </w:t>
            </w:r>
            <w:r w:rsidR="00F360D7">
              <w:rPr>
                <w:rFonts w:ascii="Calibri" w:hAnsi="Calibri" w:cs="Calibri"/>
              </w:rPr>
              <w:t xml:space="preserve">September </w:t>
            </w:r>
            <w:r w:rsidR="00957C90">
              <w:rPr>
                <w:rFonts w:ascii="Calibri" w:hAnsi="Calibri" w:cs="Calibri"/>
              </w:rPr>
              <w:t>2026</w:t>
            </w:r>
          </w:p>
        </w:tc>
      </w:tr>
      <w:tr w:rsidR="00F812F3" w:rsidRPr="00105FF6" w14:paraId="071F8258" w14:textId="77777777" w:rsidTr="003135DF">
        <w:tc>
          <w:tcPr>
            <w:tcW w:w="4081" w:type="dxa"/>
            <w:shd w:val="clear" w:color="auto" w:fill="E7E6E6" w:themeFill="background2"/>
          </w:tcPr>
          <w:p w14:paraId="6E5BE167" w14:textId="4F0EF0CD" w:rsidR="00F812F3" w:rsidRPr="00105FF6" w:rsidRDefault="00F812F3">
            <w:r w:rsidRPr="00105FF6">
              <w:rPr>
                <w:rFonts w:ascii="Calibri" w:hAnsi="Calibri" w:cs="Calibri"/>
                <w:kern w:val="24"/>
              </w:rPr>
              <w:t xml:space="preserve">Earliest </w:t>
            </w:r>
            <w:r w:rsidR="00F543B0" w:rsidRPr="00214637">
              <w:rPr>
                <w:rFonts w:ascii="Calibri" w:hAnsi="Calibri" w:cs="Calibri"/>
                <w:kern w:val="24"/>
              </w:rPr>
              <w:t xml:space="preserve">expected </w:t>
            </w:r>
            <w:r w:rsidRPr="00105FF6">
              <w:rPr>
                <w:rFonts w:ascii="Calibri" w:hAnsi="Calibri" w:cs="Calibri"/>
                <w:kern w:val="24"/>
              </w:rPr>
              <w:t xml:space="preserve">start date for projects </w:t>
            </w:r>
          </w:p>
        </w:tc>
        <w:tc>
          <w:tcPr>
            <w:tcW w:w="4935" w:type="dxa"/>
            <w:shd w:val="clear" w:color="auto" w:fill="E7E6E6" w:themeFill="background2"/>
          </w:tcPr>
          <w:p w14:paraId="55E32C18" w14:textId="5BFA7D60" w:rsidR="00F812F3" w:rsidRPr="00105FF6" w:rsidRDefault="00D83C93">
            <w:r>
              <w:rPr>
                <w:rFonts w:ascii="Calibri" w:hAnsi="Calibri" w:cs="Calibri"/>
              </w:rPr>
              <w:t xml:space="preserve">September </w:t>
            </w:r>
            <w:r w:rsidR="00957C90">
              <w:rPr>
                <w:rFonts w:ascii="Calibri" w:hAnsi="Calibri" w:cs="Calibri"/>
              </w:rPr>
              <w:t>2026</w:t>
            </w:r>
          </w:p>
        </w:tc>
      </w:tr>
      <w:tr w:rsidR="00CA3F7D" w:rsidRPr="00105FF6" w14:paraId="576EBF46" w14:textId="77777777" w:rsidTr="003135DF">
        <w:tc>
          <w:tcPr>
            <w:tcW w:w="4081" w:type="dxa"/>
            <w:tcBorders>
              <w:right w:val="nil"/>
            </w:tcBorders>
          </w:tcPr>
          <w:p w14:paraId="54B25AFD" w14:textId="1DDE3510" w:rsidR="00CA3F7D" w:rsidRPr="00984B1E" w:rsidRDefault="00CA3F7D">
            <w:pPr>
              <w:rPr>
                <w:rFonts w:ascii="Calibri" w:hAnsi="Calibri" w:cs="Calibri"/>
                <w:b/>
                <w:bCs/>
                <w:kern w:val="24"/>
              </w:rPr>
            </w:pPr>
            <w:r w:rsidRPr="00984B1E">
              <w:rPr>
                <w:rFonts w:ascii="Calibri" w:hAnsi="Calibri" w:cs="Calibri"/>
                <w:b/>
                <w:bCs/>
                <w:kern w:val="24"/>
              </w:rPr>
              <w:t>Batch 2</w:t>
            </w:r>
          </w:p>
        </w:tc>
        <w:tc>
          <w:tcPr>
            <w:tcW w:w="4935" w:type="dxa"/>
            <w:tcBorders>
              <w:left w:val="nil"/>
            </w:tcBorders>
          </w:tcPr>
          <w:p w14:paraId="595971C7" w14:textId="77777777" w:rsidR="00CA3F7D" w:rsidRPr="00984B1E" w:rsidDel="005C11E7" w:rsidRDefault="00CA3F7D">
            <w:pPr>
              <w:rPr>
                <w:rFonts w:ascii="Calibri" w:hAnsi="Calibri" w:cs="Calibri"/>
                <w:b/>
                <w:bCs/>
                <w:kern w:val="24"/>
              </w:rPr>
            </w:pPr>
          </w:p>
        </w:tc>
      </w:tr>
      <w:tr w:rsidR="00BD0EB8" w:rsidRPr="00105FF6" w14:paraId="2BA669E5" w14:textId="77777777" w:rsidTr="229A6937">
        <w:tc>
          <w:tcPr>
            <w:tcW w:w="4081" w:type="dxa"/>
          </w:tcPr>
          <w:p w14:paraId="709FA9F2" w14:textId="2381BA51" w:rsidR="00BD0EB8" w:rsidRPr="00BD0EB8" w:rsidRDefault="00BD0EB8">
            <w:pPr>
              <w:rPr>
                <w:rFonts w:ascii="Calibri" w:hAnsi="Calibri" w:cs="Calibri"/>
                <w:kern w:val="24"/>
              </w:rPr>
            </w:pPr>
            <w:r>
              <w:rPr>
                <w:rFonts w:ascii="Calibri" w:hAnsi="Calibri" w:cs="Calibri"/>
                <w:kern w:val="24"/>
              </w:rPr>
              <w:t>Application</w:t>
            </w:r>
            <w:r w:rsidR="00612361">
              <w:rPr>
                <w:rFonts w:ascii="Calibri" w:hAnsi="Calibri" w:cs="Calibri"/>
                <w:kern w:val="24"/>
              </w:rPr>
              <w:t>s</w:t>
            </w:r>
            <w:r>
              <w:rPr>
                <w:rFonts w:ascii="Calibri" w:hAnsi="Calibri" w:cs="Calibri"/>
                <w:kern w:val="24"/>
              </w:rPr>
              <w:t xml:space="preserve"> </w:t>
            </w:r>
            <w:r w:rsidR="00E47229">
              <w:rPr>
                <w:rFonts w:ascii="Calibri" w:hAnsi="Calibri" w:cs="Calibri"/>
                <w:kern w:val="24"/>
              </w:rPr>
              <w:t>ope</w:t>
            </w:r>
            <w:r w:rsidR="00612361">
              <w:rPr>
                <w:rFonts w:ascii="Calibri" w:hAnsi="Calibri" w:cs="Calibri"/>
                <w:kern w:val="24"/>
              </w:rPr>
              <w:t>n</w:t>
            </w:r>
          </w:p>
        </w:tc>
        <w:tc>
          <w:tcPr>
            <w:tcW w:w="4935" w:type="dxa"/>
          </w:tcPr>
          <w:p w14:paraId="38478AD9" w14:textId="278E8A51" w:rsidR="00BD0EB8" w:rsidRPr="00BD0EB8" w:rsidRDefault="00DA7DA9">
            <w:pPr>
              <w:rPr>
                <w:rFonts w:ascii="Calibri" w:hAnsi="Calibri" w:cs="Calibri"/>
                <w:kern w:val="24"/>
              </w:rPr>
            </w:pPr>
            <w:r>
              <w:rPr>
                <w:rFonts w:ascii="Calibri" w:hAnsi="Calibri" w:cs="Calibri"/>
                <w:kern w:val="24"/>
              </w:rPr>
              <w:t>6</w:t>
            </w:r>
            <w:r w:rsidR="00DF3C06">
              <w:rPr>
                <w:rFonts w:ascii="Calibri" w:hAnsi="Calibri" w:cs="Calibri"/>
                <w:kern w:val="24"/>
              </w:rPr>
              <w:t xml:space="preserve"> May</w:t>
            </w:r>
            <w:r w:rsidR="00612361">
              <w:rPr>
                <w:rFonts w:ascii="Calibri" w:hAnsi="Calibri" w:cs="Calibri"/>
                <w:kern w:val="24"/>
              </w:rPr>
              <w:t xml:space="preserve"> 2026</w:t>
            </w:r>
          </w:p>
        </w:tc>
      </w:tr>
      <w:tr w:rsidR="00CA3F7D" w:rsidRPr="00105FF6" w14:paraId="3F92F0F5" w14:textId="77777777" w:rsidTr="00AA7A58">
        <w:tc>
          <w:tcPr>
            <w:tcW w:w="4081" w:type="dxa"/>
          </w:tcPr>
          <w:p w14:paraId="417E5602" w14:textId="0DA465C2" w:rsidR="00CA3F7D" w:rsidRPr="00984B1E" w:rsidRDefault="00CA3F7D">
            <w:pPr>
              <w:rPr>
                <w:rFonts w:ascii="Calibri" w:hAnsi="Calibri" w:cs="Calibri"/>
                <w:kern w:val="24"/>
              </w:rPr>
            </w:pPr>
            <w:r w:rsidRPr="00984B1E">
              <w:rPr>
                <w:rFonts w:ascii="Calibri" w:hAnsi="Calibri" w:cs="Calibri"/>
                <w:kern w:val="24"/>
              </w:rPr>
              <w:t>Application closing date</w:t>
            </w:r>
          </w:p>
        </w:tc>
        <w:tc>
          <w:tcPr>
            <w:tcW w:w="4935" w:type="dxa"/>
          </w:tcPr>
          <w:p w14:paraId="26B66D7C" w14:textId="42305187" w:rsidR="00CA3F7D" w:rsidRPr="00984B1E" w:rsidDel="005C11E7" w:rsidRDefault="00C47BE6">
            <w:pPr>
              <w:rPr>
                <w:rFonts w:ascii="Calibri" w:hAnsi="Calibri" w:cs="Calibri"/>
                <w:kern w:val="24"/>
              </w:rPr>
            </w:pPr>
            <w:r>
              <w:rPr>
                <w:rFonts w:ascii="Calibri" w:hAnsi="Calibri" w:cs="Calibri"/>
                <w:kern w:val="24"/>
              </w:rPr>
              <w:t>5</w:t>
            </w:r>
            <w:r w:rsidR="00DF3C06">
              <w:rPr>
                <w:rFonts w:ascii="Calibri" w:hAnsi="Calibri" w:cs="Calibri"/>
                <w:kern w:val="24"/>
              </w:rPr>
              <w:t xml:space="preserve"> November</w:t>
            </w:r>
            <w:r w:rsidR="004135BC" w:rsidRPr="00984B1E">
              <w:rPr>
                <w:rFonts w:ascii="Calibri" w:hAnsi="Calibri" w:cs="Calibri"/>
                <w:kern w:val="24"/>
              </w:rPr>
              <w:t xml:space="preserve"> 2026</w:t>
            </w:r>
          </w:p>
        </w:tc>
      </w:tr>
      <w:tr w:rsidR="00AA7A58" w:rsidRPr="00105FF6" w14:paraId="263A6827" w14:textId="77777777" w:rsidTr="00AA7A58">
        <w:tc>
          <w:tcPr>
            <w:tcW w:w="4081" w:type="dxa"/>
          </w:tcPr>
          <w:p w14:paraId="26D4FBD7" w14:textId="69C240E3" w:rsidR="00AA7A58" w:rsidRPr="00984B1E" w:rsidRDefault="00AA7A58">
            <w:pPr>
              <w:rPr>
                <w:rFonts w:ascii="Calibri" w:hAnsi="Calibri" w:cs="Calibri"/>
                <w:kern w:val="24"/>
              </w:rPr>
            </w:pPr>
            <w:r w:rsidRPr="00984B1E">
              <w:rPr>
                <w:rFonts w:ascii="Calibri" w:hAnsi="Calibri" w:cs="Calibri"/>
                <w:kern w:val="24"/>
              </w:rPr>
              <w:t xml:space="preserve">Assessment of </w:t>
            </w:r>
            <w:r w:rsidR="00C47C69" w:rsidRPr="00984B1E">
              <w:rPr>
                <w:rFonts w:ascii="Calibri" w:hAnsi="Calibri" w:cs="Calibri"/>
                <w:kern w:val="24"/>
              </w:rPr>
              <w:t>applications</w:t>
            </w:r>
          </w:p>
        </w:tc>
        <w:tc>
          <w:tcPr>
            <w:tcW w:w="4935" w:type="dxa"/>
          </w:tcPr>
          <w:p w14:paraId="53CE23A6" w14:textId="7272C998" w:rsidR="00AA7A58" w:rsidRPr="00214637" w:rsidDel="005C11E7" w:rsidRDefault="00DF3C06">
            <w:pPr>
              <w:rPr>
                <w:rFonts w:ascii="Calibri" w:hAnsi="Calibri" w:cs="Calibri"/>
                <w:kern w:val="24"/>
              </w:rPr>
            </w:pPr>
            <w:r>
              <w:rPr>
                <w:rFonts w:ascii="Calibri" w:hAnsi="Calibri" w:cs="Calibri"/>
              </w:rPr>
              <w:t xml:space="preserve">November </w:t>
            </w:r>
            <w:r w:rsidR="00A3000B">
              <w:rPr>
                <w:rFonts w:ascii="Calibri" w:hAnsi="Calibri" w:cs="Calibri"/>
              </w:rPr>
              <w:t xml:space="preserve">2026 </w:t>
            </w:r>
            <w:r w:rsidR="00670FA4">
              <w:rPr>
                <w:rFonts w:ascii="Calibri" w:hAnsi="Calibri" w:cs="Calibri"/>
              </w:rPr>
              <w:t xml:space="preserve">– </w:t>
            </w:r>
            <w:r w:rsidR="00A3000B">
              <w:rPr>
                <w:rFonts w:ascii="Calibri" w:hAnsi="Calibri" w:cs="Calibri"/>
              </w:rPr>
              <w:t>January 2027</w:t>
            </w:r>
          </w:p>
        </w:tc>
      </w:tr>
      <w:tr w:rsidR="004135BC" w:rsidRPr="00105FF6" w14:paraId="1DF35812" w14:textId="77777777" w:rsidTr="00AA7A58">
        <w:tc>
          <w:tcPr>
            <w:tcW w:w="4081" w:type="dxa"/>
          </w:tcPr>
          <w:p w14:paraId="2B660829" w14:textId="547BF99A" w:rsidR="004135BC" w:rsidRPr="00214637" w:rsidRDefault="4774DCF3">
            <w:pPr>
              <w:rPr>
                <w:rFonts w:ascii="Calibri" w:hAnsi="Calibri" w:cs="Calibri"/>
              </w:rPr>
            </w:pPr>
            <w:r w:rsidRPr="6D91A978">
              <w:rPr>
                <w:rFonts w:ascii="Calibri" w:hAnsi="Calibri" w:cs="Calibri"/>
              </w:rPr>
              <w:t xml:space="preserve"> </w:t>
            </w:r>
            <w:r w:rsidR="004135BC" w:rsidRPr="2537E175">
              <w:rPr>
                <w:rFonts w:ascii="Calibri" w:hAnsi="Calibri" w:cs="Calibri"/>
              </w:rPr>
              <w:t>Successful applicants announced</w:t>
            </w:r>
          </w:p>
        </w:tc>
        <w:tc>
          <w:tcPr>
            <w:tcW w:w="4935" w:type="dxa"/>
          </w:tcPr>
          <w:p w14:paraId="0453CD30" w14:textId="38ACAEFA" w:rsidR="004135BC" w:rsidRPr="00214637" w:rsidDel="005C11E7" w:rsidRDefault="38EAE0A0">
            <w:pPr>
              <w:rPr>
                <w:rFonts w:ascii="Calibri" w:hAnsi="Calibri" w:cs="Calibri"/>
                <w:kern w:val="24"/>
              </w:rPr>
            </w:pPr>
            <w:r w:rsidRPr="7A70700F">
              <w:rPr>
                <w:rFonts w:ascii="Calibri" w:hAnsi="Calibri" w:cs="Calibri"/>
              </w:rPr>
              <w:t>January</w:t>
            </w:r>
            <w:r w:rsidR="001717F2">
              <w:rPr>
                <w:rFonts w:ascii="Calibri" w:hAnsi="Calibri" w:cs="Calibri"/>
              </w:rPr>
              <w:t xml:space="preserve"> - February</w:t>
            </w:r>
            <w:r w:rsidRPr="7A70700F">
              <w:rPr>
                <w:rFonts w:ascii="Calibri" w:hAnsi="Calibri" w:cs="Calibri"/>
              </w:rPr>
              <w:t xml:space="preserve"> </w:t>
            </w:r>
            <w:r w:rsidRPr="6D91A978">
              <w:rPr>
                <w:rFonts w:ascii="Calibri" w:hAnsi="Calibri" w:cs="Calibri"/>
              </w:rPr>
              <w:t>2027</w:t>
            </w:r>
          </w:p>
        </w:tc>
      </w:tr>
      <w:tr w:rsidR="004135BC" w:rsidRPr="00105FF6" w14:paraId="7396E82E" w14:textId="77777777" w:rsidTr="00AA7A58">
        <w:tc>
          <w:tcPr>
            <w:tcW w:w="4081" w:type="dxa"/>
          </w:tcPr>
          <w:p w14:paraId="291E2B58" w14:textId="3184CFF3" w:rsidR="004135BC" w:rsidRPr="00214637" w:rsidRDefault="004135BC">
            <w:pPr>
              <w:rPr>
                <w:rFonts w:ascii="Calibri" w:hAnsi="Calibri" w:cs="Calibri"/>
                <w:kern w:val="24"/>
              </w:rPr>
            </w:pPr>
            <w:r w:rsidRPr="00214637">
              <w:rPr>
                <w:rFonts w:ascii="Calibri" w:hAnsi="Calibri" w:cs="Calibri"/>
                <w:kern w:val="24"/>
              </w:rPr>
              <w:t>Grant agreements ne</w:t>
            </w:r>
            <w:r w:rsidR="00C47C69" w:rsidRPr="00214637">
              <w:rPr>
                <w:rFonts w:ascii="Calibri" w:hAnsi="Calibri" w:cs="Calibri"/>
                <w:kern w:val="24"/>
              </w:rPr>
              <w:t>gotiated and finalised</w:t>
            </w:r>
          </w:p>
        </w:tc>
        <w:tc>
          <w:tcPr>
            <w:tcW w:w="4935" w:type="dxa"/>
          </w:tcPr>
          <w:p w14:paraId="0571A36B" w14:textId="2DA9517B" w:rsidR="004135BC" w:rsidRPr="00214637" w:rsidDel="005C11E7" w:rsidRDefault="049CC986">
            <w:pPr>
              <w:rPr>
                <w:rFonts w:ascii="Calibri" w:hAnsi="Calibri" w:cs="Calibri"/>
                <w:kern w:val="24"/>
              </w:rPr>
            </w:pPr>
            <w:r w:rsidRPr="483694EF">
              <w:rPr>
                <w:rFonts w:ascii="Calibri" w:hAnsi="Calibri" w:cs="Calibri"/>
              </w:rPr>
              <w:t>February</w:t>
            </w:r>
            <w:r w:rsidRPr="7046B614">
              <w:rPr>
                <w:rFonts w:ascii="Calibri" w:hAnsi="Calibri" w:cs="Calibri"/>
              </w:rPr>
              <w:t xml:space="preserve"> </w:t>
            </w:r>
            <w:r w:rsidRPr="1410BE5E">
              <w:rPr>
                <w:rFonts w:ascii="Calibri" w:hAnsi="Calibri" w:cs="Calibri"/>
              </w:rPr>
              <w:t>– March 2027</w:t>
            </w:r>
          </w:p>
        </w:tc>
      </w:tr>
      <w:tr w:rsidR="00C47C69" w:rsidRPr="00105FF6" w14:paraId="19EE7FBA" w14:textId="77777777" w:rsidTr="00214637">
        <w:tc>
          <w:tcPr>
            <w:tcW w:w="4081" w:type="dxa"/>
            <w:tcBorders>
              <w:bottom w:val="single" w:sz="4" w:space="0" w:color="auto"/>
            </w:tcBorders>
          </w:tcPr>
          <w:p w14:paraId="2A73405E" w14:textId="29E37A33" w:rsidR="00C47C69" w:rsidRPr="00214637" w:rsidRDefault="00C47C69">
            <w:pPr>
              <w:rPr>
                <w:rFonts w:ascii="Calibri" w:hAnsi="Calibri" w:cs="Calibri"/>
                <w:kern w:val="24"/>
              </w:rPr>
            </w:pPr>
            <w:r w:rsidRPr="00214637">
              <w:rPr>
                <w:rFonts w:ascii="Calibri" w:hAnsi="Calibri" w:cs="Calibri"/>
                <w:kern w:val="24"/>
              </w:rPr>
              <w:t xml:space="preserve">Earliest </w:t>
            </w:r>
            <w:r w:rsidR="00F543B0" w:rsidRPr="00214637">
              <w:rPr>
                <w:rFonts w:ascii="Calibri" w:hAnsi="Calibri" w:cs="Calibri"/>
                <w:kern w:val="24"/>
              </w:rPr>
              <w:t xml:space="preserve">expected </w:t>
            </w:r>
            <w:r w:rsidRPr="00214637">
              <w:rPr>
                <w:rFonts w:ascii="Calibri" w:hAnsi="Calibri" w:cs="Calibri"/>
                <w:kern w:val="24"/>
              </w:rPr>
              <w:t>start date for projects</w:t>
            </w:r>
          </w:p>
        </w:tc>
        <w:tc>
          <w:tcPr>
            <w:tcW w:w="4935" w:type="dxa"/>
            <w:tcBorders>
              <w:bottom w:val="single" w:sz="4" w:space="0" w:color="auto"/>
            </w:tcBorders>
          </w:tcPr>
          <w:p w14:paraId="22791384" w14:textId="096833B1" w:rsidR="00C47C69" w:rsidRPr="00214637" w:rsidDel="005C11E7" w:rsidRDefault="008774FC">
            <w:pPr>
              <w:rPr>
                <w:rFonts w:ascii="Calibri" w:hAnsi="Calibri" w:cs="Calibri"/>
                <w:kern w:val="24"/>
              </w:rPr>
            </w:pPr>
            <w:r>
              <w:rPr>
                <w:rFonts w:ascii="Calibri" w:hAnsi="Calibri" w:cs="Calibri"/>
              </w:rPr>
              <w:t>March</w:t>
            </w:r>
            <w:r w:rsidRPr="2CDB1505">
              <w:rPr>
                <w:rFonts w:ascii="Calibri" w:hAnsi="Calibri" w:cs="Calibri"/>
              </w:rPr>
              <w:t xml:space="preserve"> </w:t>
            </w:r>
            <w:r w:rsidR="63060AB6" w:rsidRPr="048F5612">
              <w:rPr>
                <w:rFonts w:ascii="Calibri" w:hAnsi="Calibri" w:cs="Calibri"/>
              </w:rPr>
              <w:t>2027</w:t>
            </w:r>
          </w:p>
        </w:tc>
      </w:tr>
      <w:tr w:rsidR="00C47C69" w:rsidRPr="00105FF6" w14:paraId="4EFF8ECB" w14:textId="77777777" w:rsidTr="00214637">
        <w:tc>
          <w:tcPr>
            <w:tcW w:w="4081" w:type="dxa"/>
            <w:tcBorders>
              <w:right w:val="nil"/>
            </w:tcBorders>
            <w:shd w:val="clear" w:color="auto" w:fill="E7E6E6" w:themeFill="background2"/>
          </w:tcPr>
          <w:p w14:paraId="0983CB91" w14:textId="6E4FB31B" w:rsidR="00C47C69" w:rsidRPr="00214637" w:rsidRDefault="00C47C69">
            <w:pPr>
              <w:rPr>
                <w:rFonts w:ascii="Calibri" w:hAnsi="Calibri" w:cs="Calibri"/>
                <w:b/>
              </w:rPr>
            </w:pPr>
            <w:r w:rsidRPr="00214637">
              <w:rPr>
                <w:rFonts w:ascii="Calibri" w:hAnsi="Calibri" w:cs="Calibri"/>
                <w:b/>
              </w:rPr>
              <w:lastRenderedPageBreak/>
              <w:t>Batch 3</w:t>
            </w:r>
          </w:p>
        </w:tc>
        <w:tc>
          <w:tcPr>
            <w:tcW w:w="4935" w:type="dxa"/>
            <w:tcBorders>
              <w:left w:val="nil"/>
            </w:tcBorders>
            <w:shd w:val="clear" w:color="auto" w:fill="E7E6E6" w:themeFill="background2"/>
          </w:tcPr>
          <w:p w14:paraId="202538C5" w14:textId="77777777" w:rsidR="00C47C69" w:rsidRPr="00214637" w:rsidDel="005C11E7" w:rsidRDefault="00C47C69">
            <w:pPr>
              <w:rPr>
                <w:rFonts w:ascii="Calibri" w:hAnsi="Calibri" w:cs="Calibri"/>
                <w:b/>
                <w:bCs/>
                <w:kern w:val="24"/>
              </w:rPr>
            </w:pPr>
          </w:p>
        </w:tc>
      </w:tr>
      <w:tr w:rsidR="00CD3FF6" w:rsidRPr="00105FF6" w14:paraId="1BDE4C37" w14:textId="77777777" w:rsidTr="229A6937">
        <w:tc>
          <w:tcPr>
            <w:tcW w:w="4081" w:type="dxa"/>
            <w:shd w:val="clear" w:color="auto" w:fill="E7E6E6" w:themeFill="background2"/>
          </w:tcPr>
          <w:p w14:paraId="1380B328" w14:textId="5C42658A" w:rsidR="00CD3FF6" w:rsidRPr="00CD3FF6" w:rsidRDefault="00CD3FF6">
            <w:pPr>
              <w:rPr>
                <w:rFonts w:ascii="Calibri" w:hAnsi="Calibri" w:cs="Calibri"/>
                <w:kern w:val="24"/>
              </w:rPr>
            </w:pPr>
            <w:r>
              <w:rPr>
                <w:rFonts w:ascii="Calibri" w:hAnsi="Calibri" w:cs="Calibri"/>
                <w:kern w:val="24"/>
              </w:rPr>
              <w:t>Applications open</w:t>
            </w:r>
          </w:p>
        </w:tc>
        <w:tc>
          <w:tcPr>
            <w:tcW w:w="4935" w:type="dxa"/>
            <w:shd w:val="clear" w:color="auto" w:fill="E7E6E6" w:themeFill="background2"/>
          </w:tcPr>
          <w:p w14:paraId="4B65CFB6" w14:textId="70551EE0" w:rsidR="00CD3FF6" w:rsidRPr="00CD3FF6" w:rsidRDefault="00C47BE6">
            <w:pPr>
              <w:rPr>
                <w:rFonts w:ascii="Calibri" w:hAnsi="Calibri" w:cs="Calibri"/>
              </w:rPr>
            </w:pPr>
            <w:r>
              <w:rPr>
                <w:rFonts w:ascii="Calibri" w:hAnsi="Calibri" w:cs="Calibri"/>
              </w:rPr>
              <w:t>6</w:t>
            </w:r>
            <w:r w:rsidR="00DF3C06">
              <w:rPr>
                <w:rFonts w:ascii="Calibri" w:hAnsi="Calibri" w:cs="Calibri"/>
              </w:rPr>
              <w:t xml:space="preserve"> November</w:t>
            </w:r>
            <w:r w:rsidR="00CD3FF6">
              <w:rPr>
                <w:rFonts w:ascii="Calibri" w:hAnsi="Calibri" w:cs="Calibri"/>
              </w:rPr>
              <w:t xml:space="preserve"> 202</w:t>
            </w:r>
            <w:r w:rsidR="00B32D7A">
              <w:rPr>
                <w:rFonts w:ascii="Calibri" w:hAnsi="Calibri" w:cs="Calibri"/>
              </w:rPr>
              <w:t>6</w:t>
            </w:r>
          </w:p>
        </w:tc>
      </w:tr>
      <w:tr w:rsidR="00C47C69" w:rsidRPr="00105FF6" w14:paraId="680B63CF" w14:textId="77777777" w:rsidTr="00214637">
        <w:tc>
          <w:tcPr>
            <w:tcW w:w="4081" w:type="dxa"/>
            <w:shd w:val="clear" w:color="auto" w:fill="E7E6E6" w:themeFill="background2"/>
          </w:tcPr>
          <w:p w14:paraId="459B6473" w14:textId="27DD2804" w:rsidR="00C47C69" w:rsidRPr="00214637" w:rsidRDefault="00C47C69">
            <w:pPr>
              <w:rPr>
                <w:rFonts w:ascii="Calibri" w:hAnsi="Calibri" w:cs="Calibri"/>
                <w:kern w:val="24"/>
              </w:rPr>
            </w:pPr>
            <w:r w:rsidRPr="00214637">
              <w:rPr>
                <w:rFonts w:ascii="Calibri" w:hAnsi="Calibri" w:cs="Calibri"/>
                <w:kern w:val="24"/>
              </w:rPr>
              <w:t>Application closing date</w:t>
            </w:r>
          </w:p>
        </w:tc>
        <w:tc>
          <w:tcPr>
            <w:tcW w:w="4935" w:type="dxa"/>
            <w:shd w:val="clear" w:color="auto" w:fill="E7E6E6" w:themeFill="background2"/>
          </w:tcPr>
          <w:p w14:paraId="756969C3" w14:textId="50B678B3" w:rsidR="00C47C69" w:rsidRPr="00214637" w:rsidDel="005C11E7" w:rsidRDefault="00C47BE6">
            <w:pPr>
              <w:rPr>
                <w:rFonts w:ascii="Calibri" w:hAnsi="Calibri" w:cs="Calibri"/>
                <w:kern w:val="24"/>
              </w:rPr>
            </w:pPr>
            <w:r>
              <w:rPr>
                <w:rFonts w:ascii="Calibri" w:hAnsi="Calibri" w:cs="Calibri"/>
              </w:rPr>
              <w:t>6</w:t>
            </w:r>
            <w:r w:rsidR="004B6A4B">
              <w:rPr>
                <w:rFonts w:ascii="Calibri" w:hAnsi="Calibri" w:cs="Calibri"/>
              </w:rPr>
              <w:t xml:space="preserve"> May</w:t>
            </w:r>
            <w:r w:rsidR="00FC2DEF">
              <w:rPr>
                <w:rFonts w:ascii="Calibri" w:hAnsi="Calibri" w:cs="Calibri"/>
              </w:rPr>
              <w:t xml:space="preserve"> 2027</w:t>
            </w:r>
          </w:p>
        </w:tc>
      </w:tr>
      <w:tr w:rsidR="00AA7A58" w:rsidRPr="00105FF6" w14:paraId="29944CD4" w14:textId="77777777" w:rsidTr="00214637">
        <w:tc>
          <w:tcPr>
            <w:tcW w:w="4081" w:type="dxa"/>
            <w:shd w:val="clear" w:color="auto" w:fill="E7E6E6" w:themeFill="background2"/>
          </w:tcPr>
          <w:p w14:paraId="5950F680" w14:textId="1744A6C7" w:rsidR="00AA7A58" w:rsidRPr="00214637" w:rsidRDefault="00AA7A58">
            <w:pPr>
              <w:rPr>
                <w:rFonts w:ascii="Calibri" w:hAnsi="Calibri" w:cs="Calibri"/>
                <w:kern w:val="24"/>
              </w:rPr>
            </w:pPr>
            <w:r w:rsidRPr="00214637">
              <w:rPr>
                <w:rFonts w:ascii="Calibri" w:hAnsi="Calibri" w:cs="Calibri"/>
                <w:kern w:val="24"/>
              </w:rPr>
              <w:t xml:space="preserve">Assessment of </w:t>
            </w:r>
            <w:r w:rsidR="00C47C69" w:rsidRPr="00214637">
              <w:rPr>
                <w:rFonts w:ascii="Calibri" w:hAnsi="Calibri" w:cs="Calibri"/>
                <w:kern w:val="24"/>
              </w:rPr>
              <w:t>applications</w:t>
            </w:r>
          </w:p>
        </w:tc>
        <w:tc>
          <w:tcPr>
            <w:tcW w:w="4935" w:type="dxa"/>
            <w:shd w:val="clear" w:color="auto" w:fill="E7E6E6" w:themeFill="background2"/>
          </w:tcPr>
          <w:p w14:paraId="120D76D4" w14:textId="7CD847E6" w:rsidR="00AA7A58" w:rsidRPr="00214637" w:rsidDel="005C11E7" w:rsidRDefault="00C654BE">
            <w:pPr>
              <w:rPr>
                <w:rFonts w:ascii="Calibri" w:hAnsi="Calibri" w:cs="Calibri"/>
                <w:kern w:val="24"/>
              </w:rPr>
            </w:pPr>
            <w:r>
              <w:rPr>
                <w:rFonts w:ascii="Calibri" w:hAnsi="Calibri" w:cs="Calibri"/>
              </w:rPr>
              <w:t>May</w:t>
            </w:r>
            <w:r w:rsidR="00055AB0">
              <w:rPr>
                <w:rFonts w:ascii="Calibri" w:hAnsi="Calibri" w:cs="Calibri"/>
              </w:rPr>
              <w:t xml:space="preserve">- </w:t>
            </w:r>
            <w:r w:rsidR="001717F2">
              <w:rPr>
                <w:rFonts w:ascii="Calibri" w:hAnsi="Calibri" w:cs="Calibri"/>
              </w:rPr>
              <w:t xml:space="preserve">July </w:t>
            </w:r>
            <w:r w:rsidR="00592DC6">
              <w:rPr>
                <w:rFonts w:ascii="Calibri" w:hAnsi="Calibri" w:cs="Calibri"/>
              </w:rPr>
              <w:t>2027</w:t>
            </w:r>
          </w:p>
        </w:tc>
      </w:tr>
      <w:tr w:rsidR="00AA7A58" w:rsidRPr="00105FF6" w14:paraId="5B4D3D6A" w14:textId="77777777" w:rsidTr="00214637">
        <w:tc>
          <w:tcPr>
            <w:tcW w:w="4081" w:type="dxa"/>
            <w:shd w:val="clear" w:color="auto" w:fill="E7E6E6" w:themeFill="background2"/>
          </w:tcPr>
          <w:p w14:paraId="0895123B" w14:textId="05290269" w:rsidR="00AA7A58" w:rsidRPr="00214637" w:rsidRDefault="00C47C69">
            <w:pPr>
              <w:rPr>
                <w:rFonts w:ascii="Calibri" w:hAnsi="Calibri" w:cs="Calibri"/>
                <w:kern w:val="24"/>
              </w:rPr>
            </w:pPr>
            <w:r w:rsidRPr="00214637">
              <w:rPr>
                <w:rFonts w:ascii="Calibri" w:hAnsi="Calibri" w:cs="Calibri"/>
                <w:kern w:val="24"/>
              </w:rPr>
              <w:t>Successful applicants announced</w:t>
            </w:r>
          </w:p>
        </w:tc>
        <w:tc>
          <w:tcPr>
            <w:tcW w:w="4935" w:type="dxa"/>
            <w:shd w:val="clear" w:color="auto" w:fill="E7E6E6" w:themeFill="background2"/>
          </w:tcPr>
          <w:p w14:paraId="59E9040D" w14:textId="104B4FCD" w:rsidR="00AA7A58" w:rsidRPr="00214637" w:rsidDel="005C11E7" w:rsidRDefault="00055AB0">
            <w:pPr>
              <w:rPr>
                <w:rFonts w:ascii="Calibri" w:hAnsi="Calibri" w:cs="Calibri"/>
                <w:kern w:val="24"/>
              </w:rPr>
            </w:pPr>
            <w:r>
              <w:rPr>
                <w:rFonts w:ascii="Calibri" w:hAnsi="Calibri" w:cs="Calibri"/>
                <w:kern w:val="24"/>
              </w:rPr>
              <w:t>July</w:t>
            </w:r>
            <w:r w:rsidR="00FD6665">
              <w:rPr>
                <w:rFonts w:ascii="Calibri" w:hAnsi="Calibri" w:cs="Calibri"/>
                <w:kern w:val="24"/>
              </w:rPr>
              <w:t xml:space="preserve"> – August</w:t>
            </w:r>
            <w:r>
              <w:rPr>
                <w:rFonts w:ascii="Calibri" w:hAnsi="Calibri" w:cs="Calibri"/>
                <w:kern w:val="24"/>
              </w:rPr>
              <w:t xml:space="preserve"> 2027</w:t>
            </w:r>
          </w:p>
        </w:tc>
      </w:tr>
      <w:tr w:rsidR="00C47C69" w:rsidRPr="00105FF6" w14:paraId="466D12F5" w14:textId="77777777" w:rsidTr="00214637">
        <w:tc>
          <w:tcPr>
            <w:tcW w:w="4081" w:type="dxa"/>
            <w:shd w:val="clear" w:color="auto" w:fill="E7E6E6" w:themeFill="background2"/>
          </w:tcPr>
          <w:p w14:paraId="4A8DC338" w14:textId="1A328223" w:rsidR="00C47C69" w:rsidRPr="00214637" w:rsidRDefault="00C47C69">
            <w:pPr>
              <w:rPr>
                <w:rFonts w:ascii="Calibri" w:hAnsi="Calibri" w:cs="Calibri"/>
                <w:kern w:val="24"/>
              </w:rPr>
            </w:pPr>
            <w:r w:rsidRPr="00214637">
              <w:rPr>
                <w:rFonts w:ascii="Calibri" w:hAnsi="Calibri" w:cs="Calibri"/>
                <w:kern w:val="24"/>
              </w:rPr>
              <w:t>Grant agreements negotiated and finalised</w:t>
            </w:r>
          </w:p>
        </w:tc>
        <w:tc>
          <w:tcPr>
            <w:tcW w:w="4935" w:type="dxa"/>
            <w:shd w:val="clear" w:color="auto" w:fill="E7E6E6" w:themeFill="background2"/>
          </w:tcPr>
          <w:p w14:paraId="3B8708E5" w14:textId="34411343" w:rsidR="00C47C69" w:rsidRPr="00214637" w:rsidDel="005C11E7" w:rsidRDefault="00AB3C68">
            <w:pPr>
              <w:rPr>
                <w:rFonts w:ascii="Calibri" w:hAnsi="Calibri" w:cs="Calibri"/>
                <w:kern w:val="24"/>
              </w:rPr>
            </w:pPr>
            <w:r>
              <w:rPr>
                <w:rFonts w:ascii="Calibri" w:hAnsi="Calibri" w:cs="Calibri"/>
                <w:kern w:val="24"/>
              </w:rPr>
              <w:t xml:space="preserve"> August</w:t>
            </w:r>
            <w:r w:rsidR="00DB4C8C">
              <w:rPr>
                <w:rFonts w:ascii="Calibri" w:hAnsi="Calibri" w:cs="Calibri"/>
                <w:kern w:val="24"/>
              </w:rPr>
              <w:t xml:space="preserve"> – September</w:t>
            </w:r>
            <w:r>
              <w:rPr>
                <w:rFonts w:ascii="Calibri" w:hAnsi="Calibri" w:cs="Calibri"/>
                <w:kern w:val="24"/>
              </w:rPr>
              <w:t xml:space="preserve"> 2027</w:t>
            </w:r>
          </w:p>
        </w:tc>
      </w:tr>
      <w:tr w:rsidR="00C47C69" w:rsidRPr="00105FF6" w14:paraId="03B42D1B" w14:textId="77777777" w:rsidTr="00214637">
        <w:tc>
          <w:tcPr>
            <w:tcW w:w="4081" w:type="dxa"/>
            <w:shd w:val="clear" w:color="auto" w:fill="E7E6E6" w:themeFill="background2"/>
          </w:tcPr>
          <w:p w14:paraId="37DAA002" w14:textId="5A30DD5E" w:rsidR="00C47C69" w:rsidRPr="00214637" w:rsidRDefault="00C47C69">
            <w:pPr>
              <w:rPr>
                <w:rFonts w:ascii="Calibri" w:hAnsi="Calibri" w:cs="Calibri"/>
                <w:kern w:val="24"/>
              </w:rPr>
            </w:pPr>
            <w:r w:rsidRPr="00214637">
              <w:rPr>
                <w:rFonts w:ascii="Calibri" w:hAnsi="Calibri" w:cs="Calibri"/>
                <w:kern w:val="24"/>
              </w:rPr>
              <w:t>Earliest</w:t>
            </w:r>
            <w:r w:rsidR="00F543B0" w:rsidRPr="00214637">
              <w:rPr>
                <w:rFonts w:ascii="Calibri" w:hAnsi="Calibri" w:cs="Calibri"/>
                <w:kern w:val="24"/>
              </w:rPr>
              <w:t xml:space="preserve"> expected</w:t>
            </w:r>
            <w:r w:rsidRPr="00214637">
              <w:rPr>
                <w:rFonts w:ascii="Calibri" w:hAnsi="Calibri" w:cs="Calibri"/>
                <w:kern w:val="24"/>
              </w:rPr>
              <w:t xml:space="preserve"> start date for projects</w:t>
            </w:r>
          </w:p>
        </w:tc>
        <w:tc>
          <w:tcPr>
            <w:tcW w:w="4935" w:type="dxa"/>
            <w:shd w:val="clear" w:color="auto" w:fill="E7E6E6" w:themeFill="background2"/>
          </w:tcPr>
          <w:p w14:paraId="59393BB3" w14:textId="1433B9BA" w:rsidR="00C47C69" w:rsidRPr="00214637" w:rsidRDefault="00AB3C68">
            <w:pPr>
              <w:rPr>
                <w:rFonts w:ascii="Calibri" w:hAnsi="Calibri" w:cs="Calibri"/>
                <w:kern w:val="24"/>
              </w:rPr>
            </w:pPr>
            <w:r>
              <w:rPr>
                <w:rFonts w:ascii="Calibri" w:hAnsi="Calibri" w:cs="Calibri"/>
                <w:kern w:val="24"/>
              </w:rPr>
              <w:t xml:space="preserve"> </w:t>
            </w:r>
            <w:r w:rsidR="00D83C93">
              <w:rPr>
                <w:rFonts w:ascii="Calibri" w:hAnsi="Calibri" w:cs="Calibri"/>
                <w:kern w:val="24"/>
              </w:rPr>
              <w:t xml:space="preserve">September </w:t>
            </w:r>
            <w:r w:rsidR="003F5423">
              <w:rPr>
                <w:rFonts w:ascii="Calibri" w:hAnsi="Calibri" w:cs="Calibri"/>
                <w:kern w:val="24"/>
              </w:rPr>
              <w:t>2027</w:t>
            </w:r>
          </w:p>
        </w:tc>
      </w:tr>
      <w:tr w:rsidR="00C47C69" w:rsidRPr="00105FF6" w14:paraId="55B31175" w14:textId="77777777" w:rsidTr="00AA7A58">
        <w:tc>
          <w:tcPr>
            <w:tcW w:w="4081" w:type="dxa"/>
          </w:tcPr>
          <w:p w14:paraId="0B6A0023" w14:textId="0170E73B" w:rsidR="00C47C69" w:rsidRPr="00214637" w:rsidRDefault="00C47C69">
            <w:pPr>
              <w:rPr>
                <w:rFonts w:ascii="Calibri" w:hAnsi="Calibri" w:cs="Calibri"/>
                <w:kern w:val="24"/>
              </w:rPr>
            </w:pPr>
            <w:r w:rsidRPr="00214637">
              <w:rPr>
                <w:rFonts w:ascii="Calibri" w:hAnsi="Calibri" w:cs="Calibri"/>
                <w:kern w:val="24"/>
              </w:rPr>
              <w:t>Project completion deadline</w:t>
            </w:r>
          </w:p>
        </w:tc>
        <w:tc>
          <w:tcPr>
            <w:tcW w:w="4935" w:type="dxa"/>
          </w:tcPr>
          <w:p w14:paraId="7C9405E5" w14:textId="0BB11A45" w:rsidR="00C47C69" w:rsidRPr="00214637" w:rsidDel="005C11E7" w:rsidRDefault="00216190">
            <w:pPr>
              <w:rPr>
                <w:rFonts w:ascii="Calibri" w:hAnsi="Calibri" w:cs="Calibri"/>
                <w:kern w:val="24"/>
              </w:rPr>
            </w:pPr>
            <w:r w:rsidRPr="00214637">
              <w:rPr>
                <w:rFonts w:ascii="Calibri" w:hAnsi="Calibri" w:cs="Calibri"/>
                <w:kern w:val="24"/>
              </w:rPr>
              <w:t xml:space="preserve">60 months (5 years) </w:t>
            </w:r>
            <w:r w:rsidR="00062C7A">
              <w:rPr>
                <w:rFonts w:ascii="Calibri" w:hAnsi="Calibri" w:cs="Calibri"/>
                <w:kern w:val="24"/>
              </w:rPr>
              <w:t xml:space="preserve">from the date the grant agreement is executed, </w:t>
            </w:r>
            <w:r w:rsidRPr="00214637">
              <w:rPr>
                <w:rFonts w:ascii="Calibri" w:hAnsi="Calibri" w:cs="Calibri"/>
                <w:kern w:val="24"/>
              </w:rPr>
              <w:t xml:space="preserve">or </w:t>
            </w:r>
            <w:r w:rsidR="00C47C69" w:rsidRPr="00214637">
              <w:rPr>
                <w:rFonts w:ascii="Calibri" w:hAnsi="Calibri" w:cs="Calibri"/>
                <w:kern w:val="24"/>
              </w:rPr>
              <w:t>31 March 2033</w:t>
            </w:r>
            <w:r w:rsidRPr="00214637">
              <w:rPr>
                <w:rFonts w:ascii="Calibri" w:hAnsi="Calibri" w:cs="Calibri"/>
                <w:kern w:val="24"/>
              </w:rPr>
              <w:t>, whichever occurs first</w:t>
            </w:r>
            <w:r w:rsidR="00C47C69" w:rsidRPr="00214637">
              <w:rPr>
                <w:rFonts w:ascii="Calibri" w:hAnsi="Calibri" w:cs="Calibri"/>
                <w:kern w:val="24"/>
              </w:rPr>
              <w:t xml:space="preserve"> (applies to all batches)</w:t>
            </w:r>
          </w:p>
        </w:tc>
      </w:tr>
      <w:tr w:rsidR="00F812F3" w:rsidRPr="00105FF6" w14:paraId="55C4B66A" w14:textId="77777777" w:rsidTr="00214637">
        <w:tc>
          <w:tcPr>
            <w:tcW w:w="4081" w:type="dxa"/>
          </w:tcPr>
          <w:p w14:paraId="39527394" w14:textId="74824C61" w:rsidR="00F812F3" w:rsidRPr="00105FF6" w:rsidRDefault="00F812F3">
            <w:r w:rsidRPr="00105FF6">
              <w:rPr>
                <w:rFonts w:ascii="Calibri" w:hAnsi="Calibri" w:cs="Calibri"/>
                <w:kern w:val="24"/>
              </w:rPr>
              <w:t xml:space="preserve">End of Round </w:t>
            </w:r>
            <w:r w:rsidR="00AA7A58" w:rsidRPr="00AC007A">
              <w:rPr>
                <w:rFonts w:ascii="Calibri" w:hAnsi="Calibri" w:cs="Calibri"/>
                <w:kern w:val="24"/>
              </w:rPr>
              <w:t>2</w:t>
            </w:r>
            <w:r w:rsidRPr="00105FF6">
              <w:rPr>
                <w:rFonts w:ascii="Calibri" w:hAnsi="Calibri" w:cs="Calibri"/>
                <w:kern w:val="24"/>
              </w:rPr>
              <w:t> (Batch 3 cut-off)</w:t>
            </w:r>
          </w:p>
        </w:tc>
        <w:tc>
          <w:tcPr>
            <w:tcW w:w="4935" w:type="dxa"/>
          </w:tcPr>
          <w:p w14:paraId="2B28C2C4" w14:textId="3A36539C" w:rsidR="00F812F3" w:rsidRPr="00105FF6" w:rsidRDefault="00BE781F">
            <w:r>
              <w:rPr>
                <w:rFonts w:ascii="Calibri" w:hAnsi="Calibri" w:cs="Calibri"/>
                <w:kern w:val="24"/>
              </w:rPr>
              <w:t>6</w:t>
            </w:r>
            <w:r w:rsidR="004B6A4B">
              <w:rPr>
                <w:rFonts w:ascii="Calibri" w:hAnsi="Calibri" w:cs="Calibri"/>
                <w:kern w:val="24"/>
              </w:rPr>
              <w:t xml:space="preserve"> May</w:t>
            </w:r>
            <w:r w:rsidR="00240A12">
              <w:rPr>
                <w:rFonts w:ascii="Calibri" w:hAnsi="Calibri" w:cs="Calibri"/>
                <w:kern w:val="24"/>
              </w:rPr>
              <w:t xml:space="preserve"> 2027</w:t>
            </w:r>
          </w:p>
        </w:tc>
      </w:tr>
    </w:tbl>
    <w:p w14:paraId="1DD65697" w14:textId="77777777" w:rsidR="00F812F3" w:rsidRPr="00105FF6" w:rsidRDefault="00F812F3" w:rsidP="00F812F3"/>
    <w:p w14:paraId="42C4910F" w14:textId="2C72466E" w:rsidR="00F812F3" w:rsidRPr="00105FF6" w:rsidRDefault="00F812F3" w:rsidP="00F812F3">
      <w:pPr>
        <w:pStyle w:val="Heading3"/>
        <w:rPr>
          <w:rFonts w:asciiTheme="minorHAnsi" w:eastAsiaTheme="minorHAnsi" w:hAnsiTheme="minorHAnsi" w:cstheme="minorBidi"/>
          <w:color w:val="auto"/>
          <w:sz w:val="22"/>
          <w:szCs w:val="22"/>
        </w:rPr>
      </w:pPr>
      <w:r w:rsidRPr="00105FF6">
        <w:t xml:space="preserve">6.2 When can I </w:t>
      </w:r>
      <w:proofErr w:type="gramStart"/>
      <w:r w:rsidRPr="00105FF6">
        <w:t>submit an application</w:t>
      </w:r>
      <w:proofErr w:type="gramEnd"/>
      <w:r w:rsidRPr="00105FF6">
        <w:t>? And when will they be assessed?</w:t>
      </w:r>
    </w:p>
    <w:p w14:paraId="63B03AF2" w14:textId="7DCFFE37" w:rsidR="00EE79BA" w:rsidRPr="00105FF6" w:rsidRDefault="00F812F3" w:rsidP="00F812F3">
      <w:r w:rsidRPr="00105FF6">
        <w:t xml:space="preserve">Round </w:t>
      </w:r>
      <w:r w:rsidR="00AA7A58" w:rsidRPr="00105FF6">
        <w:t>2</w:t>
      </w:r>
      <w:r w:rsidRPr="00105FF6">
        <w:t xml:space="preserve"> of the STS open</w:t>
      </w:r>
      <w:r w:rsidR="005E707D">
        <w:t>ed</w:t>
      </w:r>
      <w:r w:rsidRPr="00105FF6">
        <w:t xml:space="preserve"> to applications on </w:t>
      </w:r>
      <w:r w:rsidR="00DA7DA9">
        <w:t>5</w:t>
      </w:r>
      <w:r w:rsidR="004B6A4B">
        <w:t xml:space="preserve"> February</w:t>
      </w:r>
      <w:r w:rsidR="00AF577B" w:rsidRPr="00105FF6">
        <w:t xml:space="preserve"> 2026</w:t>
      </w:r>
      <w:r w:rsidR="00F543B0" w:rsidRPr="00105FF6">
        <w:t xml:space="preserve"> </w:t>
      </w:r>
      <w:r w:rsidRPr="00105FF6">
        <w:t>and remain</w:t>
      </w:r>
      <w:r w:rsidR="005E707D">
        <w:t>s</w:t>
      </w:r>
      <w:r w:rsidRPr="00105FF6">
        <w:t xml:space="preserve"> open until </w:t>
      </w:r>
      <w:r w:rsidR="00C47BE6">
        <w:t>6</w:t>
      </w:r>
      <w:r w:rsidR="004B6A4B">
        <w:t xml:space="preserve"> May</w:t>
      </w:r>
      <w:r w:rsidR="022129C7">
        <w:t xml:space="preserve"> 2027. </w:t>
      </w:r>
    </w:p>
    <w:p w14:paraId="65F22A78" w14:textId="273E00CF" w:rsidR="00F812F3" w:rsidRPr="00105FF6" w:rsidRDefault="00F812F3" w:rsidP="00F812F3">
      <w:r w:rsidRPr="00105FF6">
        <w:t xml:space="preserve">Eligible applications will be assessed in batches, with </w:t>
      </w:r>
      <w:r w:rsidR="00FB4D5F">
        <w:t xml:space="preserve">the applicable timeframes listed in the table above. </w:t>
      </w:r>
      <w:r w:rsidRPr="00105FF6">
        <w:t>We expect the assessment process will be finalised</w:t>
      </w:r>
      <w:r w:rsidR="00A62309">
        <w:t xml:space="preserve"> and announced</w:t>
      </w:r>
      <w:r w:rsidRPr="00105FF6">
        <w:t xml:space="preserve"> within 3</w:t>
      </w:r>
      <w:r w:rsidR="005E707D">
        <w:t>-5</w:t>
      </w:r>
      <w:r w:rsidRPr="00105FF6">
        <w:t xml:space="preserve"> months of the </w:t>
      </w:r>
      <w:r w:rsidR="00216190" w:rsidRPr="00105FF6">
        <w:t>listed application</w:t>
      </w:r>
      <w:r w:rsidRPr="00105FF6">
        <w:t xml:space="preserve"> </w:t>
      </w:r>
      <w:r w:rsidR="00F336F1" w:rsidRPr="00105FF6">
        <w:t>closing</w:t>
      </w:r>
      <w:r w:rsidRPr="00105FF6">
        <w:t xml:space="preserve"> date</w:t>
      </w:r>
      <w:r w:rsidR="00F336F1" w:rsidRPr="00105FF6">
        <w:t>,</w:t>
      </w:r>
      <w:r w:rsidR="00AF0E25" w:rsidRPr="00105FF6">
        <w:t xml:space="preserve"> and grant agreement negotiations will commence at this time</w:t>
      </w:r>
      <w:r w:rsidRPr="00105FF6">
        <w:t>.</w:t>
      </w:r>
    </w:p>
    <w:p w14:paraId="16542BD1" w14:textId="1857F190" w:rsidR="00F812F3" w:rsidRPr="00105FF6" w:rsidRDefault="00F812F3" w:rsidP="00F812F3">
      <w:pPr>
        <w:pStyle w:val="Heading3"/>
      </w:pPr>
      <w:r w:rsidRPr="00105FF6">
        <w:t>6.3 What happens if I miss the cut off for the first assessments on</w:t>
      </w:r>
      <w:r w:rsidR="00911A5F" w:rsidRPr="00105FF6">
        <w:t xml:space="preserve"> </w:t>
      </w:r>
      <w:r w:rsidR="008561CC">
        <w:t>5</w:t>
      </w:r>
      <w:r w:rsidR="001825FA">
        <w:t xml:space="preserve"> May</w:t>
      </w:r>
      <w:r w:rsidR="00911A5F" w:rsidRPr="00105FF6">
        <w:t xml:space="preserve"> 2026</w:t>
      </w:r>
      <w:r w:rsidRPr="00105FF6">
        <w:t xml:space="preserve">? </w:t>
      </w:r>
    </w:p>
    <w:p w14:paraId="245107F5" w14:textId="7E6B38B7" w:rsidR="005E707D" w:rsidRDefault="00F812F3" w:rsidP="00F812F3">
      <w:r w:rsidRPr="00105FF6">
        <w:t>Any applications received after</w:t>
      </w:r>
      <w:r w:rsidR="00F0718F">
        <w:t xml:space="preserve"> </w:t>
      </w:r>
      <w:r w:rsidR="00DA7DA9">
        <w:t>5</w:t>
      </w:r>
      <w:r w:rsidR="001825FA">
        <w:t xml:space="preserve"> May</w:t>
      </w:r>
      <w:r w:rsidR="00BA74AC" w:rsidRPr="00105FF6">
        <w:t xml:space="preserve"> 2026</w:t>
      </w:r>
      <w:r w:rsidRPr="00105FF6">
        <w:t>, will be considered in the next batch</w:t>
      </w:r>
      <w:r w:rsidR="00C26BB8">
        <w:t xml:space="preserve"> closing on </w:t>
      </w:r>
      <w:r w:rsidR="000720D3">
        <w:t>5</w:t>
      </w:r>
      <w:r w:rsidR="00C26BB8">
        <w:rPr>
          <w:vertAlign w:val="superscript"/>
        </w:rPr>
        <w:t xml:space="preserve"> </w:t>
      </w:r>
      <w:r w:rsidR="00D265E5">
        <w:t>November</w:t>
      </w:r>
      <w:r w:rsidR="00BA74AC" w:rsidRPr="00105FF6">
        <w:t xml:space="preserve"> 2026</w:t>
      </w:r>
      <w:r w:rsidR="00DE2C18" w:rsidRPr="00105FF6">
        <w:t xml:space="preserve">. </w:t>
      </w:r>
    </w:p>
    <w:p w14:paraId="3E4FB89B" w14:textId="7FAF50B1" w:rsidR="00EE79BA" w:rsidRDefault="00DE2C18" w:rsidP="00F812F3">
      <w:r w:rsidRPr="00105FF6">
        <w:t xml:space="preserve">Likewise, any applications received after </w:t>
      </w:r>
      <w:r w:rsidR="000720D3">
        <w:t>5</w:t>
      </w:r>
      <w:r w:rsidR="00D265E5">
        <w:t xml:space="preserve"> November</w:t>
      </w:r>
      <w:r w:rsidRPr="00105FF6">
        <w:t xml:space="preserve"> 2026 will be considered in the final batch</w:t>
      </w:r>
      <w:r w:rsidR="00911A5F" w:rsidRPr="00105FF6">
        <w:t xml:space="preserve"> closing </w:t>
      </w:r>
      <w:r w:rsidR="00C26BB8">
        <w:t>on</w:t>
      </w:r>
      <w:r w:rsidR="00911A5F" w:rsidRPr="00105FF6">
        <w:t xml:space="preserve"> </w:t>
      </w:r>
      <w:r w:rsidR="000720D3">
        <w:t>6</w:t>
      </w:r>
      <w:r w:rsidR="00D265E5">
        <w:t xml:space="preserve"> May</w:t>
      </w:r>
      <w:r w:rsidR="00911A5F" w:rsidRPr="00105FF6">
        <w:t xml:space="preserve"> 2027</w:t>
      </w:r>
      <w:r w:rsidR="7F73C26C">
        <w:t>.</w:t>
      </w:r>
      <w:r w:rsidR="00911A5F">
        <w:t xml:space="preserve">  </w:t>
      </w:r>
    </w:p>
    <w:p w14:paraId="0B9FA215" w14:textId="435C5A65" w:rsidR="006E0150" w:rsidRPr="00105FF6" w:rsidRDefault="006E0150" w:rsidP="005078A6">
      <w:pPr>
        <w:pStyle w:val="Heading3"/>
      </w:pPr>
      <w:r>
        <w:t>6.4 Will I miss out on funding if I don’t apply</w:t>
      </w:r>
      <w:r w:rsidRPr="00105FF6">
        <w:t xml:space="preserve"> in the first batch?</w:t>
      </w:r>
    </w:p>
    <w:p w14:paraId="7E7A7570" w14:textId="7CA9BCDD" w:rsidR="00B63145" w:rsidRPr="00105FF6" w:rsidRDefault="006A0F49" w:rsidP="00180CCE">
      <w:r w:rsidRPr="00105FF6">
        <w:t xml:space="preserve">The available funding is split between the batches. Up to 50% of available funding will be offered in Batch 1, and up to 25% of </w:t>
      </w:r>
      <w:r w:rsidR="006C2077" w:rsidRPr="00105FF6">
        <w:t>available funding will be offered in Batch 2 and 3.</w:t>
      </w:r>
      <w:r w:rsidR="00CB2A83" w:rsidRPr="00105FF6">
        <w:t xml:space="preserve"> If </w:t>
      </w:r>
      <w:r w:rsidR="004450B0" w:rsidRPr="00105FF6">
        <w:t xml:space="preserve">funding is not fully allocated within the Batch, </w:t>
      </w:r>
      <w:r w:rsidR="005E707D">
        <w:t>the remaining</w:t>
      </w:r>
      <w:r w:rsidR="005E707D" w:rsidRPr="00105FF6">
        <w:t xml:space="preserve"> </w:t>
      </w:r>
      <w:r w:rsidR="004450B0" w:rsidRPr="00105FF6">
        <w:t xml:space="preserve">funding will be made available in </w:t>
      </w:r>
      <w:r w:rsidR="005E707D">
        <w:t>the next</w:t>
      </w:r>
      <w:r w:rsidR="005E707D" w:rsidRPr="00105FF6">
        <w:t xml:space="preserve"> </w:t>
      </w:r>
      <w:r w:rsidR="004450B0" w:rsidRPr="00105FF6">
        <w:t>batch.</w:t>
      </w:r>
    </w:p>
    <w:p w14:paraId="4F7F7F7C" w14:textId="1DB163F4" w:rsidR="00F812F3" w:rsidRPr="00105FF6" w:rsidRDefault="00F812F3" w:rsidP="00F812F3">
      <w:pPr>
        <w:pStyle w:val="Heading3"/>
      </w:pPr>
      <w:r w:rsidRPr="00105FF6">
        <w:t>6.</w:t>
      </w:r>
      <w:r w:rsidR="006E0150">
        <w:t>5</w:t>
      </w:r>
      <w:r w:rsidRPr="00105FF6">
        <w:t xml:space="preserve"> Who is assessing my application and how will my application be assessed?  </w:t>
      </w:r>
    </w:p>
    <w:p w14:paraId="694AA271" w14:textId="767B0A95" w:rsidR="00F812F3" w:rsidRPr="00105FF6" w:rsidRDefault="00F812F3" w:rsidP="00F812F3">
      <w:r w:rsidRPr="00105FF6">
        <w:t xml:space="preserve">The Grant selection process is explained in </w:t>
      </w:r>
      <w:r w:rsidR="00F85474" w:rsidRPr="00FB62A2">
        <w:t>Section 8 of the guidelines</w:t>
      </w:r>
      <w:r w:rsidRPr="00105FF6">
        <w:t xml:space="preserve">. </w:t>
      </w:r>
    </w:p>
    <w:p w14:paraId="6F46C68E" w14:textId="37098E2E" w:rsidR="00F812F3" w:rsidRPr="00105FF6" w:rsidRDefault="00F812F3" w:rsidP="00F812F3">
      <w:r w:rsidRPr="00105FF6">
        <w:t xml:space="preserve">Your application will be assessed </w:t>
      </w:r>
      <w:r w:rsidR="00CC7520">
        <w:t>by the Business Grants Hub in the Department of Industry, Science and Resources</w:t>
      </w:r>
      <w:r w:rsidRPr="00105FF6">
        <w:t xml:space="preserve"> against the eligibility criteria (as set out </w:t>
      </w:r>
      <w:r w:rsidR="00F85474" w:rsidRPr="00FB62A2">
        <w:t>in Section 4 of the guidelines</w:t>
      </w:r>
      <w:r w:rsidRPr="00105FF6">
        <w:t xml:space="preserve">). </w:t>
      </w:r>
    </w:p>
    <w:p w14:paraId="093C18F2" w14:textId="69933EDC" w:rsidR="00F812F3" w:rsidRPr="00105FF6" w:rsidRDefault="00CC7520" w:rsidP="00F812F3">
      <w:r>
        <w:t>T</w:t>
      </w:r>
      <w:r w:rsidR="000143D0" w:rsidRPr="00105FF6">
        <w:t>he</w:t>
      </w:r>
      <w:r w:rsidR="00F812F3" w:rsidRPr="00105FF6">
        <w:t xml:space="preserve"> independent</w:t>
      </w:r>
      <w:r w:rsidR="000143D0" w:rsidRPr="00105FF6">
        <w:t xml:space="preserve"> </w:t>
      </w:r>
      <w:r w:rsidR="00CB2A83" w:rsidRPr="00105FF6">
        <w:t>PRF</w:t>
      </w:r>
      <w:r w:rsidR="000143D0" w:rsidRPr="00105FF6">
        <w:t xml:space="preserve"> EAP</w:t>
      </w:r>
      <w:r w:rsidR="00F812F3" w:rsidRPr="00105FF6">
        <w:t xml:space="preserve"> will assess and score </w:t>
      </w:r>
      <w:r>
        <w:t>eligible</w:t>
      </w:r>
      <w:r w:rsidRPr="00105FF6">
        <w:t xml:space="preserve"> </w:t>
      </w:r>
      <w:r w:rsidR="00F812F3" w:rsidRPr="00105FF6">
        <w:t>application</w:t>
      </w:r>
      <w:r>
        <w:t>s</w:t>
      </w:r>
      <w:r w:rsidR="00F812F3" w:rsidRPr="00105FF6">
        <w:t xml:space="preserve"> against the assessment criteria (set out in </w:t>
      </w:r>
      <w:r w:rsidR="00F85474" w:rsidRPr="00FB62A2">
        <w:t>Section 6 of the guidelines</w:t>
      </w:r>
      <w:r w:rsidR="00F812F3" w:rsidRPr="00105FF6">
        <w:t xml:space="preserve">), supported by independent technical experts. </w:t>
      </w:r>
    </w:p>
    <w:p w14:paraId="6195A9FE" w14:textId="7DF6AF29" w:rsidR="00F812F3" w:rsidRPr="00105FF6" w:rsidRDefault="0063044C" w:rsidP="00F812F3">
      <w:r>
        <w:t>T</w:t>
      </w:r>
      <w:r w:rsidR="00F812F3" w:rsidRPr="00105FF6">
        <w:t xml:space="preserve">he </w:t>
      </w:r>
      <w:r w:rsidR="00A44757" w:rsidRPr="00105FF6">
        <w:t>PRF EAP</w:t>
      </w:r>
      <w:r w:rsidR="00261727" w:rsidRPr="00105FF6">
        <w:t xml:space="preserve"> </w:t>
      </w:r>
      <w:r w:rsidR="00F812F3" w:rsidRPr="00105FF6">
        <w:t xml:space="preserve">will consider your application as a whole </w:t>
      </w:r>
      <w:r>
        <w:t xml:space="preserve">and </w:t>
      </w:r>
      <w:r w:rsidR="00F812F3" w:rsidRPr="00105FF6">
        <w:t>on its merits, compar</w:t>
      </w:r>
      <w:r>
        <w:t>ing</w:t>
      </w:r>
      <w:r w:rsidR="00F812F3" w:rsidRPr="00105FF6">
        <w:t xml:space="preserve"> </w:t>
      </w:r>
      <w:r>
        <w:t>against</w:t>
      </w:r>
      <w:r w:rsidR="00F812F3" w:rsidRPr="00105FF6">
        <w:t xml:space="preserve"> other eligible applications in the </w:t>
      </w:r>
      <w:r w:rsidR="008C2A62">
        <w:t>relevant batch</w:t>
      </w:r>
      <w:r w:rsidR="00F812F3" w:rsidRPr="00105FF6">
        <w:t xml:space="preserve"> before making a recommendation to the Minister</w:t>
      </w:r>
      <w:r w:rsidR="00DC20C5" w:rsidRPr="00105FF6">
        <w:t xml:space="preserve"> for</w:t>
      </w:r>
      <w:r w:rsidR="00F812F3" w:rsidRPr="00105FF6">
        <w:t xml:space="preserve"> Climate Change and Energy</w:t>
      </w:r>
      <w:r w:rsidR="008C2A62">
        <w:t>.</w:t>
      </w:r>
    </w:p>
    <w:p w14:paraId="6E1281AC" w14:textId="323AEC71" w:rsidR="00091BCF" w:rsidRPr="00105FF6" w:rsidRDefault="00F812F3" w:rsidP="00F812F3">
      <w:pPr>
        <w:spacing w:after="120"/>
      </w:pPr>
      <w:r w:rsidRPr="00105FF6">
        <w:t xml:space="preserve">The </w:t>
      </w:r>
      <w:r w:rsidR="008C2A62" w:rsidRPr="00105FF6">
        <w:t>Minister for Climate Change and Energy</w:t>
      </w:r>
      <w:r w:rsidRPr="00105FF6">
        <w:t xml:space="preserve"> </w:t>
      </w:r>
      <w:proofErr w:type="gramStart"/>
      <w:r w:rsidRPr="00105FF6">
        <w:t>decides</w:t>
      </w:r>
      <w:proofErr w:type="gramEnd"/>
      <w:r w:rsidRPr="00105FF6">
        <w:t xml:space="preserve"> which grants to approve </w:t>
      </w:r>
      <w:proofErr w:type="gramStart"/>
      <w:r w:rsidRPr="00105FF6">
        <w:t>taking into account</w:t>
      </w:r>
      <w:proofErr w:type="gramEnd"/>
      <w:r w:rsidRPr="00105FF6">
        <w:t xml:space="preserve"> the recommendations of the </w:t>
      </w:r>
      <w:r w:rsidR="00A44757" w:rsidRPr="00105FF6">
        <w:t>PRF EAP</w:t>
      </w:r>
      <w:r w:rsidR="00261727" w:rsidRPr="00105FF6">
        <w:t xml:space="preserve"> </w:t>
      </w:r>
      <w:r w:rsidRPr="00105FF6">
        <w:t>and the availability of funds.</w:t>
      </w:r>
    </w:p>
    <w:p w14:paraId="42A64E43" w14:textId="2F6FD2D8" w:rsidR="00F812F3" w:rsidRPr="00105FF6" w:rsidRDefault="00F812F3" w:rsidP="00F812F3">
      <w:pPr>
        <w:pStyle w:val="Heading3"/>
      </w:pPr>
      <w:r w:rsidRPr="00105FF6">
        <w:lastRenderedPageBreak/>
        <w:t>6.</w:t>
      </w:r>
      <w:r w:rsidR="006E0150">
        <w:t>6</w:t>
      </w:r>
      <w:r w:rsidRPr="00105FF6">
        <w:t xml:space="preserve"> What if I don’t currently have a project?</w:t>
      </w:r>
    </w:p>
    <w:p w14:paraId="011539F5" w14:textId="4D563E88" w:rsidR="00F812F3" w:rsidRPr="00105FF6" w:rsidRDefault="00F812F3" w:rsidP="00F812F3">
      <w:r w:rsidRPr="00105FF6">
        <w:t xml:space="preserve">Round </w:t>
      </w:r>
      <w:r w:rsidR="00AA7A58" w:rsidRPr="00105FF6">
        <w:t>2</w:t>
      </w:r>
      <w:r w:rsidRPr="00105FF6">
        <w:t xml:space="preserve"> will remain open until</w:t>
      </w:r>
      <w:r w:rsidR="00DD169C" w:rsidRPr="00FB62A2">
        <w:t xml:space="preserve"> </w:t>
      </w:r>
      <w:r w:rsidR="006441F8">
        <w:t>6</w:t>
      </w:r>
      <w:r w:rsidR="00D265E5">
        <w:t xml:space="preserve"> May</w:t>
      </w:r>
      <w:r w:rsidR="00DD169C" w:rsidRPr="00FB62A2">
        <w:t xml:space="preserve"> 2027</w:t>
      </w:r>
      <w:r w:rsidR="00AE2BB6" w:rsidRPr="00FB62A2">
        <w:t>. Further rounds are not anticipated</w:t>
      </w:r>
      <w:r w:rsidR="00F00E20" w:rsidRPr="00FB62A2">
        <w:t xml:space="preserve"> at this </w:t>
      </w:r>
      <w:proofErr w:type="gramStart"/>
      <w:r w:rsidR="00F00E20" w:rsidRPr="00FB62A2">
        <w:t>time</w:t>
      </w:r>
      <w:r w:rsidR="00AE2BB6" w:rsidRPr="00FB62A2">
        <w:t>,</w:t>
      </w:r>
      <w:proofErr w:type="gramEnd"/>
      <w:r w:rsidR="00AE2BB6" w:rsidRPr="00FB62A2">
        <w:t xml:space="preserve"> however other Commonwealth grant opportunities may be available </w:t>
      </w:r>
      <w:r w:rsidR="00AF76F6" w:rsidRPr="00FB62A2">
        <w:t>for your project</w:t>
      </w:r>
      <w:r w:rsidR="00AE2BB6" w:rsidRPr="00FB62A2">
        <w:t xml:space="preserve">. You can view the current grant opportunities at </w:t>
      </w:r>
      <w:hyperlink r:id="rId18" w:history="1">
        <w:proofErr w:type="spellStart"/>
        <w:r w:rsidR="00AE2BB6" w:rsidRPr="00FB62A2">
          <w:rPr>
            <w:rStyle w:val="Hyperlink"/>
          </w:rPr>
          <w:t>GrantConnect</w:t>
        </w:r>
        <w:proofErr w:type="spellEnd"/>
      </w:hyperlink>
      <w:r w:rsidR="00AF76F6" w:rsidRPr="00FB62A2">
        <w:t>.</w:t>
      </w:r>
    </w:p>
    <w:p w14:paraId="5EF1F352" w14:textId="5DD0812F" w:rsidR="00F812F3" w:rsidRPr="00105FF6" w:rsidRDefault="00F812F3" w:rsidP="00F812F3">
      <w:pPr>
        <w:pStyle w:val="Heading3"/>
      </w:pPr>
      <w:r w:rsidRPr="00105FF6">
        <w:t>6.</w:t>
      </w:r>
      <w:r w:rsidR="006E0150">
        <w:t>7</w:t>
      </w:r>
      <w:r w:rsidRPr="00105FF6">
        <w:t xml:space="preserve"> How do I provide additional information to support my application?</w:t>
      </w:r>
    </w:p>
    <w:p w14:paraId="03106965" w14:textId="06878B31" w:rsidR="00F812F3" w:rsidRPr="00105FF6" w:rsidRDefault="00F85474" w:rsidP="00F812F3">
      <w:r w:rsidRPr="00FB62A2">
        <w:t>Section 7.1 of the guidelines</w:t>
      </w:r>
      <w:r w:rsidR="00F812F3" w:rsidRPr="00105FF6">
        <w:t xml:space="preserve"> sets out the documents you must provide with your application. You must provide supporting documentation to the application form in line with the instructions in the form and the Guidelines</w:t>
      </w:r>
      <w:r w:rsidR="003556C4" w:rsidRPr="00105FF6">
        <w:t xml:space="preserve"> </w:t>
      </w:r>
      <w:proofErr w:type="gramStart"/>
      <w:r w:rsidR="003556C4" w:rsidRPr="00105FF6">
        <w:t>in order for</w:t>
      </w:r>
      <w:proofErr w:type="gramEnd"/>
      <w:r w:rsidR="003556C4" w:rsidRPr="00105FF6">
        <w:t xml:space="preserve"> your application to be </w:t>
      </w:r>
      <w:r w:rsidR="009A4141">
        <w:t xml:space="preserve">eligible and </w:t>
      </w:r>
      <w:r w:rsidR="003556C4" w:rsidRPr="00105FF6">
        <w:t>complete</w:t>
      </w:r>
      <w:r w:rsidR="00F812F3" w:rsidRPr="00105FF6">
        <w:t xml:space="preserve">. </w:t>
      </w:r>
    </w:p>
    <w:p w14:paraId="26940D59" w14:textId="27868806" w:rsidR="0088123E" w:rsidRPr="00105FF6" w:rsidRDefault="0088123E" w:rsidP="0088123E">
      <w:r w:rsidRPr="00105FF6">
        <w:t>You can choose to provide additional documents, listed as “may also provide” in Section 7.1. The inclusion, or absence, of these additional “may also provide” documents do</w:t>
      </w:r>
      <w:r w:rsidR="00493BF8">
        <w:t>es</w:t>
      </w:r>
      <w:r w:rsidRPr="00105FF6">
        <w:t xml:space="preserve"> not influence the completeness of your application, </w:t>
      </w:r>
      <w:proofErr w:type="gramStart"/>
      <w:r w:rsidRPr="00105FF6">
        <w:t>however</w:t>
      </w:r>
      <w:proofErr w:type="gramEnd"/>
      <w:r w:rsidRPr="00105FF6">
        <w:t xml:space="preserve"> can be used to expand on </w:t>
      </w:r>
      <w:r w:rsidR="00B15127">
        <w:t xml:space="preserve">and explain </w:t>
      </w:r>
      <w:r w:rsidRPr="00105FF6">
        <w:t>your application, allowing you to focus on the key assessment criteria in your application.</w:t>
      </w:r>
    </w:p>
    <w:p w14:paraId="7407BF06" w14:textId="2B3DBC2A" w:rsidR="00F812F3" w:rsidRPr="00105FF6" w:rsidRDefault="00F812F3" w:rsidP="00F812F3">
      <w:r w:rsidRPr="00105FF6">
        <w:t xml:space="preserve">Project Partners are required to provide a Letter of </w:t>
      </w:r>
      <w:proofErr w:type="gramStart"/>
      <w:r w:rsidRPr="00105FF6">
        <w:t>Support</w:t>
      </w:r>
      <w:proofErr w:type="gramEnd"/>
      <w:r w:rsidRPr="00105FF6">
        <w:t xml:space="preserve"> and their details must be entered into the application to generate the upload button for each one. Additional Letters of Support provided by non-project partners are </w:t>
      </w:r>
      <w:r w:rsidR="00445BCF" w:rsidRPr="00105FF6">
        <w:t>non-</w:t>
      </w:r>
      <w:r w:rsidRPr="00105FF6">
        <w:t xml:space="preserve">mandatory attachments, </w:t>
      </w:r>
      <w:r w:rsidR="00445BCF" w:rsidRPr="00105FF6">
        <w:t xml:space="preserve">and </w:t>
      </w:r>
      <w:r w:rsidRPr="00105FF6">
        <w:t xml:space="preserve">they can be included </w:t>
      </w:r>
      <w:r w:rsidR="0088123E" w:rsidRPr="00105FF6">
        <w:t xml:space="preserve">as additional </w:t>
      </w:r>
      <w:r w:rsidR="007E20FD" w:rsidRPr="00105FF6">
        <w:t>supporting information</w:t>
      </w:r>
      <w:r w:rsidRPr="00105FF6">
        <w:t xml:space="preserve">.  </w:t>
      </w:r>
    </w:p>
    <w:p w14:paraId="68383958" w14:textId="7C0960A7" w:rsidR="00F812F3" w:rsidRPr="00105FF6" w:rsidRDefault="00F812F3" w:rsidP="00F812F3">
      <w:r w:rsidRPr="00105FF6">
        <w:t xml:space="preserve">The total of </w:t>
      </w:r>
      <w:r w:rsidRPr="00105FF6" w:rsidDel="009B67AC">
        <w:t xml:space="preserve">all </w:t>
      </w:r>
      <w:r w:rsidRPr="00105FF6">
        <w:t>attachment</w:t>
      </w:r>
      <w:r w:rsidRPr="00105FF6" w:rsidDel="009B67AC">
        <w:t>s</w:t>
      </w:r>
      <w:r w:rsidR="09DC69C1">
        <w:t xml:space="preserve"> </w:t>
      </w:r>
      <w:r w:rsidRPr="00105FF6">
        <w:t>cannot exceed</w:t>
      </w:r>
      <w:r w:rsidR="00847ABE" w:rsidRPr="00105FF6">
        <w:t xml:space="preserve"> </w:t>
      </w:r>
      <w:r w:rsidR="00AA7A58" w:rsidRPr="00105FF6">
        <w:rPr>
          <w:b/>
          <w:bCs/>
        </w:rPr>
        <w:t>50MB</w:t>
      </w:r>
      <w:r w:rsidRPr="00105FF6">
        <w:t>. This limit is applied to every application.</w:t>
      </w:r>
      <w:r w:rsidR="007B74DD">
        <w:t xml:space="preserve"> This helps to ensure fairness and ensure that every application can be assessed and scored in a reasonable timeframe. </w:t>
      </w:r>
    </w:p>
    <w:p w14:paraId="19561E7D" w14:textId="1B6CACC5" w:rsidR="005D2E37" w:rsidRPr="00105FF6" w:rsidRDefault="005D2E37" w:rsidP="00F812F3">
      <w:r w:rsidRPr="00105FF6">
        <w:t>Should you have issues uploading your attachments, please contact the Business Grants Hub for advice on alternative submission methods.</w:t>
      </w:r>
    </w:p>
    <w:p w14:paraId="4FFCE206" w14:textId="77777777" w:rsidR="00F812F3" w:rsidRPr="00105FF6" w:rsidRDefault="00F812F3" w:rsidP="00F812F3">
      <w:pPr>
        <w:pStyle w:val="Heading2"/>
      </w:pPr>
      <w:r w:rsidRPr="00105FF6">
        <w:t>7. Further questions about applications</w:t>
      </w:r>
    </w:p>
    <w:p w14:paraId="6D990F9B" w14:textId="5E4C0CF2" w:rsidR="00601E7B" w:rsidRPr="00105FF6" w:rsidRDefault="007C6A58" w:rsidP="00601E7B">
      <w:pPr>
        <w:pStyle w:val="Heading3"/>
      </w:pPr>
      <w:r w:rsidRPr="00105FF6">
        <w:t>7.</w:t>
      </w:r>
      <w:r w:rsidR="00692010">
        <w:t>1</w:t>
      </w:r>
      <w:r w:rsidR="00601E7B" w:rsidRPr="00105FF6">
        <w:t xml:space="preserve"> When can I start work on my project? Will my project costs be covered?</w:t>
      </w:r>
    </w:p>
    <w:p w14:paraId="23F8B0A9" w14:textId="77777777" w:rsidR="00601E7B" w:rsidRPr="00105FF6" w:rsidRDefault="00601E7B" w:rsidP="00601E7B">
      <w:r w:rsidRPr="00105FF6">
        <w:t>You must not start any activities related to the project until a grant agreement is executed if you intend to claim the expenditure against the grant. We are not responsible for any expenditure you incur and cannot make any payments until a grant agreement is executed.</w:t>
      </w:r>
    </w:p>
    <w:p w14:paraId="169E06E8" w14:textId="77777777" w:rsidR="00601E7B" w:rsidRPr="00105FF6" w:rsidRDefault="00601E7B" w:rsidP="00601E7B">
      <w:r w:rsidRPr="00105FF6">
        <w:t xml:space="preserve">Any preliminary or planning work undertaken to prepare your application or project before your grant agreement is executed is considered ineligible expenditure. </w:t>
      </w:r>
    </w:p>
    <w:p w14:paraId="477BBF02" w14:textId="77777777" w:rsidR="00601E7B" w:rsidRPr="00105FF6" w:rsidRDefault="00601E7B" w:rsidP="00601E7B">
      <w:r w:rsidRPr="00105FF6">
        <w:t xml:space="preserve">Should you wish to seek funding for a component of a longer-term project, this should be clearly articulated in your application. Only eligible costs associated with that component incurred after the grant execution and before the grant agreement’s nominated project end date will be considered eligible for funding.  </w:t>
      </w:r>
    </w:p>
    <w:p w14:paraId="3D76196E" w14:textId="0062B330" w:rsidR="00227413" w:rsidRPr="00105FF6" w:rsidRDefault="007C6A58" w:rsidP="00492D5C">
      <w:pPr>
        <w:pStyle w:val="Heading3"/>
      </w:pPr>
      <w:r w:rsidRPr="00105FF6">
        <w:t>7.</w:t>
      </w:r>
      <w:r w:rsidR="00692010">
        <w:t>2</w:t>
      </w:r>
      <w:r w:rsidRPr="00105FF6">
        <w:t xml:space="preserve"> </w:t>
      </w:r>
      <w:r w:rsidR="00224851" w:rsidRPr="00105FF6">
        <w:t xml:space="preserve">What do I have to do before I can execute my grant agreement and receive </w:t>
      </w:r>
      <w:r w:rsidR="0083469A" w:rsidRPr="00105FF6">
        <w:t>funding?</w:t>
      </w:r>
    </w:p>
    <w:p w14:paraId="545A561C" w14:textId="4768FE17" w:rsidR="0083469A" w:rsidRPr="00105FF6" w:rsidRDefault="0083469A" w:rsidP="00601E7B">
      <w:r w:rsidRPr="00105FF6">
        <w:t xml:space="preserve">Once your project has been </w:t>
      </w:r>
      <w:r w:rsidR="007C6A58" w:rsidRPr="00105FF6">
        <w:t>selected for funding, you will receive an email to complete a Commonwealth Australian Industry Participation Plan</w:t>
      </w:r>
      <w:r w:rsidR="53041714">
        <w:t xml:space="preserve"> </w:t>
      </w:r>
      <w:r w:rsidR="31C31B8B">
        <w:t>(AIP)</w:t>
      </w:r>
      <w:r w:rsidR="5F8D7F63">
        <w:t xml:space="preserve"> if applicable. Refer to </w:t>
      </w:r>
      <w:r w:rsidR="4109852C">
        <w:t>S</w:t>
      </w:r>
      <w:r w:rsidR="5F8D7F63">
        <w:t>ection 10, page 19 of the guidelines for more information</w:t>
      </w:r>
      <w:r w:rsidR="007C6A58" w:rsidRPr="00105FF6">
        <w:t xml:space="preserve">. </w:t>
      </w:r>
      <w:r w:rsidR="00C80AFC">
        <w:t>If complet</w:t>
      </w:r>
      <w:r w:rsidR="00003C2A">
        <w:t>ing</w:t>
      </w:r>
      <w:r w:rsidR="00C80AFC">
        <w:t xml:space="preserve"> an AIP</w:t>
      </w:r>
      <w:r w:rsidR="00003C2A">
        <w:t xml:space="preserve"> applies to you</w:t>
      </w:r>
      <w:r w:rsidR="00C80AFC">
        <w:t>, y</w:t>
      </w:r>
      <w:r w:rsidR="007C6A58" w:rsidRPr="00105FF6">
        <w:t>ou must have this AIP approved before your grant agreement can be executed.</w:t>
      </w:r>
    </w:p>
    <w:p w14:paraId="509973A0" w14:textId="4C3B1743" w:rsidR="00F812F3" w:rsidRPr="00105FF6" w:rsidRDefault="00F812F3" w:rsidP="00F812F3">
      <w:pPr>
        <w:pStyle w:val="Heading3"/>
      </w:pPr>
      <w:r w:rsidRPr="00105FF6">
        <w:lastRenderedPageBreak/>
        <w:t>7.</w:t>
      </w:r>
      <w:r w:rsidR="00692010">
        <w:t>3</w:t>
      </w:r>
      <w:r w:rsidRPr="00105FF6">
        <w:t xml:space="preserve"> Am I still eligible if my emissions fall below the Safeguard Mechanism threshold during a project?  </w:t>
      </w:r>
    </w:p>
    <w:p w14:paraId="29F59F63" w14:textId="6C973A77" w:rsidR="00F812F3" w:rsidRPr="00105FF6" w:rsidRDefault="00F812F3" w:rsidP="00A1370B">
      <w:r w:rsidRPr="00105FF6">
        <w:t>Eligibility requirements are assessed at the time of application and when entering into the Grant Agreement. If your emissions fall below the Safeguard Mechanism threshold during delivery of your project</w:t>
      </w:r>
      <w:r w:rsidR="00D9338F">
        <w:t>,</w:t>
      </w:r>
      <w:r w:rsidRPr="00105FF6">
        <w:t xml:space="preserve"> this </w:t>
      </w:r>
      <w:r w:rsidR="00D9338F">
        <w:t xml:space="preserve">alone </w:t>
      </w:r>
      <w:r w:rsidRPr="00105FF6">
        <w:t>would not be grounds for termination of the grant.</w:t>
      </w:r>
    </w:p>
    <w:p w14:paraId="7696FB5B" w14:textId="7381C561" w:rsidR="00F812F3" w:rsidRPr="00105FF6" w:rsidRDefault="00F812F3" w:rsidP="00F812F3">
      <w:pPr>
        <w:pStyle w:val="Heading3"/>
      </w:pPr>
      <w:r w:rsidRPr="00105FF6">
        <w:t>7.</w:t>
      </w:r>
      <w:r w:rsidR="00692010">
        <w:t>4</w:t>
      </w:r>
      <w:r w:rsidRPr="00105FF6">
        <w:t xml:space="preserve"> How are grants treated for taxation purposes?  </w:t>
      </w:r>
    </w:p>
    <w:p w14:paraId="1935B664" w14:textId="42847B99" w:rsidR="00F812F3" w:rsidRDefault="00F812F3" w:rsidP="00003C2A">
      <w:r w:rsidRPr="00105FF6">
        <w:t xml:space="preserve">The </w:t>
      </w:r>
      <w:hyperlink r:id="rId19" w:history="1">
        <w:r w:rsidRPr="000F4096">
          <w:rPr>
            <w:rStyle w:val="Hyperlink"/>
          </w:rPr>
          <w:t>Australian Taxation Office</w:t>
        </w:r>
      </w:hyperlink>
      <w:r w:rsidRPr="00105FF6">
        <w:t xml:space="preserve"> is best placed to give advice on the tax treatment of a grant.</w:t>
      </w:r>
      <w:r w:rsidR="008450E2">
        <w:t xml:space="preserve"> The grant amount you are awarded is GST exclusive, </w:t>
      </w:r>
      <w:r w:rsidR="00EC3B0E">
        <w:t>and where applicable, we will add GST to your grant payment and provide you with a recipient created tax invoice. You will need to notify us if your GST registration status changes during the project period.</w:t>
      </w:r>
    </w:p>
    <w:p w14:paraId="7AE8CD2B" w14:textId="2005DCBA" w:rsidR="00545249" w:rsidRPr="00105FF6" w:rsidRDefault="00545249" w:rsidP="00003C2A">
      <w:r>
        <w:t>Refer to Section 10.5 of the guidelines</w:t>
      </w:r>
      <w:r w:rsidR="00762423">
        <w:t xml:space="preserve"> for further information on grant payments and GST.</w:t>
      </w:r>
    </w:p>
    <w:p w14:paraId="3CA2D632" w14:textId="77777777" w:rsidR="00F812F3" w:rsidRPr="00105FF6" w:rsidRDefault="00F812F3" w:rsidP="00F812F3">
      <w:pPr>
        <w:pStyle w:val="Heading2"/>
      </w:pPr>
      <w:r w:rsidRPr="00105FF6">
        <w:t>8. Further help in preparing my application</w:t>
      </w:r>
    </w:p>
    <w:p w14:paraId="4E001B06" w14:textId="77777777" w:rsidR="00F812F3" w:rsidRPr="00105FF6" w:rsidRDefault="00F812F3" w:rsidP="00F812F3">
      <w:pPr>
        <w:pStyle w:val="Heading3"/>
      </w:pPr>
      <w:r w:rsidRPr="00105FF6">
        <w:t>8.1 Can I confirm my facility or project is eligible?</w:t>
      </w:r>
    </w:p>
    <w:p w14:paraId="3DFCF53D" w14:textId="77777777" w:rsidR="003F124B" w:rsidRDefault="00F812F3" w:rsidP="00471C73">
      <w:r w:rsidRPr="00105FF6">
        <w:t>We are unable to provide advice on whether specific entities, facilities or projects are eligible under the STS.</w:t>
      </w:r>
    </w:p>
    <w:p w14:paraId="25AF00AF" w14:textId="66C9E165" w:rsidR="00415A1C" w:rsidRDefault="00F812F3" w:rsidP="00415A1C">
      <w:r w:rsidRPr="00105FF6">
        <w:t xml:space="preserve">Please refer to </w:t>
      </w:r>
      <w:hyperlink r:id="rId20">
        <w:r w:rsidRPr="00471C73">
          <w:t>Section 4 and 5 of the guidelines</w:t>
        </w:r>
      </w:hyperlink>
      <w:r w:rsidR="009C6C41">
        <w:t xml:space="preserve"> for full eligibility criteria</w:t>
      </w:r>
      <w:r w:rsidRPr="00105FF6">
        <w:t>.</w:t>
      </w:r>
    </w:p>
    <w:p w14:paraId="70514755" w14:textId="5A48EF15" w:rsidR="00F812F3" w:rsidRPr="00415A1C" w:rsidRDefault="00F812F3" w:rsidP="005078A6">
      <w:pPr>
        <w:pStyle w:val="Heading3"/>
      </w:pPr>
      <w:r w:rsidRPr="00415A1C">
        <w:t>8.2 What level of detail is required in the application?</w:t>
      </w:r>
    </w:p>
    <w:p w14:paraId="02D4458B" w14:textId="78E95FDD" w:rsidR="00BD52CF" w:rsidRPr="00105FF6" w:rsidRDefault="00F812F3" w:rsidP="00F10AAB">
      <w:r w:rsidRPr="00105FF6">
        <w:t>This is a matter for applicants. Applicants should put forward their best possible proposals, and to do so, it is recommended that applications be as detailed as possible</w:t>
      </w:r>
      <w:r w:rsidR="00D46784">
        <w:t xml:space="preserve"> subject to </w:t>
      </w:r>
      <w:r w:rsidR="00314EBC">
        <w:t>the</w:t>
      </w:r>
      <w:r w:rsidR="00164064">
        <w:t xml:space="preserve"> limits</w:t>
      </w:r>
      <w:r w:rsidR="00314EBC">
        <w:t xml:space="preserve"> that apply in application forms and to </w:t>
      </w:r>
      <w:r w:rsidR="009B378C">
        <w:t xml:space="preserve">the total </w:t>
      </w:r>
      <w:r w:rsidR="00314EBC">
        <w:t>attachment size</w:t>
      </w:r>
      <w:r w:rsidRPr="00105FF6">
        <w:t xml:space="preserve">. This will assist the </w:t>
      </w:r>
      <w:r w:rsidR="00E8556C" w:rsidRPr="00105FF6">
        <w:t xml:space="preserve">PRF </w:t>
      </w:r>
      <w:r w:rsidR="004A4328" w:rsidRPr="00105FF6">
        <w:t xml:space="preserve">EAP </w:t>
      </w:r>
      <w:r w:rsidRPr="00105FF6">
        <w:t>understand and accurately assess proposals.</w:t>
      </w:r>
    </w:p>
    <w:p w14:paraId="792A6F34" w14:textId="0160028E" w:rsidR="00F812F3" w:rsidRPr="00105FF6" w:rsidRDefault="00BD52CF" w:rsidP="00F10AAB">
      <w:r w:rsidRPr="002531EC">
        <w:t xml:space="preserve">Make sure that you address </w:t>
      </w:r>
      <w:proofErr w:type="gramStart"/>
      <w:r w:rsidR="00F0259A" w:rsidRPr="002531EC">
        <w:t>all of</w:t>
      </w:r>
      <w:proofErr w:type="gramEnd"/>
      <w:r w:rsidR="00F0259A" w:rsidRPr="002531EC">
        <w:t xml:space="preserve"> the </w:t>
      </w:r>
      <w:r w:rsidR="00EE79BA">
        <w:t>assessment criteria</w:t>
      </w:r>
      <w:r w:rsidR="00F0259A" w:rsidRPr="002531EC">
        <w:t xml:space="preserve">, where applicable to your project. Take note of the weighting of each </w:t>
      </w:r>
      <w:proofErr w:type="gramStart"/>
      <w:r w:rsidR="00F0259A" w:rsidRPr="002531EC">
        <w:t>criterion, and</w:t>
      </w:r>
      <w:proofErr w:type="gramEnd"/>
      <w:r w:rsidR="00F0259A" w:rsidRPr="002531EC">
        <w:t xml:space="preserve"> use this as a guide </w:t>
      </w:r>
      <w:proofErr w:type="gramStart"/>
      <w:r w:rsidR="00F0259A" w:rsidRPr="002531EC">
        <w:t>for the amount of</w:t>
      </w:r>
      <w:proofErr w:type="gramEnd"/>
      <w:r w:rsidR="00F0259A" w:rsidRPr="002531EC">
        <w:t xml:space="preserve"> effort you should expend on each section.</w:t>
      </w:r>
    </w:p>
    <w:p w14:paraId="112EB7C1" w14:textId="58382F2B" w:rsidR="005C0563" w:rsidRPr="00105FF6" w:rsidRDefault="005C0563" w:rsidP="00F10AAB">
      <w:r w:rsidRPr="00105FF6">
        <w:t>Take advantage of the option to provide additional documentation</w:t>
      </w:r>
      <w:r w:rsidR="000D07ED">
        <w:t xml:space="preserve"> subject to file size limits</w:t>
      </w:r>
      <w:r w:rsidRPr="00105FF6">
        <w:t xml:space="preserve">. This can include </w:t>
      </w:r>
      <w:r w:rsidR="000D07ED">
        <w:t>P</w:t>
      </w:r>
      <w:r w:rsidR="000D07ED" w:rsidRPr="00105FF6">
        <w:t>owerPoint</w:t>
      </w:r>
      <w:r w:rsidR="002531EC">
        <w:t xml:space="preserve"> presentation</w:t>
      </w:r>
      <w:r w:rsidRPr="00105FF6">
        <w:t>s, process flow charts</w:t>
      </w:r>
      <w:r w:rsidR="009D78DD" w:rsidRPr="00105FF6">
        <w:t xml:space="preserve">, supporting calculations. </w:t>
      </w:r>
      <w:r w:rsidR="0014063D" w:rsidRPr="00105FF6">
        <w:t>If references are freely available on the internet, a weblink will suffice, the referenced articles do not need to be provided.</w:t>
      </w:r>
    </w:p>
    <w:p w14:paraId="6BF90A4F" w14:textId="77777777" w:rsidR="00F812F3" w:rsidRPr="00105FF6" w:rsidRDefault="00F812F3" w:rsidP="00F812F3">
      <w:pPr>
        <w:pStyle w:val="Heading3"/>
      </w:pPr>
      <w:r w:rsidRPr="00105FF6">
        <w:t>8.3 Can you suggest financial or technical support to help prepare my application? Can you help connect me with co-investors to apply for a project?</w:t>
      </w:r>
    </w:p>
    <w:p w14:paraId="4C0D729B" w14:textId="3204ED4F" w:rsidR="00F812F3" w:rsidRDefault="00F812F3" w:rsidP="002531EC">
      <w:r w:rsidRPr="00105FF6">
        <w:t>We are unable to recommend any professional services provider for the purpose of assisting in the preparation of grant applications.</w:t>
      </w:r>
    </w:p>
    <w:p w14:paraId="0A4B8386" w14:textId="4EA9DB1F" w:rsidR="00021330" w:rsidRPr="00425EC6" w:rsidRDefault="00021330" w:rsidP="00415A1C">
      <w:pPr>
        <w:rPr>
          <w:rFonts w:asciiTheme="majorHAnsi" w:eastAsiaTheme="majorEastAsia" w:hAnsiTheme="majorHAnsi" w:cstheme="majorBidi"/>
          <w:color w:val="1F4D78" w:themeColor="accent1" w:themeShade="7F"/>
          <w:sz w:val="24"/>
          <w:szCs w:val="24"/>
        </w:rPr>
      </w:pPr>
      <w:r w:rsidRPr="00425EC6">
        <w:rPr>
          <w:rFonts w:asciiTheme="majorHAnsi" w:eastAsiaTheme="majorEastAsia" w:hAnsiTheme="majorHAnsi" w:cstheme="majorBidi"/>
          <w:color w:val="1F4D78" w:themeColor="accent1" w:themeShade="7F"/>
          <w:sz w:val="24"/>
          <w:szCs w:val="24"/>
        </w:rPr>
        <w:t>8.4 What time do grant applications close?</w:t>
      </w:r>
    </w:p>
    <w:p w14:paraId="5C3F221B" w14:textId="239FBADD" w:rsidR="00021330" w:rsidRPr="00105FF6" w:rsidRDefault="00021330" w:rsidP="002531EC">
      <w:r>
        <w:t>Grant applications close</w:t>
      </w:r>
      <w:r w:rsidR="0046563C">
        <w:t xml:space="preserve"> at 5pm Australian Eastern Standard Time. </w:t>
      </w:r>
      <w:r w:rsidR="004119BE">
        <w:t>Th</w:t>
      </w:r>
      <w:r w:rsidR="00CE1AB7">
        <w:t>e exact timing may be impacted if</w:t>
      </w:r>
      <w:r w:rsidR="00366C05">
        <w:t xml:space="preserve"> daylight savings is observed in your state</w:t>
      </w:r>
      <w:r w:rsidR="005C1C80">
        <w:t xml:space="preserve">, and </w:t>
      </w:r>
      <w:r w:rsidR="00CE1AB7">
        <w:t>we recommend you submit</w:t>
      </w:r>
      <w:r w:rsidR="005C1C80">
        <w:t xml:space="preserve"> earl</w:t>
      </w:r>
      <w:r w:rsidR="00CE1AB7">
        <w:t>y</w:t>
      </w:r>
      <w:r w:rsidR="005C1C80">
        <w:t xml:space="preserve"> </w:t>
      </w:r>
      <w:r w:rsidR="00CE1AB7">
        <w:t>to avoid issues</w:t>
      </w:r>
      <w:r w:rsidR="005C1C80">
        <w:t>.</w:t>
      </w:r>
    </w:p>
    <w:p w14:paraId="3AF29287" w14:textId="77777777" w:rsidR="00F812F3" w:rsidRPr="00105FF6" w:rsidRDefault="00F812F3" w:rsidP="00F812F3">
      <w:pPr>
        <w:pStyle w:val="Heading2"/>
      </w:pPr>
      <w:r w:rsidRPr="00105FF6">
        <w:t>9. After applying</w:t>
      </w:r>
    </w:p>
    <w:p w14:paraId="43B36A17" w14:textId="1C44413B" w:rsidR="00F812F3" w:rsidRPr="00105FF6" w:rsidRDefault="00F812F3" w:rsidP="00F812F3">
      <w:pPr>
        <w:pStyle w:val="Heading3"/>
        <w:rPr>
          <w:color w:val="2E74B5" w:themeColor="accent1" w:themeShade="BF"/>
          <w:sz w:val="26"/>
          <w:szCs w:val="26"/>
        </w:rPr>
      </w:pPr>
      <w:r w:rsidRPr="00105FF6">
        <w:t>9.</w:t>
      </w:r>
      <w:r w:rsidR="00692010">
        <w:t>1</w:t>
      </w:r>
      <w:r w:rsidRPr="00105FF6">
        <w:t xml:space="preserve"> What happens next if I am successful in applying for funding?  </w:t>
      </w:r>
    </w:p>
    <w:p w14:paraId="54F9BCBC" w14:textId="28424458" w:rsidR="00F812F3" w:rsidRPr="00105FF6" w:rsidRDefault="00F85474" w:rsidP="00F812F3">
      <w:r w:rsidRPr="00EF0202">
        <w:t>Section 9 onwards in the guidelines</w:t>
      </w:r>
      <w:r w:rsidR="00F812F3" w:rsidRPr="00105FF6">
        <w:t xml:space="preserve"> provides further information on the next steps once application outcomes have been announced. </w:t>
      </w:r>
    </w:p>
    <w:p w14:paraId="0BCA63F9" w14:textId="4F841F2E" w:rsidR="00F812F3" w:rsidRPr="00105FF6" w:rsidRDefault="00F85474" w:rsidP="00F812F3">
      <w:r w:rsidRPr="00EF0202">
        <w:lastRenderedPageBreak/>
        <w:t>Section 10</w:t>
      </w:r>
      <w:r w:rsidR="00F812F3" w:rsidRPr="00105FF6">
        <w:t xml:space="preserve"> outlines the legally binding grant agreement that must be entered into with the Commonwealth should your application be successful. A sample grant agreement is available on </w:t>
      </w:r>
      <w:r w:rsidR="008710D3">
        <w:t xml:space="preserve">the </w:t>
      </w:r>
      <w:hyperlink r:id="rId21" w:history="1">
        <w:r w:rsidR="008710D3" w:rsidRPr="00E879C4">
          <w:rPr>
            <w:rStyle w:val="Hyperlink"/>
          </w:rPr>
          <w:t xml:space="preserve">PRF program page at </w:t>
        </w:r>
        <w:r w:rsidR="00F812F3" w:rsidRPr="00E879C4">
          <w:rPr>
            <w:rStyle w:val="Hyperlink"/>
          </w:rPr>
          <w:t>business.gov.au</w:t>
        </w:r>
        <w:r w:rsidR="007D36BF" w:rsidRPr="00E879C4">
          <w:rPr>
            <w:rStyle w:val="Hyperlink"/>
          </w:rPr>
          <w:t>.</w:t>
        </w:r>
      </w:hyperlink>
      <w:r w:rsidR="00F812F3" w:rsidRPr="00105FF6">
        <w:t xml:space="preserve"> </w:t>
      </w:r>
    </w:p>
    <w:p w14:paraId="6E69FB9B" w14:textId="77777777" w:rsidR="00F812F3" w:rsidRPr="00105FF6" w:rsidRDefault="00F812F3" w:rsidP="00F812F3">
      <w:r w:rsidRPr="00105FF6">
        <w:t>The Grant Agreement will include details of your reporting requirements, including record keeping for mandatory evidence. There are also expectations to comply with relevant legislation, policies and industry standards, building and construction requirements, work health and safety, and Australian Industry Participation (if relevant).</w:t>
      </w:r>
    </w:p>
    <w:p w14:paraId="72E65354" w14:textId="5E17F84F" w:rsidR="00F812F3" w:rsidRPr="00105FF6" w:rsidRDefault="00F85474" w:rsidP="00F812F3">
      <w:r w:rsidRPr="00EF0202">
        <w:t>Section 11</w:t>
      </w:r>
      <w:r w:rsidR="00F812F3" w:rsidRPr="00105FF6">
        <w:t xml:space="preserve"> outlines information that may be published in relation to successful grants and where this information will appear. </w:t>
      </w:r>
    </w:p>
    <w:p w14:paraId="0917BE9F" w14:textId="6F3FC321" w:rsidR="00F812F3" w:rsidRPr="00105FF6" w:rsidRDefault="00F85474" w:rsidP="00F812F3">
      <w:r w:rsidRPr="00EF0202">
        <w:t>Section 12 and 13</w:t>
      </w:r>
      <w:r w:rsidR="00F812F3" w:rsidRPr="00105FF6">
        <w:t xml:space="preserve"> also outlines expectations for how we will monitor your grant activity, the various reports that you will be required to submit, and the Probity measures in place to help ensure a transparent and fair grant process.</w:t>
      </w:r>
    </w:p>
    <w:p w14:paraId="6EF88C09" w14:textId="65214CD0" w:rsidR="00F812F3" w:rsidRPr="00105FF6" w:rsidRDefault="00F812F3" w:rsidP="00F812F3">
      <w:pPr>
        <w:pStyle w:val="Heading3"/>
        <w:rPr>
          <w:color w:val="2E74B5" w:themeColor="accent1" w:themeShade="BF"/>
          <w:sz w:val="26"/>
          <w:szCs w:val="26"/>
        </w:rPr>
      </w:pPr>
      <w:r w:rsidRPr="00105FF6">
        <w:t>9.</w:t>
      </w:r>
      <w:r w:rsidR="00692010">
        <w:t>2</w:t>
      </w:r>
      <w:r w:rsidRPr="00105FF6">
        <w:t xml:space="preserve"> Can I reapply if my application is unsuccessful? </w:t>
      </w:r>
    </w:p>
    <w:p w14:paraId="502130E7" w14:textId="26339E15" w:rsidR="00F812F3" w:rsidRPr="00105FF6" w:rsidRDefault="00F812F3" w:rsidP="00F812F3">
      <w:r w:rsidRPr="00105FF6">
        <w:t xml:space="preserve">Unsuccessful applicants are welcome to </w:t>
      </w:r>
      <w:r w:rsidR="003A03A7" w:rsidRPr="00105FF6">
        <w:t>re</w:t>
      </w:r>
      <w:r w:rsidRPr="00105FF6">
        <w:t xml:space="preserve">apply </w:t>
      </w:r>
      <w:r w:rsidR="00FC283A" w:rsidRPr="00105FF6">
        <w:t>in further batches in this Round</w:t>
      </w:r>
      <w:r w:rsidR="004A4328" w:rsidRPr="00105FF6">
        <w:t>.</w:t>
      </w:r>
      <w:r w:rsidR="00045CEB" w:rsidRPr="00105FF6">
        <w:t xml:space="preserve"> </w:t>
      </w:r>
      <w:r w:rsidRPr="00105FF6">
        <w:t xml:space="preserve">This is not an automatic process, and you will need to </w:t>
      </w:r>
      <w:r w:rsidR="00FC283A" w:rsidRPr="00105FF6">
        <w:t>resubmit your application</w:t>
      </w:r>
      <w:r w:rsidRPr="00105FF6">
        <w:t>.</w:t>
      </w:r>
      <w:r w:rsidR="0065517A" w:rsidRPr="0065517A">
        <w:t xml:space="preserve"> </w:t>
      </w:r>
      <w:r w:rsidR="0065517A" w:rsidRPr="00105FF6">
        <w:t xml:space="preserve">In these instances, it would be worth highlighting the areas of the application that have </w:t>
      </w:r>
      <w:r w:rsidR="0000578B">
        <w:t>changed</w:t>
      </w:r>
      <w:r w:rsidR="0065517A" w:rsidRPr="00105FF6">
        <w:t xml:space="preserve"> </w:t>
      </w:r>
      <w:r w:rsidR="0065517A">
        <w:t>since the original application</w:t>
      </w:r>
      <w:r w:rsidR="0065517A" w:rsidRPr="00105FF6">
        <w:t>.</w:t>
      </w:r>
    </w:p>
    <w:p w14:paraId="245DDCAB" w14:textId="2373831E" w:rsidR="00F812F3" w:rsidRDefault="00F812F3" w:rsidP="00F812F3">
      <w:r w:rsidRPr="00105FF6">
        <w:t xml:space="preserve">This may be for </w:t>
      </w:r>
      <w:r w:rsidR="003A03A7" w:rsidRPr="00105FF6">
        <w:t>the same</w:t>
      </w:r>
      <w:r w:rsidRPr="00105FF6">
        <w:t>, revised</w:t>
      </w:r>
      <w:r w:rsidR="003A03A7" w:rsidRPr="00105FF6">
        <w:t>, similar</w:t>
      </w:r>
      <w:r w:rsidRPr="00105FF6">
        <w:t xml:space="preserve"> or completely different project. </w:t>
      </w:r>
      <w:r w:rsidR="00010920" w:rsidRPr="00105FF6">
        <w:t>Written f</w:t>
      </w:r>
      <w:r w:rsidRPr="00105FF6">
        <w:t xml:space="preserve">eedback will be provided to unsuccessful </w:t>
      </w:r>
      <w:proofErr w:type="gramStart"/>
      <w:r w:rsidRPr="00105FF6">
        <w:t>applicants</w:t>
      </w:r>
      <w:proofErr w:type="gramEnd"/>
      <w:r w:rsidR="001B63C4">
        <w:t xml:space="preserve"> and </w:t>
      </w:r>
      <w:r w:rsidR="000B6E09">
        <w:t xml:space="preserve">you may request </w:t>
      </w:r>
      <w:r w:rsidR="001B63C4">
        <w:t>further feedback</w:t>
      </w:r>
      <w:r w:rsidRPr="00105FF6">
        <w:t>. Any future applications for the same projects should address th</w:t>
      </w:r>
      <w:r w:rsidR="00097CD9">
        <w:t>e</w:t>
      </w:r>
      <w:r w:rsidRPr="00105FF6">
        <w:t xml:space="preserve"> feedback</w:t>
      </w:r>
      <w:r w:rsidR="00097CD9">
        <w:t xml:space="preserve"> provided</w:t>
      </w:r>
      <w:r w:rsidRPr="00105FF6">
        <w:t xml:space="preserve">. </w:t>
      </w:r>
    </w:p>
    <w:p w14:paraId="62CEA9E6" w14:textId="7207518E" w:rsidR="00692010" w:rsidRPr="00105FF6" w:rsidRDefault="00692010" w:rsidP="00692010">
      <w:r>
        <w:t>Resubmitted applications that do not address feedback or demonstrate improvement may not be considered by the PRF EAP.</w:t>
      </w:r>
    </w:p>
    <w:p w14:paraId="3FE7624A" w14:textId="2A301677" w:rsidR="00F812F3" w:rsidRPr="005B5333" w:rsidRDefault="00F812F3" w:rsidP="00F812F3">
      <w:r w:rsidRPr="00105FF6">
        <w:t>Applicants are responsible for ensuring they put forward the best possible application and should refer to the Grant Opportunity Guidelines.</w:t>
      </w:r>
      <w:bookmarkEnd w:id="4"/>
    </w:p>
    <w:p w14:paraId="1AEC50FB" w14:textId="5933BBFE" w:rsidR="00215882" w:rsidRPr="00F812F3" w:rsidRDefault="00215882" w:rsidP="00F812F3"/>
    <w:sectPr w:rsidR="00215882" w:rsidRPr="00F812F3" w:rsidSect="008F5A3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341D" w14:textId="77777777" w:rsidR="00D81788" w:rsidRDefault="00D81788" w:rsidP="00053B9E">
      <w:pPr>
        <w:spacing w:after="0" w:line="240" w:lineRule="auto"/>
      </w:pPr>
      <w:r>
        <w:separator/>
      </w:r>
    </w:p>
  </w:endnote>
  <w:endnote w:type="continuationSeparator" w:id="0">
    <w:p w14:paraId="689371D3" w14:textId="77777777" w:rsidR="00D81788" w:rsidRDefault="00D81788" w:rsidP="00053B9E">
      <w:pPr>
        <w:spacing w:after="0" w:line="240" w:lineRule="auto"/>
      </w:pPr>
      <w:r>
        <w:continuationSeparator/>
      </w:r>
    </w:p>
  </w:endnote>
  <w:endnote w:type="continuationNotice" w:id="1">
    <w:p w14:paraId="5DF0EEC6" w14:textId="77777777" w:rsidR="00D81788" w:rsidRDefault="00D81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1B2D" w14:textId="05E245F0" w:rsidR="00E30F54" w:rsidRDefault="00823FD8">
    <w:pPr>
      <w:pStyle w:val="Footer"/>
    </w:pPr>
    <w:r>
      <w:rPr>
        <w:noProof/>
      </w:rPr>
      <mc:AlternateContent>
        <mc:Choice Requires="wps">
          <w:drawing>
            <wp:anchor distT="0" distB="0" distL="0" distR="0" simplePos="0" relativeHeight="251658244" behindDoc="0" locked="0" layoutInCell="1" allowOverlap="1" wp14:anchorId="54A1ACFA" wp14:editId="47F68113">
              <wp:simplePos x="635" y="635"/>
              <wp:positionH relativeFrom="page">
                <wp:align>center</wp:align>
              </wp:positionH>
              <wp:positionV relativeFrom="page">
                <wp:align>bottom</wp:align>
              </wp:positionV>
              <wp:extent cx="622300" cy="391160"/>
              <wp:effectExtent l="0" t="0" r="6350" b="0"/>
              <wp:wrapNone/>
              <wp:docPr id="16522426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84A54C8" w14:textId="76A34E2D"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1ACFA"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184A54C8" w14:textId="76A34E2D"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BDC7" w14:textId="0219B1CD" w:rsidR="00E30F54" w:rsidRDefault="00823FD8">
    <w:pPr>
      <w:pStyle w:val="Footer"/>
    </w:pPr>
    <w:r>
      <w:rPr>
        <w:noProof/>
      </w:rPr>
      <mc:AlternateContent>
        <mc:Choice Requires="wps">
          <w:drawing>
            <wp:anchor distT="0" distB="0" distL="0" distR="0" simplePos="0" relativeHeight="251658245" behindDoc="0" locked="0" layoutInCell="1" allowOverlap="1" wp14:anchorId="2EC6BCFF" wp14:editId="5AD16C64">
              <wp:simplePos x="914400" y="10067925"/>
              <wp:positionH relativeFrom="page">
                <wp:align>center</wp:align>
              </wp:positionH>
              <wp:positionV relativeFrom="page">
                <wp:align>bottom</wp:align>
              </wp:positionV>
              <wp:extent cx="622300" cy="391160"/>
              <wp:effectExtent l="0" t="0" r="6350" b="0"/>
              <wp:wrapNone/>
              <wp:docPr id="16264344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58E97C4" w14:textId="0A611399"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6BCFF"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58E97C4" w14:textId="0A611399"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807A" w14:textId="3E07C233" w:rsidR="00E30F54" w:rsidRDefault="00823FD8">
    <w:pPr>
      <w:pStyle w:val="Footer"/>
    </w:pPr>
    <w:r>
      <w:rPr>
        <w:noProof/>
      </w:rPr>
      <mc:AlternateContent>
        <mc:Choice Requires="wps">
          <w:drawing>
            <wp:anchor distT="0" distB="0" distL="0" distR="0" simplePos="0" relativeHeight="251658243" behindDoc="0" locked="0" layoutInCell="1" allowOverlap="1" wp14:anchorId="4AB1EEB3" wp14:editId="69AAA427">
              <wp:simplePos x="914400" y="10067925"/>
              <wp:positionH relativeFrom="page">
                <wp:align>center</wp:align>
              </wp:positionH>
              <wp:positionV relativeFrom="page">
                <wp:align>bottom</wp:align>
              </wp:positionV>
              <wp:extent cx="622300" cy="391160"/>
              <wp:effectExtent l="0" t="0" r="6350" b="0"/>
              <wp:wrapNone/>
              <wp:docPr id="8162768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29498C8" w14:textId="49B61B47"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1EEB3"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729498C8" w14:textId="49B61B47"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0F3F" w14:textId="77777777" w:rsidR="00D81788" w:rsidRDefault="00D81788" w:rsidP="00053B9E">
      <w:pPr>
        <w:spacing w:after="0" w:line="240" w:lineRule="auto"/>
      </w:pPr>
      <w:r>
        <w:separator/>
      </w:r>
    </w:p>
  </w:footnote>
  <w:footnote w:type="continuationSeparator" w:id="0">
    <w:p w14:paraId="2B6A49BF" w14:textId="77777777" w:rsidR="00D81788" w:rsidRDefault="00D81788" w:rsidP="00053B9E">
      <w:pPr>
        <w:spacing w:after="0" w:line="240" w:lineRule="auto"/>
      </w:pPr>
      <w:r>
        <w:continuationSeparator/>
      </w:r>
    </w:p>
  </w:footnote>
  <w:footnote w:type="continuationNotice" w:id="1">
    <w:p w14:paraId="24C2BC46" w14:textId="77777777" w:rsidR="00D81788" w:rsidRDefault="00D81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591B" w14:textId="25D503D2" w:rsidR="00E30F54" w:rsidRDefault="00823FD8">
    <w:pPr>
      <w:pStyle w:val="Header"/>
    </w:pPr>
    <w:r>
      <w:rPr>
        <w:noProof/>
      </w:rPr>
      <mc:AlternateContent>
        <mc:Choice Requires="wps">
          <w:drawing>
            <wp:anchor distT="0" distB="0" distL="0" distR="0" simplePos="0" relativeHeight="251658241" behindDoc="0" locked="0" layoutInCell="1" allowOverlap="1" wp14:anchorId="780054AB" wp14:editId="4F2B8154">
              <wp:simplePos x="635" y="635"/>
              <wp:positionH relativeFrom="page">
                <wp:align>center</wp:align>
              </wp:positionH>
              <wp:positionV relativeFrom="page">
                <wp:align>top</wp:align>
              </wp:positionV>
              <wp:extent cx="622300" cy="391160"/>
              <wp:effectExtent l="0" t="0" r="6350" b="8890"/>
              <wp:wrapNone/>
              <wp:docPr id="939586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4C88B5" w14:textId="2E2569C3"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054AB"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74C88B5" w14:textId="2E2569C3"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B781" w14:textId="4417C2CB" w:rsidR="00E30F54" w:rsidRDefault="00823FD8">
    <w:pPr>
      <w:pStyle w:val="Header"/>
    </w:pPr>
    <w:r>
      <w:rPr>
        <w:noProof/>
      </w:rPr>
      <mc:AlternateContent>
        <mc:Choice Requires="wps">
          <w:drawing>
            <wp:anchor distT="0" distB="0" distL="0" distR="0" simplePos="0" relativeHeight="251658242" behindDoc="0" locked="0" layoutInCell="1" allowOverlap="1" wp14:anchorId="5E98CC06" wp14:editId="22ED87D7">
              <wp:simplePos x="914400" y="447675"/>
              <wp:positionH relativeFrom="page">
                <wp:align>center</wp:align>
              </wp:positionH>
              <wp:positionV relativeFrom="page">
                <wp:align>top</wp:align>
              </wp:positionV>
              <wp:extent cx="622300" cy="391160"/>
              <wp:effectExtent l="0" t="0" r="6350" b="8890"/>
              <wp:wrapNone/>
              <wp:docPr id="1394805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1C7617F" w14:textId="18F42B31"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8CC06"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1C7617F" w14:textId="18F42B31"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D088" w14:textId="1658A3B1" w:rsidR="00053B9E" w:rsidRPr="00053B9E" w:rsidRDefault="00823FD8" w:rsidP="00053B9E">
    <w:pPr>
      <w:pStyle w:val="Header"/>
    </w:pPr>
    <w:r>
      <w:rPr>
        <w:noProof/>
      </w:rPr>
      <mc:AlternateContent>
        <mc:Choice Requires="wps">
          <w:drawing>
            <wp:anchor distT="0" distB="0" distL="0" distR="0" simplePos="0" relativeHeight="251658240" behindDoc="0" locked="0" layoutInCell="1" allowOverlap="1" wp14:anchorId="618C6D54" wp14:editId="6C3C3A03">
              <wp:simplePos x="914400" y="447675"/>
              <wp:positionH relativeFrom="page">
                <wp:align>center</wp:align>
              </wp:positionH>
              <wp:positionV relativeFrom="page">
                <wp:align>top</wp:align>
              </wp:positionV>
              <wp:extent cx="622300" cy="391160"/>
              <wp:effectExtent l="0" t="0" r="6350" b="8890"/>
              <wp:wrapNone/>
              <wp:docPr id="2737972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32DFD26" w14:textId="26557E29"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8C6D54"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532DFD26" w14:textId="26557E29" w:rsidR="00823FD8" w:rsidRPr="00823FD8" w:rsidRDefault="00823FD8" w:rsidP="00823FD8">
                    <w:pPr>
                      <w:spacing w:after="0"/>
                      <w:rPr>
                        <w:rFonts w:ascii="Aptos" w:eastAsia="Aptos" w:hAnsi="Aptos" w:cs="Aptos"/>
                        <w:noProof/>
                        <w:color w:val="C00000"/>
                        <w:sz w:val="24"/>
                        <w:szCs w:val="24"/>
                      </w:rPr>
                    </w:pPr>
                    <w:r w:rsidRPr="00823FD8">
                      <w:rPr>
                        <w:rFonts w:ascii="Aptos" w:eastAsia="Aptos" w:hAnsi="Aptos" w:cs="Aptos"/>
                        <w:noProof/>
                        <w:color w:val="C00000"/>
                        <w:sz w:val="24"/>
                        <w:szCs w:val="24"/>
                      </w:rPr>
                      <w:t>OFFICIAL</w:t>
                    </w:r>
                  </w:p>
                </w:txbxContent>
              </v:textbox>
              <w10:wrap anchorx="page" anchory="page"/>
            </v:shape>
          </w:pict>
        </mc:Fallback>
      </mc:AlternateContent>
    </w:r>
    <w:r w:rsidR="009210D1">
      <w:rPr>
        <w:noProof/>
      </w:rPr>
      <w:drawing>
        <wp:inline distT="0" distB="0" distL="0" distR="0" wp14:anchorId="522ED044" wp14:editId="4406CD46">
          <wp:extent cx="2551700" cy="742950"/>
          <wp:effectExtent l="0" t="0" r="127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8784" cy="745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8E6"/>
    <w:multiLevelType w:val="multilevel"/>
    <w:tmpl w:val="1D8AB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E7300"/>
    <w:multiLevelType w:val="hybridMultilevel"/>
    <w:tmpl w:val="2B5A9976"/>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D6A98"/>
    <w:multiLevelType w:val="multilevel"/>
    <w:tmpl w:val="4A726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141CE"/>
    <w:multiLevelType w:val="multilevel"/>
    <w:tmpl w:val="99B42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B003B"/>
    <w:multiLevelType w:val="hybridMultilevel"/>
    <w:tmpl w:val="DA6C051E"/>
    <w:lvl w:ilvl="0" w:tplc="0C090001">
      <w:start w:val="1"/>
      <w:numFmt w:val="bullet"/>
      <w:lvlText w:val=""/>
      <w:lvlJc w:val="left"/>
      <w:pPr>
        <w:ind w:left="720" w:hanging="360"/>
      </w:pPr>
      <w:rPr>
        <w:rFonts w:ascii="Symbol" w:hAnsi="Symbol" w:hint="default"/>
      </w:rPr>
    </w:lvl>
    <w:lvl w:ilvl="1" w:tplc="C04E22CE">
      <w:numFmt w:val="bullet"/>
      <w:lvlText w:val=""/>
      <w:lvlJc w:val="left"/>
      <w:pPr>
        <w:ind w:left="1440" w:hanging="36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ED2ADC"/>
    <w:multiLevelType w:val="multilevel"/>
    <w:tmpl w:val="E25C8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03139"/>
    <w:multiLevelType w:val="multilevel"/>
    <w:tmpl w:val="497A1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E64D0"/>
    <w:multiLevelType w:val="multilevel"/>
    <w:tmpl w:val="88E05D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D14F3"/>
    <w:multiLevelType w:val="hybridMultilevel"/>
    <w:tmpl w:val="C3483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A17B6B"/>
    <w:multiLevelType w:val="multilevel"/>
    <w:tmpl w:val="0C8CB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653E1"/>
    <w:multiLevelType w:val="multilevel"/>
    <w:tmpl w:val="5E9E56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1A67D4"/>
    <w:multiLevelType w:val="hybridMultilevel"/>
    <w:tmpl w:val="296A54D0"/>
    <w:lvl w:ilvl="0" w:tplc="2802507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0C1992"/>
    <w:multiLevelType w:val="multilevel"/>
    <w:tmpl w:val="5FFCB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D29"/>
    <w:multiLevelType w:val="hybridMultilevel"/>
    <w:tmpl w:val="51C67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84B68"/>
    <w:multiLevelType w:val="multilevel"/>
    <w:tmpl w:val="4EEAC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86CEC"/>
    <w:multiLevelType w:val="multilevel"/>
    <w:tmpl w:val="C7B04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311F5"/>
    <w:multiLevelType w:val="multilevel"/>
    <w:tmpl w:val="28D03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057F9"/>
    <w:multiLevelType w:val="multilevel"/>
    <w:tmpl w:val="7C9838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8A2C59"/>
    <w:multiLevelType w:val="multilevel"/>
    <w:tmpl w:val="12BAC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94948E9"/>
    <w:multiLevelType w:val="multilevel"/>
    <w:tmpl w:val="A3660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B3E31"/>
    <w:multiLevelType w:val="multilevel"/>
    <w:tmpl w:val="4454A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66641DB"/>
    <w:multiLevelType w:val="multilevel"/>
    <w:tmpl w:val="4454A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877177C"/>
    <w:multiLevelType w:val="multilevel"/>
    <w:tmpl w:val="2DBAA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0305B"/>
    <w:multiLevelType w:val="hybridMultilevel"/>
    <w:tmpl w:val="8CF28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4629D1"/>
    <w:multiLevelType w:val="multilevel"/>
    <w:tmpl w:val="ED1E4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44BA3"/>
    <w:multiLevelType w:val="multilevel"/>
    <w:tmpl w:val="F8A21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A1753"/>
    <w:multiLevelType w:val="hybridMultilevel"/>
    <w:tmpl w:val="E530E5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BD502F"/>
    <w:multiLevelType w:val="multilevel"/>
    <w:tmpl w:val="A612AF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55DED"/>
    <w:multiLevelType w:val="multilevel"/>
    <w:tmpl w:val="1DFA83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8C47E13"/>
    <w:multiLevelType w:val="multilevel"/>
    <w:tmpl w:val="00EE1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0230F"/>
    <w:multiLevelType w:val="multilevel"/>
    <w:tmpl w:val="3FAE8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289568">
    <w:abstractNumId w:val="4"/>
  </w:num>
  <w:num w:numId="2" w16cid:durableId="562177850">
    <w:abstractNumId w:val="23"/>
  </w:num>
  <w:num w:numId="3" w16cid:durableId="699474242">
    <w:abstractNumId w:val="11"/>
  </w:num>
  <w:num w:numId="4" w16cid:durableId="4211551">
    <w:abstractNumId w:val="13"/>
  </w:num>
  <w:num w:numId="5" w16cid:durableId="604314352">
    <w:abstractNumId w:val="8"/>
  </w:num>
  <w:num w:numId="6" w16cid:durableId="1344355363">
    <w:abstractNumId w:val="9"/>
  </w:num>
  <w:num w:numId="7" w16cid:durableId="271205230">
    <w:abstractNumId w:val="16"/>
  </w:num>
  <w:num w:numId="8" w16cid:durableId="356583738">
    <w:abstractNumId w:val="6"/>
  </w:num>
  <w:num w:numId="9" w16cid:durableId="1664972272">
    <w:abstractNumId w:val="27"/>
  </w:num>
  <w:num w:numId="10" w16cid:durableId="311713864">
    <w:abstractNumId w:val="24"/>
  </w:num>
  <w:num w:numId="11" w16cid:durableId="151336297">
    <w:abstractNumId w:val="0"/>
  </w:num>
  <w:num w:numId="12" w16cid:durableId="643966655">
    <w:abstractNumId w:val="7"/>
  </w:num>
  <w:num w:numId="13" w16cid:durableId="1618753033">
    <w:abstractNumId w:val="14"/>
  </w:num>
  <w:num w:numId="14" w16cid:durableId="1769306106">
    <w:abstractNumId w:val="3"/>
  </w:num>
  <w:num w:numId="15" w16cid:durableId="768349681">
    <w:abstractNumId w:val="20"/>
  </w:num>
  <w:num w:numId="16" w16cid:durableId="270746792">
    <w:abstractNumId w:val="17"/>
  </w:num>
  <w:num w:numId="17" w16cid:durableId="1251698623">
    <w:abstractNumId w:val="10"/>
  </w:num>
  <w:num w:numId="18" w16cid:durableId="2086564921">
    <w:abstractNumId w:val="22"/>
  </w:num>
  <w:num w:numId="19" w16cid:durableId="78411467">
    <w:abstractNumId w:val="12"/>
  </w:num>
  <w:num w:numId="20" w16cid:durableId="265161413">
    <w:abstractNumId w:val="15"/>
  </w:num>
  <w:num w:numId="21" w16cid:durableId="1283341064">
    <w:abstractNumId w:val="18"/>
  </w:num>
  <w:num w:numId="22" w16cid:durableId="1247881707">
    <w:abstractNumId w:val="30"/>
  </w:num>
  <w:num w:numId="23" w16cid:durableId="1067804384">
    <w:abstractNumId w:val="29"/>
  </w:num>
  <w:num w:numId="24" w16cid:durableId="633096907">
    <w:abstractNumId w:val="25"/>
  </w:num>
  <w:num w:numId="25" w16cid:durableId="412165455">
    <w:abstractNumId w:val="28"/>
  </w:num>
  <w:num w:numId="26" w16cid:durableId="470287393">
    <w:abstractNumId w:val="2"/>
  </w:num>
  <w:num w:numId="27" w16cid:durableId="226231706">
    <w:abstractNumId w:val="19"/>
  </w:num>
  <w:num w:numId="28" w16cid:durableId="1762220218">
    <w:abstractNumId w:val="5"/>
  </w:num>
  <w:num w:numId="29" w16cid:durableId="1640651484">
    <w:abstractNumId w:val="26"/>
  </w:num>
  <w:num w:numId="30" w16cid:durableId="508066267">
    <w:abstractNumId w:val="1"/>
  </w:num>
  <w:num w:numId="31" w16cid:durableId="7442579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0"/>
    <w:rsid w:val="0000378C"/>
    <w:rsid w:val="00003C2A"/>
    <w:rsid w:val="0000578B"/>
    <w:rsid w:val="00005867"/>
    <w:rsid w:val="000058DE"/>
    <w:rsid w:val="000069B1"/>
    <w:rsid w:val="000079D8"/>
    <w:rsid w:val="00007D72"/>
    <w:rsid w:val="00010920"/>
    <w:rsid w:val="00012109"/>
    <w:rsid w:val="0001281B"/>
    <w:rsid w:val="000143D0"/>
    <w:rsid w:val="000144D0"/>
    <w:rsid w:val="0001565F"/>
    <w:rsid w:val="00016D90"/>
    <w:rsid w:val="000179CA"/>
    <w:rsid w:val="000207D0"/>
    <w:rsid w:val="00020D26"/>
    <w:rsid w:val="00021330"/>
    <w:rsid w:val="00023119"/>
    <w:rsid w:val="0002459E"/>
    <w:rsid w:val="00027264"/>
    <w:rsid w:val="000309FE"/>
    <w:rsid w:val="00031D01"/>
    <w:rsid w:val="0003203F"/>
    <w:rsid w:val="0003433A"/>
    <w:rsid w:val="0003433D"/>
    <w:rsid w:val="00034E0E"/>
    <w:rsid w:val="0003566B"/>
    <w:rsid w:val="00036C17"/>
    <w:rsid w:val="000413DE"/>
    <w:rsid w:val="000425E2"/>
    <w:rsid w:val="00042C74"/>
    <w:rsid w:val="00042EF4"/>
    <w:rsid w:val="00042FD0"/>
    <w:rsid w:val="0004381F"/>
    <w:rsid w:val="00045CEB"/>
    <w:rsid w:val="00046BA2"/>
    <w:rsid w:val="00050204"/>
    <w:rsid w:val="00050964"/>
    <w:rsid w:val="00052886"/>
    <w:rsid w:val="00053231"/>
    <w:rsid w:val="00053958"/>
    <w:rsid w:val="00053B9E"/>
    <w:rsid w:val="00054023"/>
    <w:rsid w:val="00054479"/>
    <w:rsid w:val="000546B0"/>
    <w:rsid w:val="000548B3"/>
    <w:rsid w:val="00055AB0"/>
    <w:rsid w:val="00057616"/>
    <w:rsid w:val="00060111"/>
    <w:rsid w:val="0006025D"/>
    <w:rsid w:val="00062C7A"/>
    <w:rsid w:val="000646E0"/>
    <w:rsid w:val="000678EB"/>
    <w:rsid w:val="00070682"/>
    <w:rsid w:val="000720D3"/>
    <w:rsid w:val="00072536"/>
    <w:rsid w:val="0007413E"/>
    <w:rsid w:val="0007653C"/>
    <w:rsid w:val="000772F3"/>
    <w:rsid w:val="000778DE"/>
    <w:rsid w:val="000806AF"/>
    <w:rsid w:val="00082342"/>
    <w:rsid w:val="00082402"/>
    <w:rsid w:val="00091BCF"/>
    <w:rsid w:val="00091BE2"/>
    <w:rsid w:val="00091BE6"/>
    <w:rsid w:val="00094546"/>
    <w:rsid w:val="00094CE2"/>
    <w:rsid w:val="00096A15"/>
    <w:rsid w:val="000971E5"/>
    <w:rsid w:val="00097CD9"/>
    <w:rsid w:val="00097D15"/>
    <w:rsid w:val="000A2C67"/>
    <w:rsid w:val="000A4AC1"/>
    <w:rsid w:val="000A71BF"/>
    <w:rsid w:val="000A7B9E"/>
    <w:rsid w:val="000B1C3E"/>
    <w:rsid w:val="000B4420"/>
    <w:rsid w:val="000B4AD1"/>
    <w:rsid w:val="000B6646"/>
    <w:rsid w:val="000B6E09"/>
    <w:rsid w:val="000C055F"/>
    <w:rsid w:val="000C1618"/>
    <w:rsid w:val="000C2507"/>
    <w:rsid w:val="000C4DA8"/>
    <w:rsid w:val="000C57E0"/>
    <w:rsid w:val="000D07ED"/>
    <w:rsid w:val="000D3D04"/>
    <w:rsid w:val="000D47A0"/>
    <w:rsid w:val="000D4EB2"/>
    <w:rsid w:val="000D5A63"/>
    <w:rsid w:val="000D64FF"/>
    <w:rsid w:val="000D718F"/>
    <w:rsid w:val="000E34EC"/>
    <w:rsid w:val="000E3793"/>
    <w:rsid w:val="000E5D19"/>
    <w:rsid w:val="000F014D"/>
    <w:rsid w:val="000F076C"/>
    <w:rsid w:val="000F396E"/>
    <w:rsid w:val="000F3DA7"/>
    <w:rsid w:val="000F3ECF"/>
    <w:rsid w:val="000F4096"/>
    <w:rsid w:val="000F6993"/>
    <w:rsid w:val="000F735A"/>
    <w:rsid w:val="00100F17"/>
    <w:rsid w:val="00101F18"/>
    <w:rsid w:val="00101F37"/>
    <w:rsid w:val="001030A5"/>
    <w:rsid w:val="00104173"/>
    <w:rsid w:val="00104E16"/>
    <w:rsid w:val="00105FF6"/>
    <w:rsid w:val="001107A4"/>
    <w:rsid w:val="001110BB"/>
    <w:rsid w:val="001119BB"/>
    <w:rsid w:val="00113369"/>
    <w:rsid w:val="0011420D"/>
    <w:rsid w:val="00115EBF"/>
    <w:rsid w:val="00116B23"/>
    <w:rsid w:val="00116F2F"/>
    <w:rsid w:val="0011737D"/>
    <w:rsid w:val="001174C5"/>
    <w:rsid w:val="00120176"/>
    <w:rsid w:val="001220E7"/>
    <w:rsid w:val="00122652"/>
    <w:rsid w:val="00123EEB"/>
    <w:rsid w:val="001258DC"/>
    <w:rsid w:val="0012598D"/>
    <w:rsid w:val="00130158"/>
    <w:rsid w:val="001302F8"/>
    <w:rsid w:val="00130FE2"/>
    <w:rsid w:val="00133A5F"/>
    <w:rsid w:val="00136C1D"/>
    <w:rsid w:val="00137E4B"/>
    <w:rsid w:val="00140068"/>
    <w:rsid w:val="0014063D"/>
    <w:rsid w:val="001437CF"/>
    <w:rsid w:val="001447EC"/>
    <w:rsid w:val="00145B73"/>
    <w:rsid w:val="0014724C"/>
    <w:rsid w:val="00155EAA"/>
    <w:rsid w:val="00156B73"/>
    <w:rsid w:val="00157DD3"/>
    <w:rsid w:val="001615E3"/>
    <w:rsid w:val="00161D47"/>
    <w:rsid w:val="0016370A"/>
    <w:rsid w:val="00163783"/>
    <w:rsid w:val="00163C79"/>
    <w:rsid w:val="00164064"/>
    <w:rsid w:val="00164C8F"/>
    <w:rsid w:val="001652B6"/>
    <w:rsid w:val="00166BD1"/>
    <w:rsid w:val="0017022B"/>
    <w:rsid w:val="00170456"/>
    <w:rsid w:val="001717F2"/>
    <w:rsid w:val="001729F3"/>
    <w:rsid w:val="00172C42"/>
    <w:rsid w:val="00174F98"/>
    <w:rsid w:val="00175DF7"/>
    <w:rsid w:val="001766E2"/>
    <w:rsid w:val="00180676"/>
    <w:rsid w:val="00180C74"/>
    <w:rsid w:val="00180CCE"/>
    <w:rsid w:val="001825FA"/>
    <w:rsid w:val="00184A47"/>
    <w:rsid w:val="00187D19"/>
    <w:rsid w:val="001916DE"/>
    <w:rsid w:val="001917E1"/>
    <w:rsid w:val="00193886"/>
    <w:rsid w:val="00193E54"/>
    <w:rsid w:val="00194B14"/>
    <w:rsid w:val="0019587E"/>
    <w:rsid w:val="001A1A11"/>
    <w:rsid w:val="001A3DC8"/>
    <w:rsid w:val="001A5515"/>
    <w:rsid w:val="001B1EE3"/>
    <w:rsid w:val="001B4CA8"/>
    <w:rsid w:val="001B6209"/>
    <w:rsid w:val="001B6341"/>
    <w:rsid w:val="001B63C4"/>
    <w:rsid w:val="001C00B2"/>
    <w:rsid w:val="001C0EF4"/>
    <w:rsid w:val="001C3E7E"/>
    <w:rsid w:val="001C473D"/>
    <w:rsid w:val="001C7D0F"/>
    <w:rsid w:val="001D0809"/>
    <w:rsid w:val="001D1E05"/>
    <w:rsid w:val="001D2E76"/>
    <w:rsid w:val="001D3F29"/>
    <w:rsid w:val="001D50EE"/>
    <w:rsid w:val="001D54A8"/>
    <w:rsid w:val="001D7547"/>
    <w:rsid w:val="001E1FCB"/>
    <w:rsid w:val="001E4C8A"/>
    <w:rsid w:val="001F320C"/>
    <w:rsid w:val="001F6A43"/>
    <w:rsid w:val="001F6FBD"/>
    <w:rsid w:val="001F7D5C"/>
    <w:rsid w:val="00201A43"/>
    <w:rsid w:val="002065A8"/>
    <w:rsid w:val="00206825"/>
    <w:rsid w:val="00210E1A"/>
    <w:rsid w:val="0021401E"/>
    <w:rsid w:val="00214637"/>
    <w:rsid w:val="00215672"/>
    <w:rsid w:val="00215882"/>
    <w:rsid w:val="00216190"/>
    <w:rsid w:val="00220BF9"/>
    <w:rsid w:val="00221809"/>
    <w:rsid w:val="00221B34"/>
    <w:rsid w:val="00223119"/>
    <w:rsid w:val="0022481E"/>
    <w:rsid w:val="00224851"/>
    <w:rsid w:val="00224999"/>
    <w:rsid w:val="00225696"/>
    <w:rsid w:val="00226D0D"/>
    <w:rsid w:val="00227413"/>
    <w:rsid w:val="0022782C"/>
    <w:rsid w:val="00227A52"/>
    <w:rsid w:val="002305BF"/>
    <w:rsid w:val="00230704"/>
    <w:rsid w:val="00230A41"/>
    <w:rsid w:val="0023453E"/>
    <w:rsid w:val="00235FA3"/>
    <w:rsid w:val="00237F20"/>
    <w:rsid w:val="00240A12"/>
    <w:rsid w:val="002427AA"/>
    <w:rsid w:val="00242EDD"/>
    <w:rsid w:val="002430FC"/>
    <w:rsid w:val="00243152"/>
    <w:rsid w:val="00243AF2"/>
    <w:rsid w:val="00244558"/>
    <w:rsid w:val="00244A9E"/>
    <w:rsid w:val="00247386"/>
    <w:rsid w:val="00247FD5"/>
    <w:rsid w:val="0025052E"/>
    <w:rsid w:val="00251C33"/>
    <w:rsid w:val="00251DA1"/>
    <w:rsid w:val="002531EC"/>
    <w:rsid w:val="002537D3"/>
    <w:rsid w:val="002561F8"/>
    <w:rsid w:val="002565C4"/>
    <w:rsid w:val="00260DB4"/>
    <w:rsid w:val="00261727"/>
    <w:rsid w:val="00262543"/>
    <w:rsid w:val="00263685"/>
    <w:rsid w:val="002650BE"/>
    <w:rsid w:val="0026555C"/>
    <w:rsid w:val="00267043"/>
    <w:rsid w:val="0027069E"/>
    <w:rsid w:val="00271C00"/>
    <w:rsid w:val="00275BF8"/>
    <w:rsid w:val="002767E6"/>
    <w:rsid w:val="0027680B"/>
    <w:rsid w:val="00277FB3"/>
    <w:rsid w:val="0028428F"/>
    <w:rsid w:val="00290E04"/>
    <w:rsid w:val="002916FC"/>
    <w:rsid w:val="00292621"/>
    <w:rsid w:val="00292C73"/>
    <w:rsid w:val="00294CEF"/>
    <w:rsid w:val="0029507B"/>
    <w:rsid w:val="00296409"/>
    <w:rsid w:val="00297A91"/>
    <w:rsid w:val="002A0B86"/>
    <w:rsid w:val="002A16D3"/>
    <w:rsid w:val="002A5B54"/>
    <w:rsid w:val="002A6440"/>
    <w:rsid w:val="002A673A"/>
    <w:rsid w:val="002A6DBF"/>
    <w:rsid w:val="002B2B82"/>
    <w:rsid w:val="002B2EEA"/>
    <w:rsid w:val="002B4FE2"/>
    <w:rsid w:val="002B507C"/>
    <w:rsid w:val="002B60E1"/>
    <w:rsid w:val="002B67BE"/>
    <w:rsid w:val="002B7D35"/>
    <w:rsid w:val="002C0ED9"/>
    <w:rsid w:val="002C197D"/>
    <w:rsid w:val="002C274D"/>
    <w:rsid w:val="002C5520"/>
    <w:rsid w:val="002C5B32"/>
    <w:rsid w:val="002C61FB"/>
    <w:rsid w:val="002C64EF"/>
    <w:rsid w:val="002D16A2"/>
    <w:rsid w:val="002D7319"/>
    <w:rsid w:val="002E65A6"/>
    <w:rsid w:val="002E7963"/>
    <w:rsid w:val="002F0690"/>
    <w:rsid w:val="002F0DC4"/>
    <w:rsid w:val="002F4ECF"/>
    <w:rsid w:val="002F637F"/>
    <w:rsid w:val="002F63E4"/>
    <w:rsid w:val="002F7468"/>
    <w:rsid w:val="002F7E1E"/>
    <w:rsid w:val="003010E6"/>
    <w:rsid w:val="003029DF"/>
    <w:rsid w:val="00302B9B"/>
    <w:rsid w:val="00303BA8"/>
    <w:rsid w:val="00310D26"/>
    <w:rsid w:val="003112E6"/>
    <w:rsid w:val="00312357"/>
    <w:rsid w:val="00313501"/>
    <w:rsid w:val="003135DF"/>
    <w:rsid w:val="00314EBC"/>
    <w:rsid w:val="0031504B"/>
    <w:rsid w:val="00315EF2"/>
    <w:rsid w:val="00316AA1"/>
    <w:rsid w:val="00317824"/>
    <w:rsid w:val="003211B3"/>
    <w:rsid w:val="00321542"/>
    <w:rsid w:val="00322AA7"/>
    <w:rsid w:val="0032366F"/>
    <w:rsid w:val="003242B5"/>
    <w:rsid w:val="00326B9E"/>
    <w:rsid w:val="003314CB"/>
    <w:rsid w:val="00332955"/>
    <w:rsid w:val="00334276"/>
    <w:rsid w:val="003346E1"/>
    <w:rsid w:val="00334B82"/>
    <w:rsid w:val="003357E9"/>
    <w:rsid w:val="0033632E"/>
    <w:rsid w:val="0033774B"/>
    <w:rsid w:val="0034025D"/>
    <w:rsid w:val="00340C8B"/>
    <w:rsid w:val="003419ED"/>
    <w:rsid w:val="00344B4B"/>
    <w:rsid w:val="00345B62"/>
    <w:rsid w:val="0034633D"/>
    <w:rsid w:val="00346E02"/>
    <w:rsid w:val="003510E7"/>
    <w:rsid w:val="00352514"/>
    <w:rsid w:val="00353575"/>
    <w:rsid w:val="00353B65"/>
    <w:rsid w:val="003553AB"/>
    <w:rsid w:val="003556C4"/>
    <w:rsid w:val="003559C6"/>
    <w:rsid w:val="00355C5A"/>
    <w:rsid w:val="00360730"/>
    <w:rsid w:val="003629FE"/>
    <w:rsid w:val="00362CF8"/>
    <w:rsid w:val="0036386B"/>
    <w:rsid w:val="00363BD0"/>
    <w:rsid w:val="00363D69"/>
    <w:rsid w:val="00366C05"/>
    <w:rsid w:val="00367B51"/>
    <w:rsid w:val="0037053C"/>
    <w:rsid w:val="0037279C"/>
    <w:rsid w:val="003732A6"/>
    <w:rsid w:val="00375145"/>
    <w:rsid w:val="003758FC"/>
    <w:rsid w:val="003760A1"/>
    <w:rsid w:val="003826B8"/>
    <w:rsid w:val="00384EE6"/>
    <w:rsid w:val="00385627"/>
    <w:rsid w:val="00385CBB"/>
    <w:rsid w:val="00390F20"/>
    <w:rsid w:val="003910B2"/>
    <w:rsid w:val="003912B1"/>
    <w:rsid w:val="003926D0"/>
    <w:rsid w:val="0039282F"/>
    <w:rsid w:val="003929B4"/>
    <w:rsid w:val="0039448C"/>
    <w:rsid w:val="00395154"/>
    <w:rsid w:val="003A03A7"/>
    <w:rsid w:val="003A0ABE"/>
    <w:rsid w:val="003A35F4"/>
    <w:rsid w:val="003A406F"/>
    <w:rsid w:val="003A4126"/>
    <w:rsid w:val="003A7183"/>
    <w:rsid w:val="003A7529"/>
    <w:rsid w:val="003A7DA3"/>
    <w:rsid w:val="003B2631"/>
    <w:rsid w:val="003B3FD1"/>
    <w:rsid w:val="003B782A"/>
    <w:rsid w:val="003B7F3C"/>
    <w:rsid w:val="003C1A5F"/>
    <w:rsid w:val="003C2B2E"/>
    <w:rsid w:val="003C30D4"/>
    <w:rsid w:val="003C3179"/>
    <w:rsid w:val="003C3478"/>
    <w:rsid w:val="003C363A"/>
    <w:rsid w:val="003C54AD"/>
    <w:rsid w:val="003C6BE8"/>
    <w:rsid w:val="003C6D34"/>
    <w:rsid w:val="003D11A6"/>
    <w:rsid w:val="003D1388"/>
    <w:rsid w:val="003D19DF"/>
    <w:rsid w:val="003D2734"/>
    <w:rsid w:val="003D3173"/>
    <w:rsid w:val="003D5C99"/>
    <w:rsid w:val="003D625C"/>
    <w:rsid w:val="003E1396"/>
    <w:rsid w:val="003E1D31"/>
    <w:rsid w:val="003E2EA7"/>
    <w:rsid w:val="003E3DF4"/>
    <w:rsid w:val="003E49D3"/>
    <w:rsid w:val="003E4C00"/>
    <w:rsid w:val="003E6893"/>
    <w:rsid w:val="003F056F"/>
    <w:rsid w:val="003F064D"/>
    <w:rsid w:val="003F124B"/>
    <w:rsid w:val="003F5423"/>
    <w:rsid w:val="003F5B34"/>
    <w:rsid w:val="003F7FA2"/>
    <w:rsid w:val="00400AFC"/>
    <w:rsid w:val="00401D4C"/>
    <w:rsid w:val="00410189"/>
    <w:rsid w:val="004119BE"/>
    <w:rsid w:val="00412683"/>
    <w:rsid w:val="004135BC"/>
    <w:rsid w:val="0041453E"/>
    <w:rsid w:val="0041508A"/>
    <w:rsid w:val="00415A1C"/>
    <w:rsid w:val="00415B00"/>
    <w:rsid w:val="00415F81"/>
    <w:rsid w:val="004167EB"/>
    <w:rsid w:val="00422721"/>
    <w:rsid w:val="00425EC6"/>
    <w:rsid w:val="00427E87"/>
    <w:rsid w:val="00431B43"/>
    <w:rsid w:val="00433899"/>
    <w:rsid w:val="00434A86"/>
    <w:rsid w:val="00435CF1"/>
    <w:rsid w:val="0043746B"/>
    <w:rsid w:val="00440C39"/>
    <w:rsid w:val="004450B0"/>
    <w:rsid w:val="00445868"/>
    <w:rsid w:val="00445BCF"/>
    <w:rsid w:val="00445E0C"/>
    <w:rsid w:val="0044712C"/>
    <w:rsid w:val="00447BCF"/>
    <w:rsid w:val="00447C64"/>
    <w:rsid w:val="00451AE2"/>
    <w:rsid w:val="004521E6"/>
    <w:rsid w:val="004548AF"/>
    <w:rsid w:val="0045529A"/>
    <w:rsid w:val="00455B1F"/>
    <w:rsid w:val="00456C94"/>
    <w:rsid w:val="00460FCB"/>
    <w:rsid w:val="004610E6"/>
    <w:rsid w:val="00462CD8"/>
    <w:rsid w:val="00462FB0"/>
    <w:rsid w:val="004631D1"/>
    <w:rsid w:val="004638E0"/>
    <w:rsid w:val="0046563C"/>
    <w:rsid w:val="00465A5B"/>
    <w:rsid w:val="0046660C"/>
    <w:rsid w:val="00466B28"/>
    <w:rsid w:val="00467420"/>
    <w:rsid w:val="00470344"/>
    <w:rsid w:val="00471C73"/>
    <w:rsid w:val="00473EBA"/>
    <w:rsid w:val="00477E6B"/>
    <w:rsid w:val="00480031"/>
    <w:rsid w:val="00480949"/>
    <w:rsid w:val="004821C3"/>
    <w:rsid w:val="00482DCB"/>
    <w:rsid w:val="00483A1E"/>
    <w:rsid w:val="00483A88"/>
    <w:rsid w:val="004841D4"/>
    <w:rsid w:val="004850CB"/>
    <w:rsid w:val="0048569E"/>
    <w:rsid w:val="00485BBE"/>
    <w:rsid w:val="004871D1"/>
    <w:rsid w:val="00491753"/>
    <w:rsid w:val="0049180F"/>
    <w:rsid w:val="00491BC0"/>
    <w:rsid w:val="00492331"/>
    <w:rsid w:val="004926AE"/>
    <w:rsid w:val="00492D5C"/>
    <w:rsid w:val="00493BF8"/>
    <w:rsid w:val="00496B2D"/>
    <w:rsid w:val="00497715"/>
    <w:rsid w:val="004979F3"/>
    <w:rsid w:val="004A4328"/>
    <w:rsid w:val="004A5E4A"/>
    <w:rsid w:val="004A63BF"/>
    <w:rsid w:val="004A7DB1"/>
    <w:rsid w:val="004B033A"/>
    <w:rsid w:val="004B1231"/>
    <w:rsid w:val="004B1E05"/>
    <w:rsid w:val="004B248F"/>
    <w:rsid w:val="004B588F"/>
    <w:rsid w:val="004B58EE"/>
    <w:rsid w:val="004B6A4B"/>
    <w:rsid w:val="004B7D57"/>
    <w:rsid w:val="004C26A6"/>
    <w:rsid w:val="004C4655"/>
    <w:rsid w:val="004C76E0"/>
    <w:rsid w:val="004C7A9A"/>
    <w:rsid w:val="004D06B3"/>
    <w:rsid w:val="004D1702"/>
    <w:rsid w:val="004D1D77"/>
    <w:rsid w:val="004D36DA"/>
    <w:rsid w:val="004D38C1"/>
    <w:rsid w:val="004D4817"/>
    <w:rsid w:val="004D537F"/>
    <w:rsid w:val="004D6437"/>
    <w:rsid w:val="004D762E"/>
    <w:rsid w:val="004D77A9"/>
    <w:rsid w:val="004E1B49"/>
    <w:rsid w:val="004E1C43"/>
    <w:rsid w:val="004E1DC2"/>
    <w:rsid w:val="004E284F"/>
    <w:rsid w:val="004E34AF"/>
    <w:rsid w:val="004E598D"/>
    <w:rsid w:val="004E66C0"/>
    <w:rsid w:val="004E6DC1"/>
    <w:rsid w:val="004F2843"/>
    <w:rsid w:val="004F5DDC"/>
    <w:rsid w:val="004F6066"/>
    <w:rsid w:val="004F7169"/>
    <w:rsid w:val="00500252"/>
    <w:rsid w:val="0050319B"/>
    <w:rsid w:val="005034B1"/>
    <w:rsid w:val="005041E8"/>
    <w:rsid w:val="00504BD1"/>
    <w:rsid w:val="00505FF4"/>
    <w:rsid w:val="00506AC7"/>
    <w:rsid w:val="005078A6"/>
    <w:rsid w:val="00510501"/>
    <w:rsid w:val="00510E47"/>
    <w:rsid w:val="005118A2"/>
    <w:rsid w:val="00512A2C"/>
    <w:rsid w:val="005143AD"/>
    <w:rsid w:val="00515F9A"/>
    <w:rsid w:val="00520F5E"/>
    <w:rsid w:val="0052310A"/>
    <w:rsid w:val="005242BA"/>
    <w:rsid w:val="00524458"/>
    <w:rsid w:val="00524CA4"/>
    <w:rsid w:val="00524F59"/>
    <w:rsid w:val="00525D9F"/>
    <w:rsid w:val="00525EEB"/>
    <w:rsid w:val="00526B35"/>
    <w:rsid w:val="00526F92"/>
    <w:rsid w:val="0052738A"/>
    <w:rsid w:val="005327DB"/>
    <w:rsid w:val="0053304F"/>
    <w:rsid w:val="0053337A"/>
    <w:rsid w:val="00534CB6"/>
    <w:rsid w:val="0053608F"/>
    <w:rsid w:val="00540B29"/>
    <w:rsid w:val="0054187F"/>
    <w:rsid w:val="00543C93"/>
    <w:rsid w:val="00545249"/>
    <w:rsid w:val="0054575E"/>
    <w:rsid w:val="0055008D"/>
    <w:rsid w:val="005528BF"/>
    <w:rsid w:val="005533C2"/>
    <w:rsid w:val="005551DA"/>
    <w:rsid w:val="0055621F"/>
    <w:rsid w:val="0056174B"/>
    <w:rsid w:val="00561E3F"/>
    <w:rsid w:val="00562635"/>
    <w:rsid w:val="00565FAA"/>
    <w:rsid w:val="0056719D"/>
    <w:rsid w:val="00570D66"/>
    <w:rsid w:val="00574915"/>
    <w:rsid w:val="005762B1"/>
    <w:rsid w:val="00576792"/>
    <w:rsid w:val="00577E00"/>
    <w:rsid w:val="00577F17"/>
    <w:rsid w:val="005806A1"/>
    <w:rsid w:val="00581606"/>
    <w:rsid w:val="00582B9E"/>
    <w:rsid w:val="00582E9E"/>
    <w:rsid w:val="00583E3D"/>
    <w:rsid w:val="00585B75"/>
    <w:rsid w:val="005865E7"/>
    <w:rsid w:val="00591163"/>
    <w:rsid w:val="005925FE"/>
    <w:rsid w:val="00592DC6"/>
    <w:rsid w:val="005A339A"/>
    <w:rsid w:val="005A396F"/>
    <w:rsid w:val="005A3C46"/>
    <w:rsid w:val="005A3E7B"/>
    <w:rsid w:val="005A6581"/>
    <w:rsid w:val="005B0AE9"/>
    <w:rsid w:val="005B1174"/>
    <w:rsid w:val="005B2BA9"/>
    <w:rsid w:val="005B2F9E"/>
    <w:rsid w:val="005B5333"/>
    <w:rsid w:val="005B5658"/>
    <w:rsid w:val="005B5DB8"/>
    <w:rsid w:val="005C0563"/>
    <w:rsid w:val="005C0D19"/>
    <w:rsid w:val="005C11E7"/>
    <w:rsid w:val="005C1C80"/>
    <w:rsid w:val="005C2C62"/>
    <w:rsid w:val="005C7A75"/>
    <w:rsid w:val="005D01E3"/>
    <w:rsid w:val="005D16DB"/>
    <w:rsid w:val="005D2E37"/>
    <w:rsid w:val="005D30FA"/>
    <w:rsid w:val="005D3C04"/>
    <w:rsid w:val="005D410E"/>
    <w:rsid w:val="005D4AD4"/>
    <w:rsid w:val="005D4FCA"/>
    <w:rsid w:val="005D69D2"/>
    <w:rsid w:val="005E0123"/>
    <w:rsid w:val="005E3115"/>
    <w:rsid w:val="005E3D5A"/>
    <w:rsid w:val="005E59BB"/>
    <w:rsid w:val="005E6A59"/>
    <w:rsid w:val="005E707D"/>
    <w:rsid w:val="005E74C6"/>
    <w:rsid w:val="005F099C"/>
    <w:rsid w:val="005F0E97"/>
    <w:rsid w:val="005F1357"/>
    <w:rsid w:val="005F15EF"/>
    <w:rsid w:val="005F1CA2"/>
    <w:rsid w:val="005F3A41"/>
    <w:rsid w:val="005F45D8"/>
    <w:rsid w:val="005F4960"/>
    <w:rsid w:val="005F6F22"/>
    <w:rsid w:val="005F78C2"/>
    <w:rsid w:val="00600997"/>
    <w:rsid w:val="00601E7B"/>
    <w:rsid w:val="0060252D"/>
    <w:rsid w:val="006044EC"/>
    <w:rsid w:val="00605C4E"/>
    <w:rsid w:val="00605C86"/>
    <w:rsid w:val="00607A44"/>
    <w:rsid w:val="00607CE4"/>
    <w:rsid w:val="00612361"/>
    <w:rsid w:val="00612617"/>
    <w:rsid w:val="00613737"/>
    <w:rsid w:val="006167B7"/>
    <w:rsid w:val="00617132"/>
    <w:rsid w:val="0062127E"/>
    <w:rsid w:val="00622767"/>
    <w:rsid w:val="0062388F"/>
    <w:rsid w:val="00623BC1"/>
    <w:rsid w:val="00624659"/>
    <w:rsid w:val="00624B58"/>
    <w:rsid w:val="006265E3"/>
    <w:rsid w:val="00627103"/>
    <w:rsid w:val="00630101"/>
    <w:rsid w:val="0063044C"/>
    <w:rsid w:val="0063366D"/>
    <w:rsid w:val="006336A8"/>
    <w:rsid w:val="00641737"/>
    <w:rsid w:val="006441F8"/>
    <w:rsid w:val="00644BC3"/>
    <w:rsid w:val="00644F97"/>
    <w:rsid w:val="00645CC2"/>
    <w:rsid w:val="00646C65"/>
    <w:rsid w:val="00650EFA"/>
    <w:rsid w:val="00651868"/>
    <w:rsid w:val="00653458"/>
    <w:rsid w:val="0065517A"/>
    <w:rsid w:val="00655EA2"/>
    <w:rsid w:val="00657BEB"/>
    <w:rsid w:val="00660317"/>
    <w:rsid w:val="006614A5"/>
    <w:rsid w:val="006615BC"/>
    <w:rsid w:val="0066460F"/>
    <w:rsid w:val="006646AB"/>
    <w:rsid w:val="0066539B"/>
    <w:rsid w:val="00666CCA"/>
    <w:rsid w:val="00667F8E"/>
    <w:rsid w:val="00670FA4"/>
    <w:rsid w:val="00671A0E"/>
    <w:rsid w:val="00671FCF"/>
    <w:rsid w:val="0067264F"/>
    <w:rsid w:val="00672767"/>
    <w:rsid w:val="00673F04"/>
    <w:rsid w:val="0067628A"/>
    <w:rsid w:val="00676C08"/>
    <w:rsid w:val="0067753C"/>
    <w:rsid w:val="00677DC6"/>
    <w:rsid w:val="0068135F"/>
    <w:rsid w:val="006816B8"/>
    <w:rsid w:val="00683118"/>
    <w:rsid w:val="00684331"/>
    <w:rsid w:val="00685A01"/>
    <w:rsid w:val="00686B6B"/>
    <w:rsid w:val="006874AC"/>
    <w:rsid w:val="00687C76"/>
    <w:rsid w:val="00687DBC"/>
    <w:rsid w:val="00690F36"/>
    <w:rsid w:val="00692010"/>
    <w:rsid w:val="00693716"/>
    <w:rsid w:val="00694089"/>
    <w:rsid w:val="006958AC"/>
    <w:rsid w:val="0069732A"/>
    <w:rsid w:val="0069786A"/>
    <w:rsid w:val="006978A9"/>
    <w:rsid w:val="006A019C"/>
    <w:rsid w:val="006A0407"/>
    <w:rsid w:val="006A0F49"/>
    <w:rsid w:val="006A2DC5"/>
    <w:rsid w:val="006A3E4D"/>
    <w:rsid w:val="006A7C27"/>
    <w:rsid w:val="006B0396"/>
    <w:rsid w:val="006B0400"/>
    <w:rsid w:val="006B10DA"/>
    <w:rsid w:val="006B7888"/>
    <w:rsid w:val="006C160F"/>
    <w:rsid w:val="006C2077"/>
    <w:rsid w:val="006C391F"/>
    <w:rsid w:val="006C43C0"/>
    <w:rsid w:val="006C4977"/>
    <w:rsid w:val="006C5245"/>
    <w:rsid w:val="006C5337"/>
    <w:rsid w:val="006C609E"/>
    <w:rsid w:val="006C6697"/>
    <w:rsid w:val="006C726E"/>
    <w:rsid w:val="006C7C53"/>
    <w:rsid w:val="006D1081"/>
    <w:rsid w:val="006D1484"/>
    <w:rsid w:val="006D1C58"/>
    <w:rsid w:val="006D2D7F"/>
    <w:rsid w:val="006D2EAB"/>
    <w:rsid w:val="006D3ED9"/>
    <w:rsid w:val="006D50B5"/>
    <w:rsid w:val="006E0150"/>
    <w:rsid w:val="006E7081"/>
    <w:rsid w:val="006E75D3"/>
    <w:rsid w:val="006F07C5"/>
    <w:rsid w:val="006F0B58"/>
    <w:rsid w:val="006F3A35"/>
    <w:rsid w:val="006F5E71"/>
    <w:rsid w:val="00702E19"/>
    <w:rsid w:val="00703411"/>
    <w:rsid w:val="00703C46"/>
    <w:rsid w:val="007060F4"/>
    <w:rsid w:val="007066C2"/>
    <w:rsid w:val="00706777"/>
    <w:rsid w:val="00707CEA"/>
    <w:rsid w:val="0071414F"/>
    <w:rsid w:val="00714728"/>
    <w:rsid w:val="0071484F"/>
    <w:rsid w:val="00715633"/>
    <w:rsid w:val="00716D1D"/>
    <w:rsid w:val="00717145"/>
    <w:rsid w:val="0071718D"/>
    <w:rsid w:val="0072080D"/>
    <w:rsid w:val="00721A20"/>
    <w:rsid w:val="00722128"/>
    <w:rsid w:val="00722534"/>
    <w:rsid w:val="00723B0E"/>
    <w:rsid w:val="00724123"/>
    <w:rsid w:val="00724208"/>
    <w:rsid w:val="00724238"/>
    <w:rsid w:val="0072428F"/>
    <w:rsid w:val="00725816"/>
    <w:rsid w:val="0073010E"/>
    <w:rsid w:val="00730941"/>
    <w:rsid w:val="00730CCB"/>
    <w:rsid w:val="00732612"/>
    <w:rsid w:val="0073612B"/>
    <w:rsid w:val="007371EE"/>
    <w:rsid w:val="007402BE"/>
    <w:rsid w:val="007408DD"/>
    <w:rsid w:val="00740A0B"/>
    <w:rsid w:val="00741F2F"/>
    <w:rsid w:val="007438EB"/>
    <w:rsid w:val="00743B0A"/>
    <w:rsid w:val="0074654B"/>
    <w:rsid w:val="00746652"/>
    <w:rsid w:val="00746C94"/>
    <w:rsid w:val="00752F90"/>
    <w:rsid w:val="00755DEA"/>
    <w:rsid w:val="00760275"/>
    <w:rsid w:val="007606E2"/>
    <w:rsid w:val="00762423"/>
    <w:rsid w:val="0076381D"/>
    <w:rsid w:val="0076460B"/>
    <w:rsid w:val="00765096"/>
    <w:rsid w:val="00765B5D"/>
    <w:rsid w:val="00770015"/>
    <w:rsid w:val="00770B73"/>
    <w:rsid w:val="00770FD6"/>
    <w:rsid w:val="00772D2C"/>
    <w:rsid w:val="00772FBF"/>
    <w:rsid w:val="00774108"/>
    <w:rsid w:val="00774480"/>
    <w:rsid w:val="0078066B"/>
    <w:rsid w:val="007814A2"/>
    <w:rsid w:val="00781C76"/>
    <w:rsid w:val="00782284"/>
    <w:rsid w:val="0078407C"/>
    <w:rsid w:val="00785C47"/>
    <w:rsid w:val="00787AE4"/>
    <w:rsid w:val="00790FF8"/>
    <w:rsid w:val="00793805"/>
    <w:rsid w:val="00794F64"/>
    <w:rsid w:val="00794FB8"/>
    <w:rsid w:val="00796ED3"/>
    <w:rsid w:val="0079725D"/>
    <w:rsid w:val="007A206F"/>
    <w:rsid w:val="007A2293"/>
    <w:rsid w:val="007A298D"/>
    <w:rsid w:val="007A386F"/>
    <w:rsid w:val="007A5EE9"/>
    <w:rsid w:val="007A6A7D"/>
    <w:rsid w:val="007A7FE7"/>
    <w:rsid w:val="007B2F42"/>
    <w:rsid w:val="007B30FE"/>
    <w:rsid w:val="007B61FB"/>
    <w:rsid w:val="007B63CA"/>
    <w:rsid w:val="007B7121"/>
    <w:rsid w:val="007B74DD"/>
    <w:rsid w:val="007B7880"/>
    <w:rsid w:val="007B7A20"/>
    <w:rsid w:val="007C09A7"/>
    <w:rsid w:val="007C0A1D"/>
    <w:rsid w:val="007C6A58"/>
    <w:rsid w:val="007C7020"/>
    <w:rsid w:val="007D0961"/>
    <w:rsid w:val="007D36BF"/>
    <w:rsid w:val="007D39E8"/>
    <w:rsid w:val="007D3E71"/>
    <w:rsid w:val="007D51DB"/>
    <w:rsid w:val="007D7F4D"/>
    <w:rsid w:val="007E1ACA"/>
    <w:rsid w:val="007E20FD"/>
    <w:rsid w:val="007E37DE"/>
    <w:rsid w:val="007E3E35"/>
    <w:rsid w:val="007E452E"/>
    <w:rsid w:val="007E4EF3"/>
    <w:rsid w:val="007F002B"/>
    <w:rsid w:val="007F1D95"/>
    <w:rsid w:val="007F1DCC"/>
    <w:rsid w:val="007F232A"/>
    <w:rsid w:val="007F4362"/>
    <w:rsid w:val="007F5258"/>
    <w:rsid w:val="007F7563"/>
    <w:rsid w:val="008002AF"/>
    <w:rsid w:val="0080045B"/>
    <w:rsid w:val="00800572"/>
    <w:rsid w:val="00800C85"/>
    <w:rsid w:val="00801298"/>
    <w:rsid w:val="00801B3E"/>
    <w:rsid w:val="00801C05"/>
    <w:rsid w:val="008041E8"/>
    <w:rsid w:val="00805431"/>
    <w:rsid w:val="00805881"/>
    <w:rsid w:val="00807476"/>
    <w:rsid w:val="00807E05"/>
    <w:rsid w:val="0081089E"/>
    <w:rsid w:val="008168B8"/>
    <w:rsid w:val="008172AF"/>
    <w:rsid w:val="0081769A"/>
    <w:rsid w:val="00817C46"/>
    <w:rsid w:val="00820C53"/>
    <w:rsid w:val="00821C18"/>
    <w:rsid w:val="00822089"/>
    <w:rsid w:val="0082265B"/>
    <w:rsid w:val="0082276A"/>
    <w:rsid w:val="008227F3"/>
    <w:rsid w:val="00823FD8"/>
    <w:rsid w:val="00826414"/>
    <w:rsid w:val="00827223"/>
    <w:rsid w:val="0083469A"/>
    <w:rsid w:val="0083516C"/>
    <w:rsid w:val="008360CC"/>
    <w:rsid w:val="00837BCF"/>
    <w:rsid w:val="008400C2"/>
    <w:rsid w:val="00841CC7"/>
    <w:rsid w:val="00842564"/>
    <w:rsid w:val="008447BF"/>
    <w:rsid w:val="008450E2"/>
    <w:rsid w:val="00846E24"/>
    <w:rsid w:val="00847189"/>
    <w:rsid w:val="00847ABE"/>
    <w:rsid w:val="008502EA"/>
    <w:rsid w:val="008520CF"/>
    <w:rsid w:val="00853690"/>
    <w:rsid w:val="00854490"/>
    <w:rsid w:val="008550D3"/>
    <w:rsid w:val="00855AD0"/>
    <w:rsid w:val="008561CC"/>
    <w:rsid w:val="008615C2"/>
    <w:rsid w:val="00861C75"/>
    <w:rsid w:val="00862BE4"/>
    <w:rsid w:val="00863346"/>
    <w:rsid w:val="00863A40"/>
    <w:rsid w:val="00864157"/>
    <w:rsid w:val="008646F0"/>
    <w:rsid w:val="008674D9"/>
    <w:rsid w:val="00867D8F"/>
    <w:rsid w:val="00870502"/>
    <w:rsid w:val="008710D3"/>
    <w:rsid w:val="00872C32"/>
    <w:rsid w:val="00873999"/>
    <w:rsid w:val="00873F9E"/>
    <w:rsid w:val="00875634"/>
    <w:rsid w:val="0087577E"/>
    <w:rsid w:val="008774FC"/>
    <w:rsid w:val="00880986"/>
    <w:rsid w:val="0088123E"/>
    <w:rsid w:val="0088201C"/>
    <w:rsid w:val="00882FDC"/>
    <w:rsid w:val="00883B13"/>
    <w:rsid w:val="0088530A"/>
    <w:rsid w:val="008868D3"/>
    <w:rsid w:val="00891309"/>
    <w:rsid w:val="0089347F"/>
    <w:rsid w:val="00894E48"/>
    <w:rsid w:val="008A0885"/>
    <w:rsid w:val="008A1650"/>
    <w:rsid w:val="008A1D63"/>
    <w:rsid w:val="008A1DFD"/>
    <w:rsid w:val="008A28F2"/>
    <w:rsid w:val="008A2B06"/>
    <w:rsid w:val="008A2D1F"/>
    <w:rsid w:val="008A6B2A"/>
    <w:rsid w:val="008B1A82"/>
    <w:rsid w:val="008B1B0B"/>
    <w:rsid w:val="008B1C1B"/>
    <w:rsid w:val="008B262E"/>
    <w:rsid w:val="008B2D13"/>
    <w:rsid w:val="008B4D3C"/>
    <w:rsid w:val="008B5EC3"/>
    <w:rsid w:val="008B7E0F"/>
    <w:rsid w:val="008C05EF"/>
    <w:rsid w:val="008C0A53"/>
    <w:rsid w:val="008C1A97"/>
    <w:rsid w:val="008C1EA2"/>
    <w:rsid w:val="008C2A62"/>
    <w:rsid w:val="008C398B"/>
    <w:rsid w:val="008C4ED5"/>
    <w:rsid w:val="008C5B3C"/>
    <w:rsid w:val="008C6C40"/>
    <w:rsid w:val="008D031C"/>
    <w:rsid w:val="008D0BC9"/>
    <w:rsid w:val="008D260E"/>
    <w:rsid w:val="008D3B67"/>
    <w:rsid w:val="008D6D62"/>
    <w:rsid w:val="008D6EEC"/>
    <w:rsid w:val="008E06FB"/>
    <w:rsid w:val="008E0FBA"/>
    <w:rsid w:val="008E13E2"/>
    <w:rsid w:val="008E1A2D"/>
    <w:rsid w:val="008E1AD0"/>
    <w:rsid w:val="008E2480"/>
    <w:rsid w:val="008E6024"/>
    <w:rsid w:val="008F008B"/>
    <w:rsid w:val="008F0D98"/>
    <w:rsid w:val="008F2BCB"/>
    <w:rsid w:val="008F3163"/>
    <w:rsid w:val="008F5A3E"/>
    <w:rsid w:val="008F6D2A"/>
    <w:rsid w:val="008F7CBC"/>
    <w:rsid w:val="008F7FE1"/>
    <w:rsid w:val="008F7FEF"/>
    <w:rsid w:val="00901AAE"/>
    <w:rsid w:val="00904C6D"/>
    <w:rsid w:val="009052DD"/>
    <w:rsid w:val="00906D7B"/>
    <w:rsid w:val="009076FC"/>
    <w:rsid w:val="00907A5D"/>
    <w:rsid w:val="009114FF"/>
    <w:rsid w:val="00911A5F"/>
    <w:rsid w:val="00913B2E"/>
    <w:rsid w:val="009166DE"/>
    <w:rsid w:val="00917E42"/>
    <w:rsid w:val="009210D1"/>
    <w:rsid w:val="009232F5"/>
    <w:rsid w:val="00924AC2"/>
    <w:rsid w:val="00927075"/>
    <w:rsid w:val="0092714E"/>
    <w:rsid w:val="00927E40"/>
    <w:rsid w:val="00930DF8"/>
    <w:rsid w:val="009322CE"/>
    <w:rsid w:val="009334B6"/>
    <w:rsid w:val="00933F89"/>
    <w:rsid w:val="00936523"/>
    <w:rsid w:val="00940AFE"/>
    <w:rsid w:val="00940E48"/>
    <w:rsid w:val="00942F8C"/>
    <w:rsid w:val="00943E54"/>
    <w:rsid w:val="0094486E"/>
    <w:rsid w:val="009452FB"/>
    <w:rsid w:val="009455D4"/>
    <w:rsid w:val="009469A8"/>
    <w:rsid w:val="00950C48"/>
    <w:rsid w:val="00952C4C"/>
    <w:rsid w:val="009571C7"/>
    <w:rsid w:val="00957437"/>
    <w:rsid w:val="00957C90"/>
    <w:rsid w:val="009605CC"/>
    <w:rsid w:val="00961517"/>
    <w:rsid w:val="009668BF"/>
    <w:rsid w:val="00967249"/>
    <w:rsid w:val="00970615"/>
    <w:rsid w:val="00974560"/>
    <w:rsid w:val="00981C04"/>
    <w:rsid w:val="0098397E"/>
    <w:rsid w:val="00984B1E"/>
    <w:rsid w:val="00984CA8"/>
    <w:rsid w:val="0098714A"/>
    <w:rsid w:val="00987641"/>
    <w:rsid w:val="009916F8"/>
    <w:rsid w:val="00991736"/>
    <w:rsid w:val="00992765"/>
    <w:rsid w:val="009930AB"/>
    <w:rsid w:val="00993B41"/>
    <w:rsid w:val="0099402A"/>
    <w:rsid w:val="00994472"/>
    <w:rsid w:val="00994B7E"/>
    <w:rsid w:val="00995400"/>
    <w:rsid w:val="00997270"/>
    <w:rsid w:val="009A01FE"/>
    <w:rsid w:val="009A095A"/>
    <w:rsid w:val="009A4141"/>
    <w:rsid w:val="009A4E03"/>
    <w:rsid w:val="009A5556"/>
    <w:rsid w:val="009A59EA"/>
    <w:rsid w:val="009A68EB"/>
    <w:rsid w:val="009A7014"/>
    <w:rsid w:val="009A76E2"/>
    <w:rsid w:val="009A7C90"/>
    <w:rsid w:val="009A7D7E"/>
    <w:rsid w:val="009B378C"/>
    <w:rsid w:val="009B3949"/>
    <w:rsid w:val="009B4923"/>
    <w:rsid w:val="009B4F3F"/>
    <w:rsid w:val="009B67AC"/>
    <w:rsid w:val="009B7BDE"/>
    <w:rsid w:val="009C0F12"/>
    <w:rsid w:val="009C2AB3"/>
    <w:rsid w:val="009C2FCC"/>
    <w:rsid w:val="009C3F9C"/>
    <w:rsid w:val="009C45B3"/>
    <w:rsid w:val="009C67F5"/>
    <w:rsid w:val="009C6C41"/>
    <w:rsid w:val="009D78DD"/>
    <w:rsid w:val="009E0134"/>
    <w:rsid w:val="009E0F54"/>
    <w:rsid w:val="009E265B"/>
    <w:rsid w:val="009E2EC2"/>
    <w:rsid w:val="009E3676"/>
    <w:rsid w:val="009E36E2"/>
    <w:rsid w:val="009E61F5"/>
    <w:rsid w:val="009E692C"/>
    <w:rsid w:val="009E7B5B"/>
    <w:rsid w:val="009E7CE9"/>
    <w:rsid w:val="009E7EB6"/>
    <w:rsid w:val="009F4292"/>
    <w:rsid w:val="009F78CF"/>
    <w:rsid w:val="00A04CEE"/>
    <w:rsid w:val="00A05E60"/>
    <w:rsid w:val="00A1057D"/>
    <w:rsid w:val="00A13516"/>
    <w:rsid w:val="00A1370B"/>
    <w:rsid w:val="00A2051B"/>
    <w:rsid w:val="00A21FB7"/>
    <w:rsid w:val="00A24B18"/>
    <w:rsid w:val="00A26A5C"/>
    <w:rsid w:val="00A273F0"/>
    <w:rsid w:val="00A3000B"/>
    <w:rsid w:val="00A305DC"/>
    <w:rsid w:val="00A3127C"/>
    <w:rsid w:val="00A32905"/>
    <w:rsid w:val="00A37310"/>
    <w:rsid w:val="00A37B9F"/>
    <w:rsid w:val="00A43B2D"/>
    <w:rsid w:val="00A44757"/>
    <w:rsid w:val="00A44F0F"/>
    <w:rsid w:val="00A5022F"/>
    <w:rsid w:val="00A50DCB"/>
    <w:rsid w:val="00A527ED"/>
    <w:rsid w:val="00A54302"/>
    <w:rsid w:val="00A54FEA"/>
    <w:rsid w:val="00A550B1"/>
    <w:rsid w:val="00A6003C"/>
    <w:rsid w:val="00A60159"/>
    <w:rsid w:val="00A62309"/>
    <w:rsid w:val="00A63217"/>
    <w:rsid w:val="00A661D3"/>
    <w:rsid w:val="00A67E2E"/>
    <w:rsid w:val="00A70E5A"/>
    <w:rsid w:val="00A716F8"/>
    <w:rsid w:val="00A72115"/>
    <w:rsid w:val="00A722DC"/>
    <w:rsid w:val="00A734DB"/>
    <w:rsid w:val="00A73739"/>
    <w:rsid w:val="00A74033"/>
    <w:rsid w:val="00A746E6"/>
    <w:rsid w:val="00A74A46"/>
    <w:rsid w:val="00A76353"/>
    <w:rsid w:val="00A76D3F"/>
    <w:rsid w:val="00A77F0E"/>
    <w:rsid w:val="00A837FB"/>
    <w:rsid w:val="00A84007"/>
    <w:rsid w:val="00A842EA"/>
    <w:rsid w:val="00A85FA1"/>
    <w:rsid w:val="00A8660E"/>
    <w:rsid w:val="00A86F61"/>
    <w:rsid w:val="00A873D0"/>
    <w:rsid w:val="00A92A48"/>
    <w:rsid w:val="00A94255"/>
    <w:rsid w:val="00A94E48"/>
    <w:rsid w:val="00A94ED8"/>
    <w:rsid w:val="00AA24C7"/>
    <w:rsid w:val="00AA2790"/>
    <w:rsid w:val="00AA6E0E"/>
    <w:rsid w:val="00AA7A58"/>
    <w:rsid w:val="00AB15F0"/>
    <w:rsid w:val="00AB16D3"/>
    <w:rsid w:val="00AB3C68"/>
    <w:rsid w:val="00AB4093"/>
    <w:rsid w:val="00AB5528"/>
    <w:rsid w:val="00AB58B1"/>
    <w:rsid w:val="00AC007A"/>
    <w:rsid w:val="00AC5202"/>
    <w:rsid w:val="00AC677F"/>
    <w:rsid w:val="00AC7801"/>
    <w:rsid w:val="00AC7A5F"/>
    <w:rsid w:val="00AD025A"/>
    <w:rsid w:val="00AD0ECE"/>
    <w:rsid w:val="00AD1CB2"/>
    <w:rsid w:val="00AD73C7"/>
    <w:rsid w:val="00AD7E7A"/>
    <w:rsid w:val="00AE0195"/>
    <w:rsid w:val="00AE06B9"/>
    <w:rsid w:val="00AE07F2"/>
    <w:rsid w:val="00AE129B"/>
    <w:rsid w:val="00AE2BB6"/>
    <w:rsid w:val="00AE3742"/>
    <w:rsid w:val="00AE54FE"/>
    <w:rsid w:val="00AE5598"/>
    <w:rsid w:val="00AE6B61"/>
    <w:rsid w:val="00AF0E25"/>
    <w:rsid w:val="00AF2401"/>
    <w:rsid w:val="00AF577B"/>
    <w:rsid w:val="00AF76F6"/>
    <w:rsid w:val="00B00BE9"/>
    <w:rsid w:val="00B01233"/>
    <w:rsid w:val="00B01B22"/>
    <w:rsid w:val="00B01DDA"/>
    <w:rsid w:val="00B03421"/>
    <w:rsid w:val="00B04947"/>
    <w:rsid w:val="00B04997"/>
    <w:rsid w:val="00B053C7"/>
    <w:rsid w:val="00B05809"/>
    <w:rsid w:val="00B05A45"/>
    <w:rsid w:val="00B06A49"/>
    <w:rsid w:val="00B07143"/>
    <w:rsid w:val="00B10F95"/>
    <w:rsid w:val="00B11DEC"/>
    <w:rsid w:val="00B11F25"/>
    <w:rsid w:val="00B11FDD"/>
    <w:rsid w:val="00B1316F"/>
    <w:rsid w:val="00B13305"/>
    <w:rsid w:val="00B14500"/>
    <w:rsid w:val="00B15127"/>
    <w:rsid w:val="00B16541"/>
    <w:rsid w:val="00B16CC6"/>
    <w:rsid w:val="00B17796"/>
    <w:rsid w:val="00B2069E"/>
    <w:rsid w:val="00B20ECF"/>
    <w:rsid w:val="00B21CC2"/>
    <w:rsid w:val="00B226AB"/>
    <w:rsid w:val="00B22739"/>
    <w:rsid w:val="00B23089"/>
    <w:rsid w:val="00B239BB"/>
    <w:rsid w:val="00B242FB"/>
    <w:rsid w:val="00B248B1"/>
    <w:rsid w:val="00B2683D"/>
    <w:rsid w:val="00B27E21"/>
    <w:rsid w:val="00B3156C"/>
    <w:rsid w:val="00B31CDD"/>
    <w:rsid w:val="00B32BAF"/>
    <w:rsid w:val="00B32D7A"/>
    <w:rsid w:val="00B337BC"/>
    <w:rsid w:val="00B3543B"/>
    <w:rsid w:val="00B35A57"/>
    <w:rsid w:val="00B35D62"/>
    <w:rsid w:val="00B36BC3"/>
    <w:rsid w:val="00B45727"/>
    <w:rsid w:val="00B46453"/>
    <w:rsid w:val="00B502ED"/>
    <w:rsid w:val="00B509EC"/>
    <w:rsid w:val="00B50AAA"/>
    <w:rsid w:val="00B5106B"/>
    <w:rsid w:val="00B51164"/>
    <w:rsid w:val="00B54FC2"/>
    <w:rsid w:val="00B55865"/>
    <w:rsid w:val="00B55CA0"/>
    <w:rsid w:val="00B57AF4"/>
    <w:rsid w:val="00B63145"/>
    <w:rsid w:val="00B64940"/>
    <w:rsid w:val="00B71663"/>
    <w:rsid w:val="00B726A3"/>
    <w:rsid w:val="00B72EA3"/>
    <w:rsid w:val="00B741D7"/>
    <w:rsid w:val="00B807E6"/>
    <w:rsid w:val="00B818A5"/>
    <w:rsid w:val="00B84D69"/>
    <w:rsid w:val="00B86238"/>
    <w:rsid w:val="00B86767"/>
    <w:rsid w:val="00B87226"/>
    <w:rsid w:val="00B87DE3"/>
    <w:rsid w:val="00B90F3F"/>
    <w:rsid w:val="00B93283"/>
    <w:rsid w:val="00B96DDD"/>
    <w:rsid w:val="00BA0241"/>
    <w:rsid w:val="00BA1676"/>
    <w:rsid w:val="00BA1D4D"/>
    <w:rsid w:val="00BA1DDB"/>
    <w:rsid w:val="00BA2FCF"/>
    <w:rsid w:val="00BA39D3"/>
    <w:rsid w:val="00BA50DC"/>
    <w:rsid w:val="00BA74AC"/>
    <w:rsid w:val="00BB1D9D"/>
    <w:rsid w:val="00BB30DF"/>
    <w:rsid w:val="00BB3A08"/>
    <w:rsid w:val="00BB3D3C"/>
    <w:rsid w:val="00BB564D"/>
    <w:rsid w:val="00BB7ACF"/>
    <w:rsid w:val="00BB7C74"/>
    <w:rsid w:val="00BC452E"/>
    <w:rsid w:val="00BC46CB"/>
    <w:rsid w:val="00BC5A01"/>
    <w:rsid w:val="00BC713A"/>
    <w:rsid w:val="00BC72BC"/>
    <w:rsid w:val="00BC7433"/>
    <w:rsid w:val="00BC7591"/>
    <w:rsid w:val="00BD0857"/>
    <w:rsid w:val="00BD0B25"/>
    <w:rsid w:val="00BD0EB8"/>
    <w:rsid w:val="00BD213D"/>
    <w:rsid w:val="00BD25B6"/>
    <w:rsid w:val="00BD3734"/>
    <w:rsid w:val="00BD52CF"/>
    <w:rsid w:val="00BD5AC7"/>
    <w:rsid w:val="00BD5EBC"/>
    <w:rsid w:val="00BD72BA"/>
    <w:rsid w:val="00BE1F84"/>
    <w:rsid w:val="00BE4359"/>
    <w:rsid w:val="00BE46C2"/>
    <w:rsid w:val="00BE781F"/>
    <w:rsid w:val="00BF1E54"/>
    <w:rsid w:val="00BF2033"/>
    <w:rsid w:val="00BF20D6"/>
    <w:rsid w:val="00BF3AE6"/>
    <w:rsid w:val="00BF450D"/>
    <w:rsid w:val="00BF623F"/>
    <w:rsid w:val="00BF7D6F"/>
    <w:rsid w:val="00C01006"/>
    <w:rsid w:val="00C01B5A"/>
    <w:rsid w:val="00C043EF"/>
    <w:rsid w:val="00C04B34"/>
    <w:rsid w:val="00C1278A"/>
    <w:rsid w:val="00C129D4"/>
    <w:rsid w:val="00C129F1"/>
    <w:rsid w:val="00C17946"/>
    <w:rsid w:val="00C201F6"/>
    <w:rsid w:val="00C20718"/>
    <w:rsid w:val="00C22436"/>
    <w:rsid w:val="00C225A5"/>
    <w:rsid w:val="00C22F8E"/>
    <w:rsid w:val="00C25E6C"/>
    <w:rsid w:val="00C2620B"/>
    <w:rsid w:val="00C26738"/>
    <w:rsid w:val="00C26BB8"/>
    <w:rsid w:val="00C27A19"/>
    <w:rsid w:val="00C31A9A"/>
    <w:rsid w:val="00C3229A"/>
    <w:rsid w:val="00C33100"/>
    <w:rsid w:val="00C34AA8"/>
    <w:rsid w:val="00C350CB"/>
    <w:rsid w:val="00C358C7"/>
    <w:rsid w:val="00C367A0"/>
    <w:rsid w:val="00C41296"/>
    <w:rsid w:val="00C41F3C"/>
    <w:rsid w:val="00C4313F"/>
    <w:rsid w:val="00C43607"/>
    <w:rsid w:val="00C445DD"/>
    <w:rsid w:val="00C46155"/>
    <w:rsid w:val="00C462B0"/>
    <w:rsid w:val="00C4762E"/>
    <w:rsid w:val="00C47BE6"/>
    <w:rsid w:val="00C47C69"/>
    <w:rsid w:val="00C50B96"/>
    <w:rsid w:val="00C52812"/>
    <w:rsid w:val="00C534EB"/>
    <w:rsid w:val="00C55242"/>
    <w:rsid w:val="00C55757"/>
    <w:rsid w:val="00C562E8"/>
    <w:rsid w:val="00C62654"/>
    <w:rsid w:val="00C62F86"/>
    <w:rsid w:val="00C648A5"/>
    <w:rsid w:val="00C64B65"/>
    <w:rsid w:val="00C654BE"/>
    <w:rsid w:val="00C65A85"/>
    <w:rsid w:val="00C70A4A"/>
    <w:rsid w:val="00C745FC"/>
    <w:rsid w:val="00C7680E"/>
    <w:rsid w:val="00C773D5"/>
    <w:rsid w:val="00C80528"/>
    <w:rsid w:val="00C80AFC"/>
    <w:rsid w:val="00C84814"/>
    <w:rsid w:val="00C85307"/>
    <w:rsid w:val="00C85318"/>
    <w:rsid w:val="00C872F3"/>
    <w:rsid w:val="00C900F0"/>
    <w:rsid w:val="00C91876"/>
    <w:rsid w:val="00C94549"/>
    <w:rsid w:val="00C956D5"/>
    <w:rsid w:val="00C95CBD"/>
    <w:rsid w:val="00C975F5"/>
    <w:rsid w:val="00C97F7B"/>
    <w:rsid w:val="00CA1901"/>
    <w:rsid w:val="00CA3F7D"/>
    <w:rsid w:val="00CA4094"/>
    <w:rsid w:val="00CA4BF2"/>
    <w:rsid w:val="00CA5DB4"/>
    <w:rsid w:val="00CB1A01"/>
    <w:rsid w:val="00CB22B5"/>
    <w:rsid w:val="00CB2A83"/>
    <w:rsid w:val="00CB3557"/>
    <w:rsid w:val="00CB6E0A"/>
    <w:rsid w:val="00CB6E94"/>
    <w:rsid w:val="00CC1732"/>
    <w:rsid w:val="00CC46AF"/>
    <w:rsid w:val="00CC48B8"/>
    <w:rsid w:val="00CC6E43"/>
    <w:rsid w:val="00CC7520"/>
    <w:rsid w:val="00CD09DA"/>
    <w:rsid w:val="00CD203B"/>
    <w:rsid w:val="00CD2905"/>
    <w:rsid w:val="00CD3AFE"/>
    <w:rsid w:val="00CD3FF6"/>
    <w:rsid w:val="00CD4AFD"/>
    <w:rsid w:val="00CD6B48"/>
    <w:rsid w:val="00CD7B36"/>
    <w:rsid w:val="00CE1AB7"/>
    <w:rsid w:val="00CE42B4"/>
    <w:rsid w:val="00CE73DD"/>
    <w:rsid w:val="00CE7A8F"/>
    <w:rsid w:val="00CF2D43"/>
    <w:rsid w:val="00CF3FDD"/>
    <w:rsid w:val="00CF4C1B"/>
    <w:rsid w:val="00CF4DEA"/>
    <w:rsid w:val="00CF67E1"/>
    <w:rsid w:val="00CF70A8"/>
    <w:rsid w:val="00CF7114"/>
    <w:rsid w:val="00D02A77"/>
    <w:rsid w:val="00D02BAC"/>
    <w:rsid w:val="00D036C9"/>
    <w:rsid w:val="00D10FDD"/>
    <w:rsid w:val="00D11AE6"/>
    <w:rsid w:val="00D11E05"/>
    <w:rsid w:val="00D12F46"/>
    <w:rsid w:val="00D133A9"/>
    <w:rsid w:val="00D14517"/>
    <w:rsid w:val="00D16234"/>
    <w:rsid w:val="00D17B31"/>
    <w:rsid w:val="00D20D92"/>
    <w:rsid w:val="00D2126E"/>
    <w:rsid w:val="00D21A2D"/>
    <w:rsid w:val="00D2526A"/>
    <w:rsid w:val="00D258EC"/>
    <w:rsid w:val="00D265E5"/>
    <w:rsid w:val="00D26A63"/>
    <w:rsid w:val="00D27461"/>
    <w:rsid w:val="00D27773"/>
    <w:rsid w:val="00D3033C"/>
    <w:rsid w:val="00D3277E"/>
    <w:rsid w:val="00D32A36"/>
    <w:rsid w:val="00D3396A"/>
    <w:rsid w:val="00D33B13"/>
    <w:rsid w:val="00D34B56"/>
    <w:rsid w:val="00D35397"/>
    <w:rsid w:val="00D35C18"/>
    <w:rsid w:val="00D36851"/>
    <w:rsid w:val="00D37F2D"/>
    <w:rsid w:val="00D409BD"/>
    <w:rsid w:val="00D415E0"/>
    <w:rsid w:val="00D4177F"/>
    <w:rsid w:val="00D428AE"/>
    <w:rsid w:val="00D438DC"/>
    <w:rsid w:val="00D458E4"/>
    <w:rsid w:val="00D46784"/>
    <w:rsid w:val="00D47F2A"/>
    <w:rsid w:val="00D50B42"/>
    <w:rsid w:val="00D52D1B"/>
    <w:rsid w:val="00D56B9B"/>
    <w:rsid w:val="00D60675"/>
    <w:rsid w:val="00D60798"/>
    <w:rsid w:val="00D610C5"/>
    <w:rsid w:val="00D61187"/>
    <w:rsid w:val="00D62C52"/>
    <w:rsid w:val="00D642CF"/>
    <w:rsid w:val="00D652A1"/>
    <w:rsid w:val="00D660FF"/>
    <w:rsid w:val="00D6760D"/>
    <w:rsid w:val="00D71341"/>
    <w:rsid w:val="00D714BE"/>
    <w:rsid w:val="00D71A0C"/>
    <w:rsid w:val="00D725DD"/>
    <w:rsid w:val="00D73035"/>
    <w:rsid w:val="00D73826"/>
    <w:rsid w:val="00D73D8B"/>
    <w:rsid w:val="00D74763"/>
    <w:rsid w:val="00D77747"/>
    <w:rsid w:val="00D81465"/>
    <w:rsid w:val="00D81788"/>
    <w:rsid w:val="00D81F4E"/>
    <w:rsid w:val="00D833D9"/>
    <w:rsid w:val="00D83C93"/>
    <w:rsid w:val="00D83D4E"/>
    <w:rsid w:val="00D85778"/>
    <w:rsid w:val="00D8704F"/>
    <w:rsid w:val="00D870A5"/>
    <w:rsid w:val="00D8742B"/>
    <w:rsid w:val="00D9338F"/>
    <w:rsid w:val="00D93DA5"/>
    <w:rsid w:val="00D94EC6"/>
    <w:rsid w:val="00D95950"/>
    <w:rsid w:val="00D97665"/>
    <w:rsid w:val="00D97D6D"/>
    <w:rsid w:val="00D97E2B"/>
    <w:rsid w:val="00DA18EF"/>
    <w:rsid w:val="00DA52E9"/>
    <w:rsid w:val="00DA6369"/>
    <w:rsid w:val="00DA7847"/>
    <w:rsid w:val="00DA7DA9"/>
    <w:rsid w:val="00DB016C"/>
    <w:rsid w:val="00DB3523"/>
    <w:rsid w:val="00DB462C"/>
    <w:rsid w:val="00DB4C8C"/>
    <w:rsid w:val="00DB56D9"/>
    <w:rsid w:val="00DB76F2"/>
    <w:rsid w:val="00DC079D"/>
    <w:rsid w:val="00DC20C5"/>
    <w:rsid w:val="00DC2F93"/>
    <w:rsid w:val="00DC3714"/>
    <w:rsid w:val="00DC4221"/>
    <w:rsid w:val="00DC45ED"/>
    <w:rsid w:val="00DC4D77"/>
    <w:rsid w:val="00DC503F"/>
    <w:rsid w:val="00DC665D"/>
    <w:rsid w:val="00DD0F3D"/>
    <w:rsid w:val="00DD169C"/>
    <w:rsid w:val="00DD24AA"/>
    <w:rsid w:val="00DD4708"/>
    <w:rsid w:val="00DD5C15"/>
    <w:rsid w:val="00DD5D44"/>
    <w:rsid w:val="00DD5F22"/>
    <w:rsid w:val="00DD75E1"/>
    <w:rsid w:val="00DD7C40"/>
    <w:rsid w:val="00DE060F"/>
    <w:rsid w:val="00DE292F"/>
    <w:rsid w:val="00DE2C18"/>
    <w:rsid w:val="00DE42D1"/>
    <w:rsid w:val="00DE58E2"/>
    <w:rsid w:val="00DE6AA3"/>
    <w:rsid w:val="00DF01E2"/>
    <w:rsid w:val="00DF3C06"/>
    <w:rsid w:val="00DF4B2B"/>
    <w:rsid w:val="00DF5153"/>
    <w:rsid w:val="00E00F94"/>
    <w:rsid w:val="00E0197C"/>
    <w:rsid w:val="00E034FF"/>
    <w:rsid w:val="00E03810"/>
    <w:rsid w:val="00E03F2F"/>
    <w:rsid w:val="00E0796A"/>
    <w:rsid w:val="00E1003A"/>
    <w:rsid w:val="00E11403"/>
    <w:rsid w:val="00E11A0F"/>
    <w:rsid w:val="00E12775"/>
    <w:rsid w:val="00E1300F"/>
    <w:rsid w:val="00E1308D"/>
    <w:rsid w:val="00E132AD"/>
    <w:rsid w:val="00E1332D"/>
    <w:rsid w:val="00E13B1A"/>
    <w:rsid w:val="00E14C5B"/>
    <w:rsid w:val="00E151D9"/>
    <w:rsid w:val="00E1779C"/>
    <w:rsid w:val="00E20356"/>
    <w:rsid w:val="00E22C82"/>
    <w:rsid w:val="00E23D3F"/>
    <w:rsid w:val="00E23E22"/>
    <w:rsid w:val="00E25694"/>
    <w:rsid w:val="00E25F37"/>
    <w:rsid w:val="00E26D8F"/>
    <w:rsid w:val="00E27133"/>
    <w:rsid w:val="00E30F54"/>
    <w:rsid w:val="00E31C69"/>
    <w:rsid w:val="00E32136"/>
    <w:rsid w:val="00E3231C"/>
    <w:rsid w:val="00E345F6"/>
    <w:rsid w:val="00E354BC"/>
    <w:rsid w:val="00E35A31"/>
    <w:rsid w:val="00E3684C"/>
    <w:rsid w:val="00E42972"/>
    <w:rsid w:val="00E42F45"/>
    <w:rsid w:val="00E4558F"/>
    <w:rsid w:val="00E45BF1"/>
    <w:rsid w:val="00E467B6"/>
    <w:rsid w:val="00E46D08"/>
    <w:rsid w:val="00E47229"/>
    <w:rsid w:val="00E50423"/>
    <w:rsid w:val="00E50465"/>
    <w:rsid w:val="00E50C4C"/>
    <w:rsid w:val="00E5117B"/>
    <w:rsid w:val="00E54AC7"/>
    <w:rsid w:val="00E56BE7"/>
    <w:rsid w:val="00E619FE"/>
    <w:rsid w:val="00E62317"/>
    <w:rsid w:val="00E63A4A"/>
    <w:rsid w:val="00E64540"/>
    <w:rsid w:val="00E64AAE"/>
    <w:rsid w:val="00E67DE9"/>
    <w:rsid w:val="00E71D45"/>
    <w:rsid w:val="00E759FE"/>
    <w:rsid w:val="00E8125D"/>
    <w:rsid w:val="00E83423"/>
    <w:rsid w:val="00E841E1"/>
    <w:rsid w:val="00E8556C"/>
    <w:rsid w:val="00E8585C"/>
    <w:rsid w:val="00E86747"/>
    <w:rsid w:val="00E86CF5"/>
    <w:rsid w:val="00E879C4"/>
    <w:rsid w:val="00E91929"/>
    <w:rsid w:val="00E925BA"/>
    <w:rsid w:val="00E93BC1"/>
    <w:rsid w:val="00E95A9B"/>
    <w:rsid w:val="00E96CE8"/>
    <w:rsid w:val="00EA0962"/>
    <w:rsid w:val="00EA0B4D"/>
    <w:rsid w:val="00EA0D92"/>
    <w:rsid w:val="00EA2A10"/>
    <w:rsid w:val="00EA2B92"/>
    <w:rsid w:val="00EA4665"/>
    <w:rsid w:val="00EA474A"/>
    <w:rsid w:val="00EA4BBB"/>
    <w:rsid w:val="00EB03A0"/>
    <w:rsid w:val="00EB087F"/>
    <w:rsid w:val="00EB0FAD"/>
    <w:rsid w:val="00EB1C4D"/>
    <w:rsid w:val="00EB21CB"/>
    <w:rsid w:val="00EB3C88"/>
    <w:rsid w:val="00EB40D5"/>
    <w:rsid w:val="00EB4223"/>
    <w:rsid w:val="00EB4281"/>
    <w:rsid w:val="00EB501B"/>
    <w:rsid w:val="00EB77C1"/>
    <w:rsid w:val="00EC006B"/>
    <w:rsid w:val="00EC2B3C"/>
    <w:rsid w:val="00EC3472"/>
    <w:rsid w:val="00EC3B0E"/>
    <w:rsid w:val="00EC4D5A"/>
    <w:rsid w:val="00EC4F92"/>
    <w:rsid w:val="00EC7132"/>
    <w:rsid w:val="00ED0102"/>
    <w:rsid w:val="00ED0AAC"/>
    <w:rsid w:val="00ED116D"/>
    <w:rsid w:val="00ED254C"/>
    <w:rsid w:val="00ED3752"/>
    <w:rsid w:val="00ED508C"/>
    <w:rsid w:val="00EE14F0"/>
    <w:rsid w:val="00EE1EA3"/>
    <w:rsid w:val="00EE25DA"/>
    <w:rsid w:val="00EE79BA"/>
    <w:rsid w:val="00EF0202"/>
    <w:rsid w:val="00EF1522"/>
    <w:rsid w:val="00EF1618"/>
    <w:rsid w:val="00EF783A"/>
    <w:rsid w:val="00EF7C12"/>
    <w:rsid w:val="00F000CE"/>
    <w:rsid w:val="00F00A95"/>
    <w:rsid w:val="00F00E20"/>
    <w:rsid w:val="00F01821"/>
    <w:rsid w:val="00F018C5"/>
    <w:rsid w:val="00F0259A"/>
    <w:rsid w:val="00F02627"/>
    <w:rsid w:val="00F04273"/>
    <w:rsid w:val="00F05CE9"/>
    <w:rsid w:val="00F05E05"/>
    <w:rsid w:val="00F0718F"/>
    <w:rsid w:val="00F100B7"/>
    <w:rsid w:val="00F10AAB"/>
    <w:rsid w:val="00F11BB2"/>
    <w:rsid w:val="00F13CA0"/>
    <w:rsid w:val="00F13CE0"/>
    <w:rsid w:val="00F1403E"/>
    <w:rsid w:val="00F15743"/>
    <w:rsid w:val="00F16D9B"/>
    <w:rsid w:val="00F1783B"/>
    <w:rsid w:val="00F20F43"/>
    <w:rsid w:val="00F21996"/>
    <w:rsid w:val="00F22C51"/>
    <w:rsid w:val="00F2587B"/>
    <w:rsid w:val="00F25CD2"/>
    <w:rsid w:val="00F265FA"/>
    <w:rsid w:val="00F26721"/>
    <w:rsid w:val="00F27375"/>
    <w:rsid w:val="00F27DA4"/>
    <w:rsid w:val="00F312B7"/>
    <w:rsid w:val="00F336F1"/>
    <w:rsid w:val="00F3419B"/>
    <w:rsid w:val="00F3530E"/>
    <w:rsid w:val="00F360D7"/>
    <w:rsid w:val="00F404D6"/>
    <w:rsid w:val="00F405B1"/>
    <w:rsid w:val="00F4191D"/>
    <w:rsid w:val="00F43D8C"/>
    <w:rsid w:val="00F45250"/>
    <w:rsid w:val="00F45D1D"/>
    <w:rsid w:val="00F47E7F"/>
    <w:rsid w:val="00F52CCD"/>
    <w:rsid w:val="00F52D54"/>
    <w:rsid w:val="00F53080"/>
    <w:rsid w:val="00F53D93"/>
    <w:rsid w:val="00F543B0"/>
    <w:rsid w:val="00F56D80"/>
    <w:rsid w:val="00F57323"/>
    <w:rsid w:val="00F575F1"/>
    <w:rsid w:val="00F6241B"/>
    <w:rsid w:val="00F644AA"/>
    <w:rsid w:val="00F64B2D"/>
    <w:rsid w:val="00F65241"/>
    <w:rsid w:val="00F6535D"/>
    <w:rsid w:val="00F67659"/>
    <w:rsid w:val="00F70AB9"/>
    <w:rsid w:val="00F7143B"/>
    <w:rsid w:val="00F72DD8"/>
    <w:rsid w:val="00F738E4"/>
    <w:rsid w:val="00F75FF3"/>
    <w:rsid w:val="00F7654F"/>
    <w:rsid w:val="00F770DF"/>
    <w:rsid w:val="00F77127"/>
    <w:rsid w:val="00F812F3"/>
    <w:rsid w:val="00F842FE"/>
    <w:rsid w:val="00F85474"/>
    <w:rsid w:val="00F905D4"/>
    <w:rsid w:val="00F90F99"/>
    <w:rsid w:val="00F92F92"/>
    <w:rsid w:val="00F965A5"/>
    <w:rsid w:val="00F968F8"/>
    <w:rsid w:val="00F97C14"/>
    <w:rsid w:val="00FA170F"/>
    <w:rsid w:val="00FA1966"/>
    <w:rsid w:val="00FA2CBA"/>
    <w:rsid w:val="00FA378F"/>
    <w:rsid w:val="00FA43BF"/>
    <w:rsid w:val="00FA4704"/>
    <w:rsid w:val="00FA6019"/>
    <w:rsid w:val="00FB0E50"/>
    <w:rsid w:val="00FB18A5"/>
    <w:rsid w:val="00FB226C"/>
    <w:rsid w:val="00FB36EF"/>
    <w:rsid w:val="00FB4D5F"/>
    <w:rsid w:val="00FB57AA"/>
    <w:rsid w:val="00FB62A2"/>
    <w:rsid w:val="00FB6652"/>
    <w:rsid w:val="00FB74EC"/>
    <w:rsid w:val="00FC0C18"/>
    <w:rsid w:val="00FC14C4"/>
    <w:rsid w:val="00FC1C38"/>
    <w:rsid w:val="00FC283A"/>
    <w:rsid w:val="00FC2DEF"/>
    <w:rsid w:val="00FC55C3"/>
    <w:rsid w:val="00FC5E8F"/>
    <w:rsid w:val="00FC7579"/>
    <w:rsid w:val="00FC75A6"/>
    <w:rsid w:val="00FD2888"/>
    <w:rsid w:val="00FD29C4"/>
    <w:rsid w:val="00FD2ABC"/>
    <w:rsid w:val="00FD307E"/>
    <w:rsid w:val="00FD3D0E"/>
    <w:rsid w:val="00FD6665"/>
    <w:rsid w:val="00FD7896"/>
    <w:rsid w:val="00FD78C1"/>
    <w:rsid w:val="00FD7C1A"/>
    <w:rsid w:val="00FD7C47"/>
    <w:rsid w:val="00FE17C5"/>
    <w:rsid w:val="00FE642B"/>
    <w:rsid w:val="00FE6CC2"/>
    <w:rsid w:val="00FF062C"/>
    <w:rsid w:val="00FF21B4"/>
    <w:rsid w:val="00FF63FF"/>
    <w:rsid w:val="00FF6D71"/>
    <w:rsid w:val="00FF7774"/>
    <w:rsid w:val="00FF7DF3"/>
    <w:rsid w:val="019B5E07"/>
    <w:rsid w:val="022129C7"/>
    <w:rsid w:val="029C44D0"/>
    <w:rsid w:val="029FB6BD"/>
    <w:rsid w:val="02D6B977"/>
    <w:rsid w:val="048F5612"/>
    <w:rsid w:val="049CC986"/>
    <w:rsid w:val="071ACC80"/>
    <w:rsid w:val="07DE2C1D"/>
    <w:rsid w:val="07EDAB02"/>
    <w:rsid w:val="083083BE"/>
    <w:rsid w:val="089D5813"/>
    <w:rsid w:val="089DFD92"/>
    <w:rsid w:val="09A59B2F"/>
    <w:rsid w:val="09A95189"/>
    <w:rsid w:val="09DC69C1"/>
    <w:rsid w:val="0B6DC674"/>
    <w:rsid w:val="0C15BF6E"/>
    <w:rsid w:val="0C802B46"/>
    <w:rsid w:val="0D5F98A8"/>
    <w:rsid w:val="0DB6926F"/>
    <w:rsid w:val="0DD8CF1C"/>
    <w:rsid w:val="109641FF"/>
    <w:rsid w:val="10CA5059"/>
    <w:rsid w:val="1410BE5E"/>
    <w:rsid w:val="15C6E88C"/>
    <w:rsid w:val="16C48F41"/>
    <w:rsid w:val="173A4BD1"/>
    <w:rsid w:val="178893D9"/>
    <w:rsid w:val="1851A97A"/>
    <w:rsid w:val="19F7BB37"/>
    <w:rsid w:val="1A24A125"/>
    <w:rsid w:val="1AE5A8B5"/>
    <w:rsid w:val="1D4D50F3"/>
    <w:rsid w:val="1E238B51"/>
    <w:rsid w:val="1E67AAA3"/>
    <w:rsid w:val="1F8FB24F"/>
    <w:rsid w:val="1F9AE172"/>
    <w:rsid w:val="1F9FB669"/>
    <w:rsid w:val="1FDBBC82"/>
    <w:rsid w:val="1FFF1050"/>
    <w:rsid w:val="21A8498F"/>
    <w:rsid w:val="21B7A2D1"/>
    <w:rsid w:val="229A6937"/>
    <w:rsid w:val="22D00468"/>
    <w:rsid w:val="233B44BA"/>
    <w:rsid w:val="2537E175"/>
    <w:rsid w:val="25C376AD"/>
    <w:rsid w:val="2A228832"/>
    <w:rsid w:val="2A28537B"/>
    <w:rsid w:val="2C7B0192"/>
    <w:rsid w:val="2CC53478"/>
    <w:rsid w:val="2CDB1505"/>
    <w:rsid w:val="30D43DC6"/>
    <w:rsid w:val="319DF31B"/>
    <w:rsid w:val="31C31B8B"/>
    <w:rsid w:val="32108C83"/>
    <w:rsid w:val="323C345B"/>
    <w:rsid w:val="331848FE"/>
    <w:rsid w:val="340F15F4"/>
    <w:rsid w:val="360A85DF"/>
    <w:rsid w:val="361A67C2"/>
    <w:rsid w:val="36227C5E"/>
    <w:rsid w:val="3641751C"/>
    <w:rsid w:val="36A05EBB"/>
    <w:rsid w:val="36FFC680"/>
    <w:rsid w:val="37274139"/>
    <w:rsid w:val="388583F8"/>
    <w:rsid w:val="38EAE0A0"/>
    <w:rsid w:val="39667DC5"/>
    <w:rsid w:val="3BCEE868"/>
    <w:rsid w:val="3D19860C"/>
    <w:rsid w:val="3EE9D0C4"/>
    <w:rsid w:val="3FE68D38"/>
    <w:rsid w:val="4109852C"/>
    <w:rsid w:val="415296AA"/>
    <w:rsid w:val="4183A0EC"/>
    <w:rsid w:val="41B52476"/>
    <w:rsid w:val="41E7288B"/>
    <w:rsid w:val="42CF7B36"/>
    <w:rsid w:val="42E8E879"/>
    <w:rsid w:val="43EF0B27"/>
    <w:rsid w:val="46615C8D"/>
    <w:rsid w:val="4667C108"/>
    <w:rsid w:val="4670D93D"/>
    <w:rsid w:val="4774DCF3"/>
    <w:rsid w:val="483694EF"/>
    <w:rsid w:val="495E6F72"/>
    <w:rsid w:val="49BAC28A"/>
    <w:rsid w:val="4D6A9043"/>
    <w:rsid w:val="4D95A665"/>
    <w:rsid w:val="4EAF24A0"/>
    <w:rsid w:val="4EC06250"/>
    <w:rsid w:val="4F91F82B"/>
    <w:rsid w:val="5166C4B2"/>
    <w:rsid w:val="516AB2EA"/>
    <w:rsid w:val="52C69430"/>
    <w:rsid w:val="53041714"/>
    <w:rsid w:val="55A1A7E5"/>
    <w:rsid w:val="5630DEF1"/>
    <w:rsid w:val="5639BF59"/>
    <w:rsid w:val="569DEE93"/>
    <w:rsid w:val="56D03D6E"/>
    <w:rsid w:val="59BA2FFF"/>
    <w:rsid w:val="59BEBB22"/>
    <w:rsid w:val="59FD9FF8"/>
    <w:rsid w:val="5A354485"/>
    <w:rsid w:val="5A5CEB3A"/>
    <w:rsid w:val="5C78CDA0"/>
    <w:rsid w:val="5D02EAE2"/>
    <w:rsid w:val="5D20D398"/>
    <w:rsid w:val="5DBAB177"/>
    <w:rsid w:val="5E73CEB5"/>
    <w:rsid w:val="5EFBF716"/>
    <w:rsid w:val="5F7BCD1D"/>
    <w:rsid w:val="5F8D7F63"/>
    <w:rsid w:val="61C7F589"/>
    <w:rsid w:val="624C29E6"/>
    <w:rsid w:val="62B01793"/>
    <w:rsid w:val="63060AB6"/>
    <w:rsid w:val="67494058"/>
    <w:rsid w:val="6843E244"/>
    <w:rsid w:val="6932FC1B"/>
    <w:rsid w:val="6B6B5E1E"/>
    <w:rsid w:val="6D91A978"/>
    <w:rsid w:val="6EA05A27"/>
    <w:rsid w:val="6EFB8AC7"/>
    <w:rsid w:val="6F0C44A2"/>
    <w:rsid w:val="6FEED978"/>
    <w:rsid w:val="7046B614"/>
    <w:rsid w:val="7135ACC7"/>
    <w:rsid w:val="7219E114"/>
    <w:rsid w:val="73D24EE4"/>
    <w:rsid w:val="741F53CA"/>
    <w:rsid w:val="742DFED6"/>
    <w:rsid w:val="74E6E91C"/>
    <w:rsid w:val="76BD8008"/>
    <w:rsid w:val="76E5EE27"/>
    <w:rsid w:val="77329139"/>
    <w:rsid w:val="77F7B71E"/>
    <w:rsid w:val="789DDC27"/>
    <w:rsid w:val="78B6DFC1"/>
    <w:rsid w:val="791E6C63"/>
    <w:rsid w:val="7A348F67"/>
    <w:rsid w:val="7A70700F"/>
    <w:rsid w:val="7BC04D03"/>
    <w:rsid w:val="7C8582D4"/>
    <w:rsid w:val="7D56C017"/>
    <w:rsid w:val="7D5929F4"/>
    <w:rsid w:val="7D8CE330"/>
    <w:rsid w:val="7EFA9851"/>
    <w:rsid w:val="7F620ACD"/>
    <w:rsid w:val="7F6DF6C3"/>
    <w:rsid w:val="7F73C2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460D2"/>
  <w15:chartTrackingRefBased/>
  <w15:docId w15:val="{98D0AFE3-C994-4604-9263-93BDCDD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76"/>
  </w:style>
  <w:style w:type="paragraph" w:styleId="Heading1">
    <w:name w:val="heading 1"/>
    <w:basedOn w:val="Normal"/>
    <w:next w:val="Normal"/>
    <w:link w:val="Heading1Char"/>
    <w:uiPriority w:val="9"/>
    <w:qFormat/>
    <w:rsid w:val="00721A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3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4"/>
    <w:unhideWhenUsed/>
    <w:qFormat/>
    <w:rsid w:val="00721A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2D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4"/>
    <w:rsid w:val="00721A2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21A20"/>
    <w:pPr>
      <w:ind w:left="720"/>
      <w:contextualSpacing/>
    </w:pPr>
  </w:style>
  <w:style w:type="paragraph" w:styleId="ListBullet">
    <w:name w:val="List Bullet"/>
    <w:basedOn w:val="Normal"/>
    <w:unhideWhenUsed/>
    <w:qFormat/>
    <w:rsid w:val="00721A20"/>
    <w:pPr>
      <w:spacing w:after="120" w:line="240" w:lineRule="auto"/>
    </w:pPr>
    <w:rPr>
      <w:sz w:val="24"/>
      <w:szCs w:val="24"/>
    </w:rPr>
  </w:style>
  <w:style w:type="paragraph" w:customStyle="1" w:styleId="Texttable">
    <w:name w:val="Text table"/>
    <w:basedOn w:val="Normal"/>
    <w:link w:val="TexttableChar"/>
    <w:qFormat/>
    <w:rsid w:val="00721A20"/>
    <w:pPr>
      <w:spacing w:before="120" w:after="120" w:line="240" w:lineRule="auto"/>
    </w:pPr>
    <w:rPr>
      <w:sz w:val="24"/>
      <w:szCs w:val="24"/>
    </w:rPr>
  </w:style>
  <w:style w:type="character" w:customStyle="1" w:styleId="TexttableChar">
    <w:name w:val="Text table Char"/>
    <w:basedOn w:val="DefaultParagraphFont"/>
    <w:link w:val="Texttable"/>
    <w:rsid w:val="00721A20"/>
    <w:rPr>
      <w:sz w:val="24"/>
      <w:szCs w:val="24"/>
    </w:rPr>
  </w:style>
  <w:style w:type="character" w:customStyle="1" w:styleId="Heading1Char">
    <w:name w:val="Heading 1 Char"/>
    <w:basedOn w:val="DefaultParagraphFont"/>
    <w:link w:val="Heading1"/>
    <w:uiPriority w:val="9"/>
    <w:rsid w:val="00721A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347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248B1"/>
    <w:rPr>
      <w:color w:val="0563C1"/>
      <w:u w:val="single"/>
    </w:rPr>
  </w:style>
  <w:style w:type="character" w:styleId="CommentReference">
    <w:name w:val="annotation reference"/>
    <w:basedOn w:val="DefaultParagraphFont"/>
    <w:uiPriority w:val="99"/>
    <w:semiHidden/>
    <w:unhideWhenUsed/>
    <w:rsid w:val="009114FF"/>
    <w:rPr>
      <w:sz w:val="16"/>
      <w:szCs w:val="16"/>
    </w:rPr>
  </w:style>
  <w:style w:type="paragraph" w:styleId="CommentText">
    <w:name w:val="annotation text"/>
    <w:basedOn w:val="Normal"/>
    <w:link w:val="CommentTextChar"/>
    <w:uiPriority w:val="99"/>
    <w:unhideWhenUsed/>
    <w:rsid w:val="009114FF"/>
    <w:pPr>
      <w:spacing w:line="240" w:lineRule="auto"/>
    </w:pPr>
    <w:rPr>
      <w:sz w:val="20"/>
      <w:szCs w:val="20"/>
    </w:rPr>
  </w:style>
  <w:style w:type="character" w:customStyle="1" w:styleId="CommentTextChar">
    <w:name w:val="Comment Text Char"/>
    <w:basedOn w:val="DefaultParagraphFont"/>
    <w:link w:val="CommentText"/>
    <w:uiPriority w:val="99"/>
    <w:rsid w:val="009114FF"/>
    <w:rPr>
      <w:sz w:val="20"/>
      <w:szCs w:val="20"/>
    </w:rPr>
  </w:style>
  <w:style w:type="paragraph" w:styleId="CommentSubject">
    <w:name w:val="annotation subject"/>
    <w:basedOn w:val="CommentText"/>
    <w:next w:val="CommentText"/>
    <w:link w:val="CommentSubjectChar"/>
    <w:uiPriority w:val="99"/>
    <w:semiHidden/>
    <w:unhideWhenUsed/>
    <w:rsid w:val="009114FF"/>
    <w:rPr>
      <w:b/>
      <w:bCs/>
    </w:rPr>
  </w:style>
  <w:style w:type="character" w:customStyle="1" w:styleId="CommentSubjectChar">
    <w:name w:val="Comment Subject Char"/>
    <w:basedOn w:val="CommentTextChar"/>
    <w:link w:val="CommentSubject"/>
    <w:uiPriority w:val="99"/>
    <w:semiHidden/>
    <w:rsid w:val="009114FF"/>
    <w:rPr>
      <w:b/>
      <w:bCs/>
      <w:sz w:val="20"/>
      <w:szCs w:val="20"/>
    </w:rPr>
  </w:style>
  <w:style w:type="paragraph" w:styleId="BalloonText">
    <w:name w:val="Balloon Text"/>
    <w:basedOn w:val="Normal"/>
    <w:link w:val="BalloonTextChar"/>
    <w:uiPriority w:val="99"/>
    <w:semiHidden/>
    <w:unhideWhenUsed/>
    <w:rsid w:val="00911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FF"/>
    <w:rPr>
      <w:rFonts w:ascii="Segoe UI" w:hAnsi="Segoe UI" w:cs="Segoe UI"/>
      <w:sz w:val="18"/>
      <w:szCs w:val="18"/>
    </w:rPr>
  </w:style>
  <w:style w:type="character" w:customStyle="1" w:styleId="Heading4Char">
    <w:name w:val="Heading 4 Char"/>
    <w:basedOn w:val="DefaultParagraphFont"/>
    <w:link w:val="Heading4"/>
    <w:uiPriority w:val="9"/>
    <w:rsid w:val="00772D2C"/>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A71BF"/>
    <w:rPr>
      <w:color w:val="954F72" w:themeColor="followedHyperlink"/>
      <w:u w:val="single"/>
    </w:rPr>
  </w:style>
  <w:style w:type="paragraph" w:styleId="Revision">
    <w:name w:val="Revision"/>
    <w:hidden/>
    <w:uiPriority w:val="99"/>
    <w:semiHidden/>
    <w:rsid w:val="00C91876"/>
    <w:pPr>
      <w:spacing w:after="0" w:line="240" w:lineRule="auto"/>
    </w:pPr>
  </w:style>
  <w:style w:type="paragraph" w:styleId="Header">
    <w:name w:val="header"/>
    <w:basedOn w:val="Normal"/>
    <w:link w:val="HeaderChar"/>
    <w:uiPriority w:val="99"/>
    <w:unhideWhenUsed/>
    <w:rsid w:val="00053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B9E"/>
  </w:style>
  <w:style w:type="paragraph" w:styleId="Footer">
    <w:name w:val="footer"/>
    <w:basedOn w:val="Normal"/>
    <w:link w:val="FooterChar"/>
    <w:uiPriority w:val="99"/>
    <w:unhideWhenUsed/>
    <w:rsid w:val="00053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B9E"/>
  </w:style>
  <w:style w:type="character" w:styleId="UnresolvedMention">
    <w:name w:val="Unresolved Mention"/>
    <w:basedOn w:val="DefaultParagraphFont"/>
    <w:uiPriority w:val="99"/>
    <w:semiHidden/>
    <w:unhideWhenUsed/>
    <w:rsid w:val="00187D19"/>
    <w:rPr>
      <w:color w:val="605E5C"/>
      <w:shd w:val="clear" w:color="auto" w:fill="E1DFDD"/>
    </w:rPr>
  </w:style>
  <w:style w:type="table" w:styleId="TableGrid">
    <w:name w:val="Table Grid"/>
    <w:basedOn w:val="TableNormal"/>
    <w:uiPriority w:val="59"/>
    <w:rsid w:val="00BF450D"/>
    <w:pPr>
      <w:spacing w:before="60" w:after="60" w:line="240" w:lineRule="auto"/>
    </w:pPr>
    <w:rPr>
      <w:rFonts w:ascii="Cambria" w:eastAsia="Times New Roman" w:hAnsi="Cambria" w:cs="Times New Roman"/>
      <w:sz w:val="18"/>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227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3210">
      <w:bodyDiv w:val="1"/>
      <w:marLeft w:val="0"/>
      <w:marRight w:val="0"/>
      <w:marTop w:val="0"/>
      <w:marBottom w:val="0"/>
      <w:divBdr>
        <w:top w:val="none" w:sz="0" w:space="0" w:color="auto"/>
        <w:left w:val="none" w:sz="0" w:space="0" w:color="auto"/>
        <w:bottom w:val="none" w:sz="0" w:space="0" w:color="auto"/>
        <w:right w:val="none" w:sz="0" w:space="0" w:color="auto"/>
      </w:divBdr>
    </w:div>
    <w:div w:id="322199894">
      <w:bodyDiv w:val="1"/>
      <w:marLeft w:val="0"/>
      <w:marRight w:val="0"/>
      <w:marTop w:val="0"/>
      <w:marBottom w:val="0"/>
      <w:divBdr>
        <w:top w:val="none" w:sz="0" w:space="0" w:color="auto"/>
        <w:left w:val="none" w:sz="0" w:space="0" w:color="auto"/>
        <w:bottom w:val="none" w:sz="0" w:space="0" w:color="auto"/>
        <w:right w:val="none" w:sz="0" w:space="0" w:color="auto"/>
      </w:divBdr>
    </w:div>
    <w:div w:id="525409363">
      <w:bodyDiv w:val="1"/>
      <w:marLeft w:val="0"/>
      <w:marRight w:val="0"/>
      <w:marTop w:val="0"/>
      <w:marBottom w:val="0"/>
      <w:divBdr>
        <w:top w:val="none" w:sz="0" w:space="0" w:color="auto"/>
        <w:left w:val="none" w:sz="0" w:space="0" w:color="auto"/>
        <w:bottom w:val="none" w:sz="0" w:space="0" w:color="auto"/>
        <w:right w:val="none" w:sz="0" w:space="0" w:color="auto"/>
      </w:divBdr>
      <w:divsChild>
        <w:div w:id="341980152">
          <w:marLeft w:val="0"/>
          <w:marRight w:val="0"/>
          <w:marTop w:val="0"/>
          <w:marBottom w:val="0"/>
          <w:divBdr>
            <w:top w:val="none" w:sz="0" w:space="0" w:color="auto"/>
            <w:left w:val="none" w:sz="0" w:space="0" w:color="auto"/>
            <w:bottom w:val="none" w:sz="0" w:space="0" w:color="auto"/>
            <w:right w:val="none" w:sz="0" w:space="0" w:color="auto"/>
          </w:divBdr>
        </w:div>
        <w:div w:id="1354189790">
          <w:marLeft w:val="0"/>
          <w:marRight w:val="0"/>
          <w:marTop w:val="0"/>
          <w:marBottom w:val="0"/>
          <w:divBdr>
            <w:top w:val="none" w:sz="0" w:space="0" w:color="auto"/>
            <w:left w:val="none" w:sz="0" w:space="0" w:color="auto"/>
            <w:bottom w:val="none" w:sz="0" w:space="0" w:color="auto"/>
            <w:right w:val="none" w:sz="0" w:space="0" w:color="auto"/>
          </w:divBdr>
        </w:div>
        <w:div w:id="2019960836">
          <w:marLeft w:val="0"/>
          <w:marRight w:val="0"/>
          <w:marTop w:val="0"/>
          <w:marBottom w:val="0"/>
          <w:divBdr>
            <w:top w:val="none" w:sz="0" w:space="0" w:color="auto"/>
            <w:left w:val="none" w:sz="0" w:space="0" w:color="auto"/>
            <w:bottom w:val="none" w:sz="0" w:space="0" w:color="auto"/>
            <w:right w:val="none" w:sz="0" w:space="0" w:color="auto"/>
          </w:divBdr>
        </w:div>
      </w:divsChild>
    </w:div>
    <w:div w:id="528108543">
      <w:bodyDiv w:val="1"/>
      <w:marLeft w:val="0"/>
      <w:marRight w:val="0"/>
      <w:marTop w:val="0"/>
      <w:marBottom w:val="0"/>
      <w:divBdr>
        <w:top w:val="none" w:sz="0" w:space="0" w:color="auto"/>
        <w:left w:val="none" w:sz="0" w:space="0" w:color="auto"/>
        <w:bottom w:val="none" w:sz="0" w:space="0" w:color="auto"/>
        <w:right w:val="none" w:sz="0" w:space="0" w:color="auto"/>
      </w:divBdr>
      <w:divsChild>
        <w:div w:id="346519442">
          <w:marLeft w:val="0"/>
          <w:marRight w:val="0"/>
          <w:marTop w:val="0"/>
          <w:marBottom w:val="0"/>
          <w:divBdr>
            <w:top w:val="none" w:sz="0" w:space="0" w:color="auto"/>
            <w:left w:val="none" w:sz="0" w:space="0" w:color="auto"/>
            <w:bottom w:val="none" w:sz="0" w:space="0" w:color="auto"/>
            <w:right w:val="none" w:sz="0" w:space="0" w:color="auto"/>
          </w:divBdr>
        </w:div>
        <w:div w:id="1598827167">
          <w:marLeft w:val="0"/>
          <w:marRight w:val="0"/>
          <w:marTop w:val="0"/>
          <w:marBottom w:val="0"/>
          <w:divBdr>
            <w:top w:val="none" w:sz="0" w:space="0" w:color="auto"/>
            <w:left w:val="none" w:sz="0" w:space="0" w:color="auto"/>
            <w:bottom w:val="none" w:sz="0" w:space="0" w:color="auto"/>
            <w:right w:val="none" w:sz="0" w:space="0" w:color="auto"/>
          </w:divBdr>
          <w:divsChild>
            <w:div w:id="1473861604">
              <w:marLeft w:val="0"/>
              <w:marRight w:val="0"/>
              <w:marTop w:val="30"/>
              <w:marBottom w:val="30"/>
              <w:divBdr>
                <w:top w:val="none" w:sz="0" w:space="0" w:color="auto"/>
                <w:left w:val="none" w:sz="0" w:space="0" w:color="auto"/>
                <w:bottom w:val="none" w:sz="0" w:space="0" w:color="auto"/>
                <w:right w:val="none" w:sz="0" w:space="0" w:color="auto"/>
              </w:divBdr>
              <w:divsChild>
                <w:div w:id="313221914">
                  <w:marLeft w:val="0"/>
                  <w:marRight w:val="0"/>
                  <w:marTop w:val="0"/>
                  <w:marBottom w:val="0"/>
                  <w:divBdr>
                    <w:top w:val="none" w:sz="0" w:space="0" w:color="auto"/>
                    <w:left w:val="none" w:sz="0" w:space="0" w:color="auto"/>
                    <w:bottom w:val="none" w:sz="0" w:space="0" w:color="auto"/>
                    <w:right w:val="none" w:sz="0" w:space="0" w:color="auto"/>
                  </w:divBdr>
                  <w:divsChild>
                    <w:div w:id="1118790547">
                      <w:marLeft w:val="0"/>
                      <w:marRight w:val="0"/>
                      <w:marTop w:val="0"/>
                      <w:marBottom w:val="0"/>
                      <w:divBdr>
                        <w:top w:val="none" w:sz="0" w:space="0" w:color="auto"/>
                        <w:left w:val="none" w:sz="0" w:space="0" w:color="auto"/>
                        <w:bottom w:val="none" w:sz="0" w:space="0" w:color="auto"/>
                        <w:right w:val="none" w:sz="0" w:space="0" w:color="auto"/>
                      </w:divBdr>
                    </w:div>
                  </w:divsChild>
                </w:div>
                <w:div w:id="413358924">
                  <w:marLeft w:val="0"/>
                  <w:marRight w:val="0"/>
                  <w:marTop w:val="0"/>
                  <w:marBottom w:val="0"/>
                  <w:divBdr>
                    <w:top w:val="none" w:sz="0" w:space="0" w:color="auto"/>
                    <w:left w:val="none" w:sz="0" w:space="0" w:color="auto"/>
                    <w:bottom w:val="none" w:sz="0" w:space="0" w:color="auto"/>
                    <w:right w:val="none" w:sz="0" w:space="0" w:color="auto"/>
                  </w:divBdr>
                  <w:divsChild>
                    <w:div w:id="448083502">
                      <w:marLeft w:val="0"/>
                      <w:marRight w:val="0"/>
                      <w:marTop w:val="0"/>
                      <w:marBottom w:val="0"/>
                      <w:divBdr>
                        <w:top w:val="none" w:sz="0" w:space="0" w:color="auto"/>
                        <w:left w:val="none" w:sz="0" w:space="0" w:color="auto"/>
                        <w:bottom w:val="none" w:sz="0" w:space="0" w:color="auto"/>
                        <w:right w:val="none" w:sz="0" w:space="0" w:color="auto"/>
                      </w:divBdr>
                    </w:div>
                  </w:divsChild>
                </w:div>
                <w:div w:id="491801898">
                  <w:marLeft w:val="0"/>
                  <w:marRight w:val="0"/>
                  <w:marTop w:val="0"/>
                  <w:marBottom w:val="0"/>
                  <w:divBdr>
                    <w:top w:val="none" w:sz="0" w:space="0" w:color="auto"/>
                    <w:left w:val="none" w:sz="0" w:space="0" w:color="auto"/>
                    <w:bottom w:val="none" w:sz="0" w:space="0" w:color="auto"/>
                    <w:right w:val="none" w:sz="0" w:space="0" w:color="auto"/>
                  </w:divBdr>
                  <w:divsChild>
                    <w:div w:id="1590698724">
                      <w:marLeft w:val="0"/>
                      <w:marRight w:val="0"/>
                      <w:marTop w:val="0"/>
                      <w:marBottom w:val="0"/>
                      <w:divBdr>
                        <w:top w:val="none" w:sz="0" w:space="0" w:color="auto"/>
                        <w:left w:val="none" w:sz="0" w:space="0" w:color="auto"/>
                        <w:bottom w:val="none" w:sz="0" w:space="0" w:color="auto"/>
                        <w:right w:val="none" w:sz="0" w:space="0" w:color="auto"/>
                      </w:divBdr>
                    </w:div>
                  </w:divsChild>
                </w:div>
                <w:div w:id="757486746">
                  <w:marLeft w:val="0"/>
                  <w:marRight w:val="0"/>
                  <w:marTop w:val="0"/>
                  <w:marBottom w:val="0"/>
                  <w:divBdr>
                    <w:top w:val="none" w:sz="0" w:space="0" w:color="auto"/>
                    <w:left w:val="none" w:sz="0" w:space="0" w:color="auto"/>
                    <w:bottom w:val="none" w:sz="0" w:space="0" w:color="auto"/>
                    <w:right w:val="none" w:sz="0" w:space="0" w:color="auto"/>
                  </w:divBdr>
                  <w:divsChild>
                    <w:div w:id="2121995743">
                      <w:marLeft w:val="0"/>
                      <w:marRight w:val="0"/>
                      <w:marTop w:val="0"/>
                      <w:marBottom w:val="0"/>
                      <w:divBdr>
                        <w:top w:val="none" w:sz="0" w:space="0" w:color="auto"/>
                        <w:left w:val="none" w:sz="0" w:space="0" w:color="auto"/>
                        <w:bottom w:val="none" w:sz="0" w:space="0" w:color="auto"/>
                        <w:right w:val="none" w:sz="0" w:space="0" w:color="auto"/>
                      </w:divBdr>
                    </w:div>
                  </w:divsChild>
                </w:div>
                <w:div w:id="1159155006">
                  <w:marLeft w:val="0"/>
                  <w:marRight w:val="0"/>
                  <w:marTop w:val="0"/>
                  <w:marBottom w:val="0"/>
                  <w:divBdr>
                    <w:top w:val="none" w:sz="0" w:space="0" w:color="auto"/>
                    <w:left w:val="none" w:sz="0" w:space="0" w:color="auto"/>
                    <w:bottom w:val="none" w:sz="0" w:space="0" w:color="auto"/>
                    <w:right w:val="none" w:sz="0" w:space="0" w:color="auto"/>
                  </w:divBdr>
                  <w:divsChild>
                    <w:div w:id="2051101630">
                      <w:marLeft w:val="0"/>
                      <w:marRight w:val="0"/>
                      <w:marTop w:val="0"/>
                      <w:marBottom w:val="0"/>
                      <w:divBdr>
                        <w:top w:val="none" w:sz="0" w:space="0" w:color="auto"/>
                        <w:left w:val="none" w:sz="0" w:space="0" w:color="auto"/>
                        <w:bottom w:val="none" w:sz="0" w:space="0" w:color="auto"/>
                        <w:right w:val="none" w:sz="0" w:space="0" w:color="auto"/>
                      </w:divBdr>
                    </w:div>
                  </w:divsChild>
                </w:div>
                <w:div w:id="1324355042">
                  <w:marLeft w:val="0"/>
                  <w:marRight w:val="0"/>
                  <w:marTop w:val="0"/>
                  <w:marBottom w:val="0"/>
                  <w:divBdr>
                    <w:top w:val="none" w:sz="0" w:space="0" w:color="auto"/>
                    <w:left w:val="none" w:sz="0" w:space="0" w:color="auto"/>
                    <w:bottom w:val="none" w:sz="0" w:space="0" w:color="auto"/>
                    <w:right w:val="none" w:sz="0" w:space="0" w:color="auto"/>
                  </w:divBdr>
                  <w:divsChild>
                    <w:div w:id="1058166075">
                      <w:marLeft w:val="0"/>
                      <w:marRight w:val="0"/>
                      <w:marTop w:val="0"/>
                      <w:marBottom w:val="0"/>
                      <w:divBdr>
                        <w:top w:val="none" w:sz="0" w:space="0" w:color="auto"/>
                        <w:left w:val="none" w:sz="0" w:space="0" w:color="auto"/>
                        <w:bottom w:val="none" w:sz="0" w:space="0" w:color="auto"/>
                        <w:right w:val="none" w:sz="0" w:space="0" w:color="auto"/>
                      </w:divBdr>
                    </w:div>
                  </w:divsChild>
                </w:div>
                <w:div w:id="1401251670">
                  <w:marLeft w:val="0"/>
                  <w:marRight w:val="0"/>
                  <w:marTop w:val="0"/>
                  <w:marBottom w:val="0"/>
                  <w:divBdr>
                    <w:top w:val="none" w:sz="0" w:space="0" w:color="auto"/>
                    <w:left w:val="none" w:sz="0" w:space="0" w:color="auto"/>
                    <w:bottom w:val="none" w:sz="0" w:space="0" w:color="auto"/>
                    <w:right w:val="none" w:sz="0" w:space="0" w:color="auto"/>
                  </w:divBdr>
                  <w:divsChild>
                    <w:div w:id="1508793082">
                      <w:marLeft w:val="0"/>
                      <w:marRight w:val="0"/>
                      <w:marTop w:val="0"/>
                      <w:marBottom w:val="0"/>
                      <w:divBdr>
                        <w:top w:val="none" w:sz="0" w:space="0" w:color="auto"/>
                        <w:left w:val="none" w:sz="0" w:space="0" w:color="auto"/>
                        <w:bottom w:val="none" w:sz="0" w:space="0" w:color="auto"/>
                        <w:right w:val="none" w:sz="0" w:space="0" w:color="auto"/>
                      </w:divBdr>
                    </w:div>
                  </w:divsChild>
                </w:div>
                <w:div w:id="1403720207">
                  <w:marLeft w:val="0"/>
                  <w:marRight w:val="0"/>
                  <w:marTop w:val="0"/>
                  <w:marBottom w:val="0"/>
                  <w:divBdr>
                    <w:top w:val="none" w:sz="0" w:space="0" w:color="auto"/>
                    <w:left w:val="none" w:sz="0" w:space="0" w:color="auto"/>
                    <w:bottom w:val="none" w:sz="0" w:space="0" w:color="auto"/>
                    <w:right w:val="none" w:sz="0" w:space="0" w:color="auto"/>
                  </w:divBdr>
                  <w:divsChild>
                    <w:div w:id="1359429372">
                      <w:marLeft w:val="0"/>
                      <w:marRight w:val="0"/>
                      <w:marTop w:val="0"/>
                      <w:marBottom w:val="0"/>
                      <w:divBdr>
                        <w:top w:val="none" w:sz="0" w:space="0" w:color="auto"/>
                        <w:left w:val="none" w:sz="0" w:space="0" w:color="auto"/>
                        <w:bottom w:val="none" w:sz="0" w:space="0" w:color="auto"/>
                        <w:right w:val="none" w:sz="0" w:space="0" w:color="auto"/>
                      </w:divBdr>
                    </w:div>
                  </w:divsChild>
                </w:div>
                <w:div w:id="1440838548">
                  <w:marLeft w:val="0"/>
                  <w:marRight w:val="0"/>
                  <w:marTop w:val="0"/>
                  <w:marBottom w:val="0"/>
                  <w:divBdr>
                    <w:top w:val="none" w:sz="0" w:space="0" w:color="auto"/>
                    <w:left w:val="none" w:sz="0" w:space="0" w:color="auto"/>
                    <w:bottom w:val="none" w:sz="0" w:space="0" w:color="auto"/>
                    <w:right w:val="none" w:sz="0" w:space="0" w:color="auto"/>
                  </w:divBdr>
                  <w:divsChild>
                    <w:div w:id="1942950245">
                      <w:marLeft w:val="0"/>
                      <w:marRight w:val="0"/>
                      <w:marTop w:val="0"/>
                      <w:marBottom w:val="0"/>
                      <w:divBdr>
                        <w:top w:val="none" w:sz="0" w:space="0" w:color="auto"/>
                        <w:left w:val="none" w:sz="0" w:space="0" w:color="auto"/>
                        <w:bottom w:val="none" w:sz="0" w:space="0" w:color="auto"/>
                        <w:right w:val="none" w:sz="0" w:space="0" w:color="auto"/>
                      </w:divBdr>
                    </w:div>
                  </w:divsChild>
                </w:div>
                <w:div w:id="1470853834">
                  <w:marLeft w:val="0"/>
                  <w:marRight w:val="0"/>
                  <w:marTop w:val="0"/>
                  <w:marBottom w:val="0"/>
                  <w:divBdr>
                    <w:top w:val="none" w:sz="0" w:space="0" w:color="auto"/>
                    <w:left w:val="none" w:sz="0" w:space="0" w:color="auto"/>
                    <w:bottom w:val="none" w:sz="0" w:space="0" w:color="auto"/>
                    <w:right w:val="none" w:sz="0" w:space="0" w:color="auto"/>
                  </w:divBdr>
                  <w:divsChild>
                    <w:div w:id="86073913">
                      <w:marLeft w:val="0"/>
                      <w:marRight w:val="0"/>
                      <w:marTop w:val="0"/>
                      <w:marBottom w:val="0"/>
                      <w:divBdr>
                        <w:top w:val="none" w:sz="0" w:space="0" w:color="auto"/>
                        <w:left w:val="none" w:sz="0" w:space="0" w:color="auto"/>
                        <w:bottom w:val="none" w:sz="0" w:space="0" w:color="auto"/>
                        <w:right w:val="none" w:sz="0" w:space="0" w:color="auto"/>
                      </w:divBdr>
                    </w:div>
                  </w:divsChild>
                </w:div>
                <w:div w:id="1746419449">
                  <w:marLeft w:val="0"/>
                  <w:marRight w:val="0"/>
                  <w:marTop w:val="0"/>
                  <w:marBottom w:val="0"/>
                  <w:divBdr>
                    <w:top w:val="none" w:sz="0" w:space="0" w:color="auto"/>
                    <w:left w:val="none" w:sz="0" w:space="0" w:color="auto"/>
                    <w:bottom w:val="none" w:sz="0" w:space="0" w:color="auto"/>
                    <w:right w:val="none" w:sz="0" w:space="0" w:color="auto"/>
                  </w:divBdr>
                  <w:divsChild>
                    <w:div w:id="1467964352">
                      <w:marLeft w:val="0"/>
                      <w:marRight w:val="0"/>
                      <w:marTop w:val="0"/>
                      <w:marBottom w:val="0"/>
                      <w:divBdr>
                        <w:top w:val="none" w:sz="0" w:space="0" w:color="auto"/>
                        <w:left w:val="none" w:sz="0" w:space="0" w:color="auto"/>
                        <w:bottom w:val="none" w:sz="0" w:space="0" w:color="auto"/>
                        <w:right w:val="none" w:sz="0" w:space="0" w:color="auto"/>
                      </w:divBdr>
                    </w:div>
                  </w:divsChild>
                </w:div>
                <w:div w:id="1822767177">
                  <w:marLeft w:val="0"/>
                  <w:marRight w:val="0"/>
                  <w:marTop w:val="0"/>
                  <w:marBottom w:val="0"/>
                  <w:divBdr>
                    <w:top w:val="none" w:sz="0" w:space="0" w:color="auto"/>
                    <w:left w:val="none" w:sz="0" w:space="0" w:color="auto"/>
                    <w:bottom w:val="none" w:sz="0" w:space="0" w:color="auto"/>
                    <w:right w:val="none" w:sz="0" w:space="0" w:color="auto"/>
                  </w:divBdr>
                  <w:divsChild>
                    <w:div w:id="101535012">
                      <w:marLeft w:val="0"/>
                      <w:marRight w:val="0"/>
                      <w:marTop w:val="0"/>
                      <w:marBottom w:val="0"/>
                      <w:divBdr>
                        <w:top w:val="none" w:sz="0" w:space="0" w:color="auto"/>
                        <w:left w:val="none" w:sz="0" w:space="0" w:color="auto"/>
                        <w:bottom w:val="none" w:sz="0" w:space="0" w:color="auto"/>
                        <w:right w:val="none" w:sz="0" w:space="0" w:color="auto"/>
                      </w:divBdr>
                    </w:div>
                  </w:divsChild>
                </w:div>
                <w:div w:id="1908955518">
                  <w:marLeft w:val="0"/>
                  <w:marRight w:val="0"/>
                  <w:marTop w:val="0"/>
                  <w:marBottom w:val="0"/>
                  <w:divBdr>
                    <w:top w:val="none" w:sz="0" w:space="0" w:color="auto"/>
                    <w:left w:val="none" w:sz="0" w:space="0" w:color="auto"/>
                    <w:bottom w:val="none" w:sz="0" w:space="0" w:color="auto"/>
                    <w:right w:val="none" w:sz="0" w:space="0" w:color="auto"/>
                  </w:divBdr>
                  <w:divsChild>
                    <w:div w:id="585768521">
                      <w:marLeft w:val="0"/>
                      <w:marRight w:val="0"/>
                      <w:marTop w:val="0"/>
                      <w:marBottom w:val="0"/>
                      <w:divBdr>
                        <w:top w:val="none" w:sz="0" w:space="0" w:color="auto"/>
                        <w:left w:val="none" w:sz="0" w:space="0" w:color="auto"/>
                        <w:bottom w:val="none" w:sz="0" w:space="0" w:color="auto"/>
                        <w:right w:val="none" w:sz="0" w:space="0" w:color="auto"/>
                      </w:divBdr>
                    </w:div>
                  </w:divsChild>
                </w:div>
                <w:div w:id="2006665007">
                  <w:marLeft w:val="0"/>
                  <w:marRight w:val="0"/>
                  <w:marTop w:val="0"/>
                  <w:marBottom w:val="0"/>
                  <w:divBdr>
                    <w:top w:val="none" w:sz="0" w:space="0" w:color="auto"/>
                    <w:left w:val="none" w:sz="0" w:space="0" w:color="auto"/>
                    <w:bottom w:val="none" w:sz="0" w:space="0" w:color="auto"/>
                    <w:right w:val="none" w:sz="0" w:space="0" w:color="auto"/>
                  </w:divBdr>
                  <w:divsChild>
                    <w:div w:id="1816986974">
                      <w:marLeft w:val="0"/>
                      <w:marRight w:val="0"/>
                      <w:marTop w:val="0"/>
                      <w:marBottom w:val="0"/>
                      <w:divBdr>
                        <w:top w:val="none" w:sz="0" w:space="0" w:color="auto"/>
                        <w:left w:val="none" w:sz="0" w:space="0" w:color="auto"/>
                        <w:bottom w:val="none" w:sz="0" w:space="0" w:color="auto"/>
                        <w:right w:val="none" w:sz="0" w:space="0" w:color="auto"/>
                      </w:divBdr>
                    </w:div>
                  </w:divsChild>
                </w:div>
                <w:div w:id="2081172770">
                  <w:marLeft w:val="0"/>
                  <w:marRight w:val="0"/>
                  <w:marTop w:val="0"/>
                  <w:marBottom w:val="0"/>
                  <w:divBdr>
                    <w:top w:val="none" w:sz="0" w:space="0" w:color="auto"/>
                    <w:left w:val="none" w:sz="0" w:space="0" w:color="auto"/>
                    <w:bottom w:val="none" w:sz="0" w:space="0" w:color="auto"/>
                    <w:right w:val="none" w:sz="0" w:space="0" w:color="auto"/>
                  </w:divBdr>
                  <w:divsChild>
                    <w:div w:id="1889028798">
                      <w:marLeft w:val="0"/>
                      <w:marRight w:val="0"/>
                      <w:marTop w:val="0"/>
                      <w:marBottom w:val="0"/>
                      <w:divBdr>
                        <w:top w:val="none" w:sz="0" w:space="0" w:color="auto"/>
                        <w:left w:val="none" w:sz="0" w:space="0" w:color="auto"/>
                        <w:bottom w:val="none" w:sz="0" w:space="0" w:color="auto"/>
                        <w:right w:val="none" w:sz="0" w:space="0" w:color="auto"/>
                      </w:divBdr>
                    </w:div>
                  </w:divsChild>
                </w:div>
                <w:div w:id="2092581424">
                  <w:marLeft w:val="0"/>
                  <w:marRight w:val="0"/>
                  <w:marTop w:val="0"/>
                  <w:marBottom w:val="0"/>
                  <w:divBdr>
                    <w:top w:val="none" w:sz="0" w:space="0" w:color="auto"/>
                    <w:left w:val="none" w:sz="0" w:space="0" w:color="auto"/>
                    <w:bottom w:val="none" w:sz="0" w:space="0" w:color="auto"/>
                    <w:right w:val="none" w:sz="0" w:space="0" w:color="auto"/>
                  </w:divBdr>
                  <w:divsChild>
                    <w:div w:id="13142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19869">
      <w:bodyDiv w:val="1"/>
      <w:marLeft w:val="0"/>
      <w:marRight w:val="0"/>
      <w:marTop w:val="0"/>
      <w:marBottom w:val="0"/>
      <w:divBdr>
        <w:top w:val="none" w:sz="0" w:space="0" w:color="auto"/>
        <w:left w:val="none" w:sz="0" w:space="0" w:color="auto"/>
        <w:bottom w:val="none" w:sz="0" w:space="0" w:color="auto"/>
        <w:right w:val="none" w:sz="0" w:space="0" w:color="auto"/>
      </w:divBdr>
      <w:divsChild>
        <w:div w:id="248463939">
          <w:marLeft w:val="0"/>
          <w:marRight w:val="0"/>
          <w:marTop w:val="0"/>
          <w:marBottom w:val="0"/>
          <w:divBdr>
            <w:top w:val="none" w:sz="0" w:space="0" w:color="auto"/>
            <w:left w:val="none" w:sz="0" w:space="0" w:color="auto"/>
            <w:bottom w:val="none" w:sz="0" w:space="0" w:color="auto"/>
            <w:right w:val="none" w:sz="0" w:space="0" w:color="auto"/>
          </w:divBdr>
        </w:div>
        <w:div w:id="631717359">
          <w:marLeft w:val="0"/>
          <w:marRight w:val="0"/>
          <w:marTop w:val="0"/>
          <w:marBottom w:val="0"/>
          <w:divBdr>
            <w:top w:val="none" w:sz="0" w:space="0" w:color="auto"/>
            <w:left w:val="none" w:sz="0" w:space="0" w:color="auto"/>
            <w:bottom w:val="none" w:sz="0" w:space="0" w:color="auto"/>
            <w:right w:val="none" w:sz="0" w:space="0" w:color="auto"/>
          </w:divBdr>
        </w:div>
        <w:div w:id="901594968">
          <w:marLeft w:val="0"/>
          <w:marRight w:val="0"/>
          <w:marTop w:val="0"/>
          <w:marBottom w:val="0"/>
          <w:divBdr>
            <w:top w:val="none" w:sz="0" w:space="0" w:color="auto"/>
            <w:left w:val="none" w:sz="0" w:space="0" w:color="auto"/>
            <w:bottom w:val="none" w:sz="0" w:space="0" w:color="auto"/>
            <w:right w:val="none" w:sz="0" w:space="0" w:color="auto"/>
          </w:divBdr>
        </w:div>
        <w:div w:id="2011525162">
          <w:marLeft w:val="0"/>
          <w:marRight w:val="0"/>
          <w:marTop w:val="0"/>
          <w:marBottom w:val="0"/>
          <w:divBdr>
            <w:top w:val="none" w:sz="0" w:space="0" w:color="auto"/>
            <w:left w:val="none" w:sz="0" w:space="0" w:color="auto"/>
            <w:bottom w:val="none" w:sz="0" w:space="0" w:color="auto"/>
            <w:right w:val="none" w:sz="0" w:space="0" w:color="auto"/>
          </w:divBdr>
        </w:div>
      </w:divsChild>
    </w:div>
    <w:div w:id="712465402">
      <w:bodyDiv w:val="1"/>
      <w:marLeft w:val="0"/>
      <w:marRight w:val="0"/>
      <w:marTop w:val="0"/>
      <w:marBottom w:val="0"/>
      <w:divBdr>
        <w:top w:val="none" w:sz="0" w:space="0" w:color="auto"/>
        <w:left w:val="none" w:sz="0" w:space="0" w:color="auto"/>
        <w:bottom w:val="none" w:sz="0" w:space="0" w:color="auto"/>
        <w:right w:val="none" w:sz="0" w:space="0" w:color="auto"/>
      </w:divBdr>
      <w:divsChild>
        <w:div w:id="732389674">
          <w:marLeft w:val="0"/>
          <w:marRight w:val="0"/>
          <w:marTop w:val="0"/>
          <w:marBottom w:val="0"/>
          <w:divBdr>
            <w:top w:val="none" w:sz="0" w:space="0" w:color="auto"/>
            <w:left w:val="none" w:sz="0" w:space="0" w:color="auto"/>
            <w:bottom w:val="none" w:sz="0" w:space="0" w:color="auto"/>
            <w:right w:val="none" w:sz="0" w:space="0" w:color="auto"/>
          </w:divBdr>
        </w:div>
        <w:div w:id="849026499">
          <w:marLeft w:val="0"/>
          <w:marRight w:val="0"/>
          <w:marTop w:val="0"/>
          <w:marBottom w:val="0"/>
          <w:divBdr>
            <w:top w:val="none" w:sz="0" w:space="0" w:color="auto"/>
            <w:left w:val="none" w:sz="0" w:space="0" w:color="auto"/>
            <w:bottom w:val="none" w:sz="0" w:space="0" w:color="auto"/>
            <w:right w:val="none" w:sz="0" w:space="0" w:color="auto"/>
          </w:divBdr>
        </w:div>
        <w:div w:id="1599559370">
          <w:marLeft w:val="0"/>
          <w:marRight w:val="0"/>
          <w:marTop w:val="0"/>
          <w:marBottom w:val="0"/>
          <w:divBdr>
            <w:top w:val="none" w:sz="0" w:space="0" w:color="auto"/>
            <w:left w:val="none" w:sz="0" w:space="0" w:color="auto"/>
            <w:bottom w:val="none" w:sz="0" w:space="0" w:color="auto"/>
            <w:right w:val="none" w:sz="0" w:space="0" w:color="auto"/>
          </w:divBdr>
        </w:div>
        <w:div w:id="1825773154">
          <w:marLeft w:val="0"/>
          <w:marRight w:val="0"/>
          <w:marTop w:val="0"/>
          <w:marBottom w:val="0"/>
          <w:divBdr>
            <w:top w:val="none" w:sz="0" w:space="0" w:color="auto"/>
            <w:left w:val="none" w:sz="0" w:space="0" w:color="auto"/>
            <w:bottom w:val="none" w:sz="0" w:space="0" w:color="auto"/>
            <w:right w:val="none" w:sz="0" w:space="0" w:color="auto"/>
          </w:divBdr>
        </w:div>
      </w:divsChild>
    </w:div>
    <w:div w:id="842400454">
      <w:bodyDiv w:val="1"/>
      <w:marLeft w:val="0"/>
      <w:marRight w:val="0"/>
      <w:marTop w:val="0"/>
      <w:marBottom w:val="0"/>
      <w:divBdr>
        <w:top w:val="none" w:sz="0" w:space="0" w:color="auto"/>
        <w:left w:val="none" w:sz="0" w:space="0" w:color="auto"/>
        <w:bottom w:val="none" w:sz="0" w:space="0" w:color="auto"/>
        <w:right w:val="none" w:sz="0" w:space="0" w:color="auto"/>
      </w:divBdr>
      <w:divsChild>
        <w:div w:id="302588484">
          <w:marLeft w:val="0"/>
          <w:marRight w:val="0"/>
          <w:marTop w:val="0"/>
          <w:marBottom w:val="0"/>
          <w:divBdr>
            <w:top w:val="none" w:sz="0" w:space="0" w:color="auto"/>
            <w:left w:val="none" w:sz="0" w:space="0" w:color="auto"/>
            <w:bottom w:val="none" w:sz="0" w:space="0" w:color="auto"/>
            <w:right w:val="none" w:sz="0" w:space="0" w:color="auto"/>
          </w:divBdr>
        </w:div>
        <w:div w:id="531919723">
          <w:marLeft w:val="0"/>
          <w:marRight w:val="0"/>
          <w:marTop w:val="0"/>
          <w:marBottom w:val="0"/>
          <w:divBdr>
            <w:top w:val="none" w:sz="0" w:space="0" w:color="auto"/>
            <w:left w:val="none" w:sz="0" w:space="0" w:color="auto"/>
            <w:bottom w:val="none" w:sz="0" w:space="0" w:color="auto"/>
            <w:right w:val="none" w:sz="0" w:space="0" w:color="auto"/>
          </w:divBdr>
        </w:div>
        <w:div w:id="1383558538">
          <w:marLeft w:val="0"/>
          <w:marRight w:val="0"/>
          <w:marTop w:val="0"/>
          <w:marBottom w:val="0"/>
          <w:divBdr>
            <w:top w:val="none" w:sz="0" w:space="0" w:color="auto"/>
            <w:left w:val="none" w:sz="0" w:space="0" w:color="auto"/>
            <w:bottom w:val="none" w:sz="0" w:space="0" w:color="auto"/>
            <w:right w:val="none" w:sz="0" w:space="0" w:color="auto"/>
          </w:divBdr>
        </w:div>
        <w:div w:id="1470322275">
          <w:marLeft w:val="0"/>
          <w:marRight w:val="0"/>
          <w:marTop w:val="0"/>
          <w:marBottom w:val="0"/>
          <w:divBdr>
            <w:top w:val="none" w:sz="0" w:space="0" w:color="auto"/>
            <w:left w:val="none" w:sz="0" w:space="0" w:color="auto"/>
            <w:bottom w:val="none" w:sz="0" w:space="0" w:color="auto"/>
            <w:right w:val="none" w:sz="0" w:space="0" w:color="auto"/>
          </w:divBdr>
        </w:div>
      </w:divsChild>
    </w:div>
    <w:div w:id="856194176">
      <w:bodyDiv w:val="1"/>
      <w:marLeft w:val="0"/>
      <w:marRight w:val="0"/>
      <w:marTop w:val="0"/>
      <w:marBottom w:val="0"/>
      <w:divBdr>
        <w:top w:val="none" w:sz="0" w:space="0" w:color="auto"/>
        <w:left w:val="none" w:sz="0" w:space="0" w:color="auto"/>
        <w:bottom w:val="none" w:sz="0" w:space="0" w:color="auto"/>
        <w:right w:val="none" w:sz="0" w:space="0" w:color="auto"/>
      </w:divBdr>
      <w:divsChild>
        <w:div w:id="3552478">
          <w:marLeft w:val="0"/>
          <w:marRight w:val="0"/>
          <w:marTop w:val="0"/>
          <w:marBottom w:val="0"/>
          <w:divBdr>
            <w:top w:val="none" w:sz="0" w:space="0" w:color="auto"/>
            <w:left w:val="none" w:sz="0" w:space="0" w:color="auto"/>
            <w:bottom w:val="none" w:sz="0" w:space="0" w:color="auto"/>
            <w:right w:val="none" w:sz="0" w:space="0" w:color="auto"/>
          </w:divBdr>
        </w:div>
        <w:div w:id="904413168">
          <w:marLeft w:val="0"/>
          <w:marRight w:val="0"/>
          <w:marTop w:val="0"/>
          <w:marBottom w:val="0"/>
          <w:divBdr>
            <w:top w:val="none" w:sz="0" w:space="0" w:color="auto"/>
            <w:left w:val="none" w:sz="0" w:space="0" w:color="auto"/>
            <w:bottom w:val="none" w:sz="0" w:space="0" w:color="auto"/>
            <w:right w:val="none" w:sz="0" w:space="0" w:color="auto"/>
          </w:divBdr>
        </w:div>
        <w:div w:id="1136602038">
          <w:marLeft w:val="0"/>
          <w:marRight w:val="0"/>
          <w:marTop w:val="0"/>
          <w:marBottom w:val="0"/>
          <w:divBdr>
            <w:top w:val="none" w:sz="0" w:space="0" w:color="auto"/>
            <w:left w:val="none" w:sz="0" w:space="0" w:color="auto"/>
            <w:bottom w:val="none" w:sz="0" w:space="0" w:color="auto"/>
            <w:right w:val="none" w:sz="0" w:space="0" w:color="auto"/>
          </w:divBdr>
        </w:div>
        <w:div w:id="1255747116">
          <w:marLeft w:val="0"/>
          <w:marRight w:val="0"/>
          <w:marTop w:val="0"/>
          <w:marBottom w:val="0"/>
          <w:divBdr>
            <w:top w:val="none" w:sz="0" w:space="0" w:color="auto"/>
            <w:left w:val="none" w:sz="0" w:space="0" w:color="auto"/>
            <w:bottom w:val="none" w:sz="0" w:space="0" w:color="auto"/>
            <w:right w:val="none" w:sz="0" w:space="0" w:color="auto"/>
          </w:divBdr>
        </w:div>
        <w:div w:id="1322612850">
          <w:marLeft w:val="0"/>
          <w:marRight w:val="0"/>
          <w:marTop w:val="0"/>
          <w:marBottom w:val="0"/>
          <w:divBdr>
            <w:top w:val="none" w:sz="0" w:space="0" w:color="auto"/>
            <w:left w:val="none" w:sz="0" w:space="0" w:color="auto"/>
            <w:bottom w:val="none" w:sz="0" w:space="0" w:color="auto"/>
            <w:right w:val="none" w:sz="0" w:space="0" w:color="auto"/>
          </w:divBdr>
        </w:div>
        <w:div w:id="1339187898">
          <w:marLeft w:val="0"/>
          <w:marRight w:val="0"/>
          <w:marTop w:val="0"/>
          <w:marBottom w:val="0"/>
          <w:divBdr>
            <w:top w:val="none" w:sz="0" w:space="0" w:color="auto"/>
            <w:left w:val="none" w:sz="0" w:space="0" w:color="auto"/>
            <w:bottom w:val="none" w:sz="0" w:space="0" w:color="auto"/>
            <w:right w:val="none" w:sz="0" w:space="0" w:color="auto"/>
          </w:divBdr>
        </w:div>
        <w:div w:id="1483039916">
          <w:marLeft w:val="0"/>
          <w:marRight w:val="0"/>
          <w:marTop w:val="0"/>
          <w:marBottom w:val="0"/>
          <w:divBdr>
            <w:top w:val="none" w:sz="0" w:space="0" w:color="auto"/>
            <w:left w:val="none" w:sz="0" w:space="0" w:color="auto"/>
            <w:bottom w:val="none" w:sz="0" w:space="0" w:color="auto"/>
            <w:right w:val="none" w:sz="0" w:space="0" w:color="auto"/>
          </w:divBdr>
        </w:div>
        <w:div w:id="1784031089">
          <w:marLeft w:val="0"/>
          <w:marRight w:val="0"/>
          <w:marTop w:val="0"/>
          <w:marBottom w:val="0"/>
          <w:divBdr>
            <w:top w:val="none" w:sz="0" w:space="0" w:color="auto"/>
            <w:left w:val="none" w:sz="0" w:space="0" w:color="auto"/>
            <w:bottom w:val="none" w:sz="0" w:space="0" w:color="auto"/>
            <w:right w:val="none" w:sz="0" w:space="0" w:color="auto"/>
          </w:divBdr>
        </w:div>
        <w:div w:id="1938096390">
          <w:marLeft w:val="0"/>
          <w:marRight w:val="0"/>
          <w:marTop w:val="0"/>
          <w:marBottom w:val="0"/>
          <w:divBdr>
            <w:top w:val="none" w:sz="0" w:space="0" w:color="auto"/>
            <w:left w:val="none" w:sz="0" w:space="0" w:color="auto"/>
            <w:bottom w:val="none" w:sz="0" w:space="0" w:color="auto"/>
            <w:right w:val="none" w:sz="0" w:space="0" w:color="auto"/>
          </w:divBdr>
        </w:div>
      </w:divsChild>
    </w:div>
    <w:div w:id="947469448">
      <w:bodyDiv w:val="1"/>
      <w:marLeft w:val="0"/>
      <w:marRight w:val="0"/>
      <w:marTop w:val="0"/>
      <w:marBottom w:val="0"/>
      <w:divBdr>
        <w:top w:val="none" w:sz="0" w:space="0" w:color="auto"/>
        <w:left w:val="none" w:sz="0" w:space="0" w:color="auto"/>
        <w:bottom w:val="none" w:sz="0" w:space="0" w:color="auto"/>
        <w:right w:val="none" w:sz="0" w:space="0" w:color="auto"/>
      </w:divBdr>
    </w:div>
    <w:div w:id="1009219151">
      <w:bodyDiv w:val="1"/>
      <w:marLeft w:val="0"/>
      <w:marRight w:val="0"/>
      <w:marTop w:val="0"/>
      <w:marBottom w:val="0"/>
      <w:divBdr>
        <w:top w:val="none" w:sz="0" w:space="0" w:color="auto"/>
        <w:left w:val="none" w:sz="0" w:space="0" w:color="auto"/>
        <w:bottom w:val="none" w:sz="0" w:space="0" w:color="auto"/>
        <w:right w:val="none" w:sz="0" w:space="0" w:color="auto"/>
      </w:divBdr>
      <w:divsChild>
        <w:div w:id="37514316">
          <w:marLeft w:val="0"/>
          <w:marRight w:val="0"/>
          <w:marTop w:val="0"/>
          <w:marBottom w:val="0"/>
          <w:divBdr>
            <w:top w:val="none" w:sz="0" w:space="0" w:color="auto"/>
            <w:left w:val="none" w:sz="0" w:space="0" w:color="auto"/>
            <w:bottom w:val="none" w:sz="0" w:space="0" w:color="auto"/>
            <w:right w:val="none" w:sz="0" w:space="0" w:color="auto"/>
          </w:divBdr>
        </w:div>
        <w:div w:id="276067533">
          <w:marLeft w:val="0"/>
          <w:marRight w:val="0"/>
          <w:marTop w:val="0"/>
          <w:marBottom w:val="0"/>
          <w:divBdr>
            <w:top w:val="none" w:sz="0" w:space="0" w:color="auto"/>
            <w:left w:val="none" w:sz="0" w:space="0" w:color="auto"/>
            <w:bottom w:val="none" w:sz="0" w:space="0" w:color="auto"/>
            <w:right w:val="none" w:sz="0" w:space="0" w:color="auto"/>
          </w:divBdr>
        </w:div>
      </w:divsChild>
    </w:div>
    <w:div w:id="1046295250">
      <w:bodyDiv w:val="1"/>
      <w:marLeft w:val="0"/>
      <w:marRight w:val="0"/>
      <w:marTop w:val="0"/>
      <w:marBottom w:val="0"/>
      <w:divBdr>
        <w:top w:val="none" w:sz="0" w:space="0" w:color="auto"/>
        <w:left w:val="none" w:sz="0" w:space="0" w:color="auto"/>
        <w:bottom w:val="none" w:sz="0" w:space="0" w:color="auto"/>
        <w:right w:val="none" w:sz="0" w:space="0" w:color="auto"/>
      </w:divBdr>
    </w:div>
    <w:div w:id="1169903021">
      <w:bodyDiv w:val="1"/>
      <w:marLeft w:val="0"/>
      <w:marRight w:val="0"/>
      <w:marTop w:val="0"/>
      <w:marBottom w:val="0"/>
      <w:divBdr>
        <w:top w:val="none" w:sz="0" w:space="0" w:color="auto"/>
        <w:left w:val="none" w:sz="0" w:space="0" w:color="auto"/>
        <w:bottom w:val="none" w:sz="0" w:space="0" w:color="auto"/>
        <w:right w:val="none" w:sz="0" w:space="0" w:color="auto"/>
      </w:divBdr>
      <w:divsChild>
        <w:div w:id="71660879">
          <w:marLeft w:val="0"/>
          <w:marRight w:val="0"/>
          <w:marTop w:val="0"/>
          <w:marBottom w:val="0"/>
          <w:divBdr>
            <w:top w:val="none" w:sz="0" w:space="0" w:color="auto"/>
            <w:left w:val="none" w:sz="0" w:space="0" w:color="auto"/>
            <w:bottom w:val="none" w:sz="0" w:space="0" w:color="auto"/>
            <w:right w:val="none" w:sz="0" w:space="0" w:color="auto"/>
          </w:divBdr>
        </w:div>
        <w:div w:id="108624068">
          <w:marLeft w:val="0"/>
          <w:marRight w:val="0"/>
          <w:marTop w:val="0"/>
          <w:marBottom w:val="0"/>
          <w:divBdr>
            <w:top w:val="none" w:sz="0" w:space="0" w:color="auto"/>
            <w:left w:val="none" w:sz="0" w:space="0" w:color="auto"/>
            <w:bottom w:val="none" w:sz="0" w:space="0" w:color="auto"/>
            <w:right w:val="none" w:sz="0" w:space="0" w:color="auto"/>
          </w:divBdr>
        </w:div>
        <w:div w:id="346372642">
          <w:marLeft w:val="0"/>
          <w:marRight w:val="0"/>
          <w:marTop w:val="0"/>
          <w:marBottom w:val="0"/>
          <w:divBdr>
            <w:top w:val="none" w:sz="0" w:space="0" w:color="auto"/>
            <w:left w:val="none" w:sz="0" w:space="0" w:color="auto"/>
            <w:bottom w:val="none" w:sz="0" w:space="0" w:color="auto"/>
            <w:right w:val="none" w:sz="0" w:space="0" w:color="auto"/>
          </w:divBdr>
        </w:div>
        <w:div w:id="412239082">
          <w:marLeft w:val="0"/>
          <w:marRight w:val="0"/>
          <w:marTop w:val="0"/>
          <w:marBottom w:val="0"/>
          <w:divBdr>
            <w:top w:val="none" w:sz="0" w:space="0" w:color="auto"/>
            <w:left w:val="none" w:sz="0" w:space="0" w:color="auto"/>
            <w:bottom w:val="none" w:sz="0" w:space="0" w:color="auto"/>
            <w:right w:val="none" w:sz="0" w:space="0" w:color="auto"/>
          </w:divBdr>
        </w:div>
        <w:div w:id="485895456">
          <w:marLeft w:val="0"/>
          <w:marRight w:val="0"/>
          <w:marTop w:val="0"/>
          <w:marBottom w:val="0"/>
          <w:divBdr>
            <w:top w:val="none" w:sz="0" w:space="0" w:color="auto"/>
            <w:left w:val="none" w:sz="0" w:space="0" w:color="auto"/>
            <w:bottom w:val="none" w:sz="0" w:space="0" w:color="auto"/>
            <w:right w:val="none" w:sz="0" w:space="0" w:color="auto"/>
          </w:divBdr>
        </w:div>
        <w:div w:id="1300845323">
          <w:marLeft w:val="0"/>
          <w:marRight w:val="0"/>
          <w:marTop w:val="0"/>
          <w:marBottom w:val="0"/>
          <w:divBdr>
            <w:top w:val="none" w:sz="0" w:space="0" w:color="auto"/>
            <w:left w:val="none" w:sz="0" w:space="0" w:color="auto"/>
            <w:bottom w:val="none" w:sz="0" w:space="0" w:color="auto"/>
            <w:right w:val="none" w:sz="0" w:space="0" w:color="auto"/>
          </w:divBdr>
        </w:div>
        <w:div w:id="1462575159">
          <w:marLeft w:val="0"/>
          <w:marRight w:val="0"/>
          <w:marTop w:val="0"/>
          <w:marBottom w:val="0"/>
          <w:divBdr>
            <w:top w:val="none" w:sz="0" w:space="0" w:color="auto"/>
            <w:left w:val="none" w:sz="0" w:space="0" w:color="auto"/>
            <w:bottom w:val="none" w:sz="0" w:space="0" w:color="auto"/>
            <w:right w:val="none" w:sz="0" w:space="0" w:color="auto"/>
          </w:divBdr>
        </w:div>
        <w:div w:id="1763263037">
          <w:marLeft w:val="0"/>
          <w:marRight w:val="0"/>
          <w:marTop w:val="0"/>
          <w:marBottom w:val="0"/>
          <w:divBdr>
            <w:top w:val="none" w:sz="0" w:space="0" w:color="auto"/>
            <w:left w:val="none" w:sz="0" w:space="0" w:color="auto"/>
            <w:bottom w:val="none" w:sz="0" w:space="0" w:color="auto"/>
            <w:right w:val="none" w:sz="0" w:space="0" w:color="auto"/>
          </w:divBdr>
        </w:div>
        <w:div w:id="1975329517">
          <w:marLeft w:val="0"/>
          <w:marRight w:val="0"/>
          <w:marTop w:val="0"/>
          <w:marBottom w:val="0"/>
          <w:divBdr>
            <w:top w:val="none" w:sz="0" w:space="0" w:color="auto"/>
            <w:left w:val="none" w:sz="0" w:space="0" w:color="auto"/>
            <w:bottom w:val="none" w:sz="0" w:space="0" w:color="auto"/>
            <w:right w:val="none" w:sz="0" w:space="0" w:color="auto"/>
          </w:divBdr>
        </w:div>
      </w:divsChild>
    </w:div>
    <w:div w:id="1427532170">
      <w:bodyDiv w:val="1"/>
      <w:marLeft w:val="0"/>
      <w:marRight w:val="0"/>
      <w:marTop w:val="0"/>
      <w:marBottom w:val="0"/>
      <w:divBdr>
        <w:top w:val="none" w:sz="0" w:space="0" w:color="auto"/>
        <w:left w:val="none" w:sz="0" w:space="0" w:color="auto"/>
        <w:bottom w:val="none" w:sz="0" w:space="0" w:color="auto"/>
        <w:right w:val="none" w:sz="0" w:space="0" w:color="auto"/>
      </w:divBdr>
      <w:divsChild>
        <w:div w:id="368459034">
          <w:marLeft w:val="0"/>
          <w:marRight w:val="0"/>
          <w:marTop w:val="0"/>
          <w:marBottom w:val="0"/>
          <w:divBdr>
            <w:top w:val="none" w:sz="0" w:space="0" w:color="auto"/>
            <w:left w:val="none" w:sz="0" w:space="0" w:color="auto"/>
            <w:bottom w:val="none" w:sz="0" w:space="0" w:color="auto"/>
            <w:right w:val="none" w:sz="0" w:space="0" w:color="auto"/>
          </w:divBdr>
        </w:div>
        <w:div w:id="550506659">
          <w:marLeft w:val="0"/>
          <w:marRight w:val="0"/>
          <w:marTop w:val="0"/>
          <w:marBottom w:val="0"/>
          <w:divBdr>
            <w:top w:val="none" w:sz="0" w:space="0" w:color="auto"/>
            <w:left w:val="none" w:sz="0" w:space="0" w:color="auto"/>
            <w:bottom w:val="none" w:sz="0" w:space="0" w:color="auto"/>
            <w:right w:val="none" w:sz="0" w:space="0" w:color="auto"/>
          </w:divBdr>
        </w:div>
        <w:div w:id="2037149753">
          <w:marLeft w:val="0"/>
          <w:marRight w:val="0"/>
          <w:marTop w:val="0"/>
          <w:marBottom w:val="0"/>
          <w:divBdr>
            <w:top w:val="none" w:sz="0" w:space="0" w:color="auto"/>
            <w:left w:val="none" w:sz="0" w:space="0" w:color="auto"/>
            <w:bottom w:val="none" w:sz="0" w:space="0" w:color="auto"/>
            <w:right w:val="none" w:sz="0" w:space="0" w:color="auto"/>
          </w:divBdr>
        </w:div>
      </w:divsChild>
    </w:div>
    <w:div w:id="1560507210">
      <w:bodyDiv w:val="1"/>
      <w:marLeft w:val="0"/>
      <w:marRight w:val="0"/>
      <w:marTop w:val="0"/>
      <w:marBottom w:val="0"/>
      <w:divBdr>
        <w:top w:val="none" w:sz="0" w:space="0" w:color="auto"/>
        <w:left w:val="none" w:sz="0" w:space="0" w:color="auto"/>
        <w:bottom w:val="none" w:sz="0" w:space="0" w:color="auto"/>
        <w:right w:val="none" w:sz="0" w:space="0" w:color="auto"/>
      </w:divBdr>
      <w:divsChild>
        <w:div w:id="220557129">
          <w:marLeft w:val="0"/>
          <w:marRight w:val="0"/>
          <w:marTop w:val="0"/>
          <w:marBottom w:val="0"/>
          <w:divBdr>
            <w:top w:val="none" w:sz="0" w:space="0" w:color="auto"/>
            <w:left w:val="none" w:sz="0" w:space="0" w:color="auto"/>
            <w:bottom w:val="none" w:sz="0" w:space="0" w:color="auto"/>
            <w:right w:val="none" w:sz="0" w:space="0" w:color="auto"/>
          </w:divBdr>
        </w:div>
        <w:div w:id="1768429079">
          <w:marLeft w:val="0"/>
          <w:marRight w:val="0"/>
          <w:marTop w:val="0"/>
          <w:marBottom w:val="0"/>
          <w:divBdr>
            <w:top w:val="none" w:sz="0" w:space="0" w:color="auto"/>
            <w:left w:val="none" w:sz="0" w:space="0" w:color="auto"/>
            <w:bottom w:val="none" w:sz="0" w:space="0" w:color="auto"/>
            <w:right w:val="none" w:sz="0" w:space="0" w:color="auto"/>
          </w:divBdr>
        </w:div>
      </w:divsChild>
    </w:div>
    <w:div w:id="1589121354">
      <w:bodyDiv w:val="1"/>
      <w:marLeft w:val="0"/>
      <w:marRight w:val="0"/>
      <w:marTop w:val="0"/>
      <w:marBottom w:val="0"/>
      <w:divBdr>
        <w:top w:val="none" w:sz="0" w:space="0" w:color="auto"/>
        <w:left w:val="none" w:sz="0" w:space="0" w:color="auto"/>
        <w:bottom w:val="none" w:sz="0" w:space="0" w:color="auto"/>
        <w:right w:val="none" w:sz="0" w:space="0" w:color="auto"/>
      </w:divBdr>
      <w:divsChild>
        <w:div w:id="719981418">
          <w:marLeft w:val="0"/>
          <w:marRight w:val="0"/>
          <w:marTop w:val="0"/>
          <w:marBottom w:val="0"/>
          <w:divBdr>
            <w:top w:val="none" w:sz="0" w:space="0" w:color="auto"/>
            <w:left w:val="none" w:sz="0" w:space="0" w:color="auto"/>
            <w:bottom w:val="none" w:sz="0" w:space="0" w:color="auto"/>
            <w:right w:val="none" w:sz="0" w:space="0" w:color="auto"/>
          </w:divBdr>
          <w:divsChild>
            <w:div w:id="1010913247">
              <w:marLeft w:val="0"/>
              <w:marRight w:val="0"/>
              <w:marTop w:val="0"/>
              <w:marBottom w:val="0"/>
              <w:divBdr>
                <w:top w:val="none" w:sz="0" w:space="0" w:color="auto"/>
                <w:left w:val="none" w:sz="0" w:space="0" w:color="auto"/>
                <w:bottom w:val="none" w:sz="0" w:space="0" w:color="auto"/>
                <w:right w:val="none" w:sz="0" w:space="0" w:color="auto"/>
              </w:divBdr>
            </w:div>
          </w:divsChild>
        </w:div>
        <w:div w:id="847598154">
          <w:marLeft w:val="0"/>
          <w:marRight w:val="0"/>
          <w:marTop w:val="0"/>
          <w:marBottom w:val="0"/>
          <w:divBdr>
            <w:top w:val="none" w:sz="0" w:space="0" w:color="auto"/>
            <w:left w:val="none" w:sz="0" w:space="0" w:color="auto"/>
            <w:bottom w:val="none" w:sz="0" w:space="0" w:color="auto"/>
            <w:right w:val="none" w:sz="0" w:space="0" w:color="auto"/>
          </w:divBdr>
        </w:div>
      </w:divsChild>
    </w:div>
    <w:div w:id="1590042371">
      <w:bodyDiv w:val="1"/>
      <w:marLeft w:val="0"/>
      <w:marRight w:val="0"/>
      <w:marTop w:val="0"/>
      <w:marBottom w:val="0"/>
      <w:divBdr>
        <w:top w:val="none" w:sz="0" w:space="0" w:color="auto"/>
        <w:left w:val="none" w:sz="0" w:space="0" w:color="auto"/>
        <w:bottom w:val="none" w:sz="0" w:space="0" w:color="auto"/>
        <w:right w:val="none" w:sz="0" w:space="0" w:color="auto"/>
      </w:divBdr>
    </w:div>
    <w:div w:id="1695424118">
      <w:bodyDiv w:val="1"/>
      <w:marLeft w:val="0"/>
      <w:marRight w:val="0"/>
      <w:marTop w:val="0"/>
      <w:marBottom w:val="0"/>
      <w:divBdr>
        <w:top w:val="none" w:sz="0" w:space="0" w:color="auto"/>
        <w:left w:val="none" w:sz="0" w:space="0" w:color="auto"/>
        <w:bottom w:val="none" w:sz="0" w:space="0" w:color="auto"/>
        <w:right w:val="none" w:sz="0" w:space="0" w:color="auto"/>
      </w:divBdr>
    </w:div>
    <w:div w:id="1988702304">
      <w:bodyDiv w:val="1"/>
      <w:marLeft w:val="0"/>
      <w:marRight w:val="0"/>
      <w:marTop w:val="0"/>
      <w:marBottom w:val="0"/>
      <w:divBdr>
        <w:top w:val="none" w:sz="0" w:space="0" w:color="auto"/>
        <w:left w:val="none" w:sz="0" w:space="0" w:color="auto"/>
        <w:bottom w:val="none" w:sz="0" w:space="0" w:color="auto"/>
        <w:right w:val="none" w:sz="0" w:space="0" w:color="auto"/>
      </w:divBdr>
    </w:div>
    <w:div w:id="2014529169">
      <w:bodyDiv w:val="1"/>
      <w:marLeft w:val="0"/>
      <w:marRight w:val="0"/>
      <w:marTop w:val="0"/>
      <w:marBottom w:val="0"/>
      <w:divBdr>
        <w:top w:val="none" w:sz="0" w:space="0" w:color="auto"/>
        <w:left w:val="none" w:sz="0" w:space="0" w:color="auto"/>
        <w:bottom w:val="none" w:sz="0" w:space="0" w:color="auto"/>
        <w:right w:val="none" w:sz="0" w:space="0" w:color="auto"/>
      </w:divBdr>
      <w:divsChild>
        <w:div w:id="1204564662">
          <w:marLeft w:val="0"/>
          <w:marRight w:val="0"/>
          <w:marTop w:val="0"/>
          <w:marBottom w:val="0"/>
          <w:divBdr>
            <w:top w:val="none" w:sz="0" w:space="0" w:color="auto"/>
            <w:left w:val="none" w:sz="0" w:space="0" w:color="auto"/>
            <w:bottom w:val="none" w:sz="0" w:space="0" w:color="auto"/>
            <w:right w:val="none" w:sz="0" w:space="0" w:color="auto"/>
          </w:divBdr>
          <w:divsChild>
            <w:div w:id="296689258">
              <w:marLeft w:val="0"/>
              <w:marRight w:val="0"/>
              <w:marTop w:val="30"/>
              <w:marBottom w:val="30"/>
              <w:divBdr>
                <w:top w:val="none" w:sz="0" w:space="0" w:color="auto"/>
                <w:left w:val="none" w:sz="0" w:space="0" w:color="auto"/>
                <w:bottom w:val="none" w:sz="0" w:space="0" w:color="auto"/>
                <w:right w:val="none" w:sz="0" w:space="0" w:color="auto"/>
              </w:divBdr>
              <w:divsChild>
                <w:div w:id="33970318">
                  <w:marLeft w:val="0"/>
                  <w:marRight w:val="0"/>
                  <w:marTop w:val="0"/>
                  <w:marBottom w:val="0"/>
                  <w:divBdr>
                    <w:top w:val="none" w:sz="0" w:space="0" w:color="auto"/>
                    <w:left w:val="none" w:sz="0" w:space="0" w:color="auto"/>
                    <w:bottom w:val="none" w:sz="0" w:space="0" w:color="auto"/>
                    <w:right w:val="none" w:sz="0" w:space="0" w:color="auto"/>
                  </w:divBdr>
                  <w:divsChild>
                    <w:div w:id="2104447632">
                      <w:marLeft w:val="0"/>
                      <w:marRight w:val="0"/>
                      <w:marTop w:val="0"/>
                      <w:marBottom w:val="0"/>
                      <w:divBdr>
                        <w:top w:val="none" w:sz="0" w:space="0" w:color="auto"/>
                        <w:left w:val="none" w:sz="0" w:space="0" w:color="auto"/>
                        <w:bottom w:val="none" w:sz="0" w:space="0" w:color="auto"/>
                        <w:right w:val="none" w:sz="0" w:space="0" w:color="auto"/>
                      </w:divBdr>
                    </w:div>
                  </w:divsChild>
                </w:div>
                <w:div w:id="499851233">
                  <w:marLeft w:val="0"/>
                  <w:marRight w:val="0"/>
                  <w:marTop w:val="0"/>
                  <w:marBottom w:val="0"/>
                  <w:divBdr>
                    <w:top w:val="none" w:sz="0" w:space="0" w:color="auto"/>
                    <w:left w:val="none" w:sz="0" w:space="0" w:color="auto"/>
                    <w:bottom w:val="none" w:sz="0" w:space="0" w:color="auto"/>
                    <w:right w:val="none" w:sz="0" w:space="0" w:color="auto"/>
                  </w:divBdr>
                  <w:divsChild>
                    <w:div w:id="2077773410">
                      <w:marLeft w:val="0"/>
                      <w:marRight w:val="0"/>
                      <w:marTop w:val="0"/>
                      <w:marBottom w:val="0"/>
                      <w:divBdr>
                        <w:top w:val="none" w:sz="0" w:space="0" w:color="auto"/>
                        <w:left w:val="none" w:sz="0" w:space="0" w:color="auto"/>
                        <w:bottom w:val="none" w:sz="0" w:space="0" w:color="auto"/>
                        <w:right w:val="none" w:sz="0" w:space="0" w:color="auto"/>
                      </w:divBdr>
                    </w:div>
                  </w:divsChild>
                </w:div>
                <w:div w:id="585723507">
                  <w:marLeft w:val="0"/>
                  <w:marRight w:val="0"/>
                  <w:marTop w:val="0"/>
                  <w:marBottom w:val="0"/>
                  <w:divBdr>
                    <w:top w:val="none" w:sz="0" w:space="0" w:color="auto"/>
                    <w:left w:val="none" w:sz="0" w:space="0" w:color="auto"/>
                    <w:bottom w:val="none" w:sz="0" w:space="0" w:color="auto"/>
                    <w:right w:val="none" w:sz="0" w:space="0" w:color="auto"/>
                  </w:divBdr>
                  <w:divsChild>
                    <w:div w:id="1151827524">
                      <w:marLeft w:val="0"/>
                      <w:marRight w:val="0"/>
                      <w:marTop w:val="0"/>
                      <w:marBottom w:val="0"/>
                      <w:divBdr>
                        <w:top w:val="none" w:sz="0" w:space="0" w:color="auto"/>
                        <w:left w:val="none" w:sz="0" w:space="0" w:color="auto"/>
                        <w:bottom w:val="none" w:sz="0" w:space="0" w:color="auto"/>
                        <w:right w:val="none" w:sz="0" w:space="0" w:color="auto"/>
                      </w:divBdr>
                    </w:div>
                  </w:divsChild>
                </w:div>
                <w:div w:id="690572773">
                  <w:marLeft w:val="0"/>
                  <w:marRight w:val="0"/>
                  <w:marTop w:val="0"/>
                  <w:marBottom w:val="0"/>
                  <w:divBdr>
                    <w:top w:val="none" w:sz="0" w:space="0" w:color="auto"/>
                    <w:left w:val="none" w:sz="0" w:space="0" w:color="auto"/>
                    <w:bottom w:val="none" w:sz="0" w:space="0" w:color="auto"/>
                    <w:right w:val="none" w:sz="0" w:space="0" w:color="auto"/>
                  </w:divBdr>
                  <w:divsChild>
                    <w:div w:id="1519155676">
                      <w:marLeft w:val="0"/>
                      <w:marRight w:val="0"/>
                      <w:marTop w:val="0"/>
                      <w:marBottom w:val="0"/>
                      <w:divBdr>
                        <w:top w:val="none" w:sz="0" w:space="0" w:color="auto"/>
                        <w:left w:val="none" w:sz="0" w:space="0" w:color="auto"/>
                        <w:bottom w:val="none" w:sz="0" w:space="0" w:color="auto"/>
                        <w:right w:val="none" w:sz="0" w:space="0" w:color="auto"/>
                      </w:divBdr>
                    </w:div>
                  </w:divsChild>
                </w:div>
                <w:div w:id="716245161">
                  <w:marLeft w:val="0"/>
                  <w:marRight w:val="0"/>
                  <w:marTop w:val="0"/>
                  <w:marBottom w:val="0"/>
                  <w:divBdr>
                    <w:top w:val="none" w:sz="0" w:space="0" w:color="auto"/>
                    <w:left w:val="none" w:sz="0" w:space="0" w:color="auto"/>
                    <w:bottom w:val="none" w:sz="0" w:space="0" w:color="auto"/>
                    <w:right w:val="none" w:sz="0" w:space="0" w:color="auto"/>
                  </w:divBdr>
                  <w:divsChild>
                    <w:div w:id="1806122276">
                      <w:marLeft w:val="0"/>
                      <w:marRight w:val="0"/>
                      <w:marTop w:val="0"/>
                      <w:marBottom w:val="0"/>
                      <w:divBdr>
                        <w:top w:val="none" w:sz="0" w:space="0" w:color="auto"/>
                        <w:left w:val="none" w:sz="0" w:space="0" w:color="auto"/>
                        <w:bottom w:val="none" w:sz="0" w:space="0" w:color="auto"/>
                        <w:right w:val="none" w:sz="0" w:space="0" w:color="auto"/>
                      </w:divBdr>
                    </w:div>
                  </w:divsChild>
                </w:div>
                <w:div w:id="845831187">
                  <w:marLeft w:val="0"/>
                  <w:marRight w:val="0"/>
                  <w:marTop w:val="0"/>
                  <w:marBottom w:val="0"/>
                  <w:divBdr>
                    <w:top w:val="none" w:sz="0" w:space="0" w:color="auto"/>
                    <w:left w:val="none" w:sz="0" w:space="0" w:color="auto"/>
                    <w:bottom w:val="none" w:sz="0" w:space="0" w:color="auto"/>
                    <w:right w:val="none" w:sz="0" w:space="0" w:color="auto"/>
                  </w:divBdr>
                  <w:divsChild>
                    <w:div w:id="1210411737">
                      <w:marLeft w:val="0"/>
                      <w:marRight w:val="0"/>
                      <w:marTop w:val="0"/>
                      <w:marBottom w:val="0"/>
                      <w:divBdr>
                        <w:top w:val="none" w:sz="0" w:space="0" w:color="auto"/>
                        <w:left w:val="none" w:sz="0" w:space="0" w:color="auto"/>
                        <w:bottom w:val="none" w:sz="0" w:space="0" w:color="auto"/>
                        <w:right w:val="none" w:sz="0" w:space="0" w:color="auto"/>
                      </w:divBdr>
                    </w:div>
                  </w:divsChild>
                </w:div>
                <w:div w:id="864948811">
                  <w:marLeft w:val="0"/>
                  <w:marRight w:val="0"/>
                  <w:marTop w:val="0"/>
                  <w:marBottom w:val="0"/>
                  <w:divBdr>
                    <w:top w:val="none" w:sz="0" w:space="0" w:color="auto"/>
                    <w:left w:val="none" w:sz="0" w:space="0" w:color="auto"/>
                    <w:bottom w:val="none" w:sz="0" w:space="0" w:color="auto"/>
                    <w:right w:val="none" w:sz="0" w:space="0" w:color="auto"/>
                  </w:divBdr>
                  <w:divsChild>
                    <w:div w:id="625695078">
                      <w:marLeft w:val="0"/>
                      <w:marRight w:val="0"/>
                      <w:marTop w:val="0"/>
                      <w:marBottom w:val="0"/>
                      <w:divBdr>
                        <w:top w:val="none" w:sz="0" w:space="0" w:color="auto"/>
                        <w:left w:val="none" w:sz="0" w:space="0" w:color="auto"/>
                        <w:bottom w:val="none" w:sz="0" w:space="0" w:color="auto"/>
                        <w:right w:val="none" w:sz="0" w:space="0" w:color="auto"/>
                      </w:divBdr>
                    </w:div>
                  </w:divsChild>
                </w:div>
                <w:div w:id="865296004">
                  <w:marLeft w:val="0"/>
                  <w:marRight w:val="0"/>
                  <w:marTop w:val="0"/>
                  <w:marBottom w:val="0"/>
                  <w:divBdr>
                    <w:top w:val="none" w:sz="0" w:space="0" w:color="auto"/>
                    <w:left w:val="none" w:sz="0" w:space="0" w:color="auto"/>
                    <w:bottom w:val="none" w:sz="0" w:space="0" w:color="auto"/>
                    <w:right w:val="none" w:sz="0" w:space="0" w:color="auto"/>
                  </w:divBdr>
                  <w:divsChild>
                    <w:div w:id="785733799">
                      <w:marLeft w:val="0"/>
                      <w:marRight w:val="0"/>
                      <w:marTop w:val="0"/>
                      <w:marBottom w:val="0"/>
                      <w:divBdr>
                        <w:top w:val="none" w:sz="0" w:space="0" w:color="auto"/>
                        <w:left w:val="none" w:sz="0" w:space="0" w:color="auto"/>
                        <w:bottom w:val="none" w:sz="0" w:space="0" w:color="auto"/>
                        <w:right w:val="none" w:sz="0" w:space="0" w:color="auto"/>
                      </w:divBdr>
                    </w:div>
                  </w:divsChild>
                </w:div>
                <w:div w:id="1207722267">
                  <w:marLeft w:val="0"/>
                  <w:marRight w:val="0"/>
                  <w:marTop w:val="0"/>
                  <w:marBottom w:val="0"/>
                  <w:divBdr>
                    <w:top w:val="none" w:sz="0" w:space="0" w:color="auto"/>
                    <w:left w:val="none" w:sz="0" w:space="0" w:color="auto"/>
                    <w:bottom w:val="none" w:sz="0" w:space="0" w:color="auto"/>
                    <w:right w:val="none" w:sz="0" w:space="0" w:color="auto"/>
                  </w:divBdr>
                  <w:divsChild>
                    <w:div w:id="1409423614">
                      <w:marLeft w:val="0"/>
                      <w:marRight w:val="0"/>
                      <w:marTop w:val="0"/>
                      <w:marBottom w:val="0"/>
                      <w:divBdr>
                        <w:top w:val="none" w:sz="0" w:space="0" w:color="auto"/>
                        <w:left w:val="none" w:sz="0" w:space="0" w:color="auto"/>
                        <w:bottom w:val="none" w:sz="0" w:space="0" w:color="auto"/>
                        <w:right w:val="none" w:sz="0" w:space="0" w:color="auto"/>
                      </w:divBdr>
                    </w:div>
                  </w:divsChild>
                </w:div>
                <w:div w:id="1381590046">
                  <w:marLeft w:val="0"/>
                  <w:marRight w:val="0"/>
                  <w:marTop w:val="0"/>
                  <w:marBottom w:val="0"/>
                  <w:divBdr>
                    <w:top w:val="none" w:sz="0" w:space="0" w:color="auto"/>
                    <w:left w:val="none" w:sz="0" w:space="0" w:color="auto"/>
                    <w:bottom w:val="none" w:sz="0" w:space="0" w:color="auto"/>
                    <w:right w:val="none" w:sz="0" w:space="0" w:color="auto"/>
                  </w:divBdr>
                  <w:divsChild>
                    <w:div w:id="131798617">
                      <w:marLeft w:val="0"/>
                      <w:marRight w:val="0"/>
                      <w:marTop w:val="0"/>
                      <w:marBottom w:val="0"/>
                      <w:divBdr>
                        <w:top w:val="none" w:sz="0" w:space="0" w:color="auto"/>
                        <w:left w:val="none" w:sz="0" w:space="0" w:color="auto"/>
                        <w:bottom w:val="none" w:sz="0" w:space="0" w:color="auto"/>
                        <w:right w:val="none" w:sz="0" w:space="0" w:color="auto"/>
                      </w:divBdr>
                    </w:div>
                  </w:divsChild>
                </w:div>
                <w:div w:id="1407796969">
                  <w:marLeft w:val="0"/>
                  <w:marRight w:val="0"/>
                  <w:marTop w:val="0"/>
                  <w:marBottom w:val="0"/>
                  <w:divBdr>
                    <w:top w:val="none" w:sz="0" w:space="0" w:color="auto"/>
                    <w:left w:val="none" w:sz="0" w:space="0" w:color="auto"/>
                    <w:bottom w:val="none" w:sz="0" w:space="0" w:color="auto"/>
                    <w:right w:val="none" w:sz="0" w:space="0" w:color="auto"/>
                  </w:divBdr>
                  <w:divsChild>
                    <w:div w:id="1663579899">
                      <w:marLeft w:val="0"/>
                      <w:marRight w:val="0"/>
                      <w:marTop w:val="0"/>
                      <w:marBottom w:val="0"/>
                      <w:divBdr>
                        <w:top w:val="none" w:sz="0" w:space="0" w:color="auto"/>
                        <w:left w:val="none" w:sz="0" w:space="0" w:color="auto"/>
                        <w:bottom w:val="none" w:sz="0" w:space="0" w:color="auto"/>
                        <w:right w:val="none" w:sz="0" w:space="0" w:color="auto"/>
                      </w:divBdr>
                    </w:div>
                  </w:divsChild>
                </w:div>
                <w:div w:id="1511606718">
                  <w:marLeft w:val="0"/>
                  <w:marRight w:val="0"/>
                  <w:marTop w:val="0"/>
                  <w:marBottom w:val="0"/>
                  <w:divBdr>
                    <w:top w:val="none" w:sz="0" w:space="0" w:color="auto"/>
                    <w:left w:val="none" w:sz="0" w:space="0" w:color="auto"/>
                    <w:bottom w:val="none" w:sz="0" w:space="0" w:color="auto"/>
                    <w:right w:val="none" w:sz="0" w:space="0" w:color="auto"/>
                  </w:divBdr>
                  <w:divsChild>
                    <w:div w:id="1586304968">
                      <w:marLeft w:val="0"/>
                      <w:marRight w:val="0"/>
                      <w:marTop w:val="0"/>
                      <w:marBottom w:val="0"/>
                      <w:divBdr>
                        <w:top w:val="none" w:sz="0" w:space="0" w:color="auto"/>
                        <w:left w:val="none" w:sz="0" w:space="0" w:color="auto"/>
                        <w:bottom w:val="none" w:sz="0" w:space="0" w:color="auto"/>
                        <w:right w:val="none" w:sz="0" w:space="0" w:color="auto"/>
                      </w:divBdr>
                    </w:div>
                  </w:divsChild>
                </w:div>
                <w:div w:id="1564297437">
                  <w:marLeft w:val="0"/>
                  <w:marRight w:val="0"/>
                  <w:marTop w:val="0"/>
                  <w:marBottom w:val="0"/>
                  <w:divBdr>
                    <w:top w:val="none" w:sz="0" w:space="0" w:color="auto"/>
                    <w:left w:val="none" w:sz="0" w:space="0" w:color="auto"/>
                    <w:bottom w:val="none" w:sz="0" w:space="0" w:color="auto"/>
                    <w:right w:val="none" w:sz="0" w:space="0" w:color="auto"/>
                  </w:divBdr>
                  <w:divsChild>
                    <w:div w:id="396711681">
                      <w:marLeft w:val="0"/>
                      <w:marRight w:val="0"/>
                      <w:marTop w:val="0"/>
                      <w:marBottom w:val="0"/>
                      <w:divBdr>
                        <w:top w:val="none" w:sz="0" w:space="0" w:color="auto"/>
                        <w:left w:val="none" w:sz="0" w:space="0" w:color="auto"/>
                        <w:bottom w:val="none" w:sz="0" w:space="0" w:color="auto"/>
                        <w:right w:val="none" w:sz="0" w:space="0" w:color="auto"/>
                      </w:divBdr>
                    </w:div>
                  </w:divsChild>
                </w:div>
                <w:div w:id="1586190197">
                  <w:marLeft w:val="0"/>
                  <w:marRight w:val="0"/>
                  <w:marTop w:val="0"/>
                  <w:marBottom w:val="0"/>
                  <w:divBdr>
                    <w:top w:val="none" w:sz="0" w:space="0" w:color="auto"/>
                    <w:left w:val="none" w:sz="0" w:space="0" w:color="auto"/>
                    <w:bottom w:val="none" w:sz="0" w:space="0" w:color="auto"/>
                    <w:right w:val="none" w:sz="0" w:space="0" w:color="auto"/>
                  </w:divBdr>
                  <w:divsChild>
                    <w:div w:id="1689137611">
                      <w:marLeft w:val="0"/>
                      <w:marRight w:val="0"/>
                      <w:marTop w:val="0"/>
                      <w:marBottom w:val="0"/>
                      <w:divBdr>
                        <w:top w:val="none" w:sz="0" w:space="0" w:color="auto"/>
                        <w:left w:val="none" w:sz="0" w:space="0" w:color="auto"/>
                        <w:bottom w:val="none" w:sz="0" w:space="0" w:color="auto"/>
                        <w:right w:val="none" w:sz="0" w:space="0" w:color="auto"/>
                      </w:divBdr>
                    </w:div>
                  </w:divsChild>
                </w:div>
                <w:div w:id="1999532403">
                  <w:marLeft w:val="0"/>
                  <w:marRight w:val="0"/>
                  <w:marTop w:val="0"/>
                  <w:marBottom w:val="0"/>
                  <w:divBdr>
                    <w:top w:val="none" w:sz="0" w:space="0" w:color="auto"/>
                    <w:left w:val="none" w:sz="0" w:space="0" w:color="auto"/>
                    <w:bottom w:val="none" w:sz="0" w:space="0" w:color="auto"/>
                    <w:right w:val="none" w:sz="0" w:space="0" w:color="auto"/>
                  </w:divBdr>
                  <w:divsChild>
                    <w:div w:id="1970359578">
                      <w:marLeft w:val="0"/>
                      <w:marRight w:val="0"/>
                      <w:marTop w:val="0"/>
                      <w:marBottom w:val="0"/>
                      <w:divBdr>
                        <w:top w:val="none" w:sz="0" w:space="0" w:color="auto"/>
                        <w:left w:val="none" w:sz="0" w:space="0" w:color="auto"/>
                        <w:bottom w:val="none" w:sz="0" w:space="0" w:color="auto"/>
                        <w:right w:val="none" w:sz="0" w:space="0" w:color="auto"/>
                      </w:divBdr>
                    </w:div>
                  </w:divsChild>
                </w:div>
                <w:div w:id="2128890975">
                  <w:marLeft w:val="0"/>
                  <w:marRight w:val="0"/>
                  <w:marTop w:val="0"/>
                  <w:marBottom w:val="0"/>
                  <w:divBdr>
                    <w:top w:val="none" w:sz="0" w:space="0" w:color="auto"/>
                    <w:left w:val="none" w:sz="0" w:space="0" w:color="auto"/>
                    <w:bottom w:val="none" w:sz="0" w:space="0" w:color="auto"/>
                    <w:right w:val="none" w:sz="0" w:space="0" w:color="auto"/>
                  </w:divBdr>
                  <w:divsChild>
                    <w:div w:id="8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22064">
          <w:marLeft w:val="0"/>
          <w:marRight w:val="0"/>
          <w:marTop w:val="0"/>
          <w:marBottom w:val="0"/>
          <w:divBdr>
            <w:top w:val="none" w:sz="0" w:space="0" w:color="auto"/>
            <w:left w:val="none" w:sz="0" w:space="0" w:color="auto"/>
            <w:bottom w:val="none" w:sz="0" w:space="0" w:color="auto"/>
            <w:right w:val="none" w:sz="0" w:space="0" w:color="auto"/>
          </w:divBdr>
        </w:div>
      </w:divsChild>
    </w:div>
    <w:div w:id="2028216996">
      <w:bodyDiv w:val="1"/>
      <w:marLeft w:val="0"/>
      <w:marRight w:val="0"/>
      <w:marTop w:val="0"/>
      <w:marBottom w:val="0"/>
      <w:divBdr>
        <w:top w:val="none" w:sz="0" w:space="0" w:color="auto"/>
        <w:left w:val="none" w:sz="0" w:space="0" w:color="auto"/>
        <w:bottom w:val="none" w:sz="0" w:space="0" w:color="auto"/>
        <w:right w:val="none" w:sz="0" w:space="0" w:color="auto"/>
      </w:divBdr>
      <w:divsChild>
        <w:div w:id="157045182">
          <w:marLeft w:val="0"/>
          <w:marRight w:val="0"/>
          <w:marTop w:val="0"/>
          <w:marBottom w:val="0"/>
          <w:divBdr>
            <w:top w:val="none" w:sz="0" w:space="0" w:color="auto"/>
            <w:left w:val="none" w:sz="0" w:space="0" w:color="auto"/>
            <w:bottom w:val="none" w:sz="0" w:space="0" w:color="auto"/>
            <w:right w:val="none" w:sz="0" w:space="0" w:color="auto"/>
          </w:divBdr>
        </w:div>
        <w:div w:id="517696604">
          <w:marLeft w:val="0"/>
          <w:marRight w:val="0"/>
          <w:marTop w:val="0"/>
          <w:marBottom w:val="0"/>
          <w:divBdr>
            <w:top w:val="none" w:sz="0" w:space="0" w:color="auto"/>
            <w:left w:val="none" w:sz="0" w:space="0" w:color="auto"/>
            <w:bottom w:val="none" w:sz="0" w:space="0" w:color="auto"/>
            <w:right w:val="none" w:sz="0" w:space="0" w:color="auto"/>
          </w:divBdr>
        </w:div>
        <w:div w:id="554396025">
          <w:marLeft w:val="0"/>
          <w:marRight w:val="0"/>
          <w:marTop w:val="0"/>
          <w:marBottom w:val="0"/>
          <w:divBdr>
            <w:top w:val="none" w:sz="0" w:space="0" w:color="auto"/>
            <w:left w:val="none" w:sz="0" w:space="0" w:color="auto"/>
            <w:bottom w:val="none" w:sz="0" w:space="0" w:color="auto"/>
            <w:right w:val="none" w:sz="0" w:space="0" w:color="auto"/>
          </w:divBdr>
        </w:div>
        <w:div w:id="884563454">
          <w:marLeft w:val="0"/>
          <w:marRight w:val="0"/>
          <w:marTop w:val="0"/>
          <w:marBottom w:val="0"/>
          <w:divBdr>
            <w:top w:val="none" w:sz="0" w:space="0" w:color="auto"/>
            <w:left w:val="none" w:sz="0" w:space="0" w:color="auto"/>
            <w:bottom w:val="none" w:sz="0" w:space="0" w:color="auto"/>
            <w:right w:val="none" w:sz="0" w:space="0" w:color="auto"/>
          </w:divBdr>
        </w:div>
      </w:divsChild>
    </w:div>
    <w:div w:id="2053724968">
      <w:bodyDiv w:val="1"/>
      <w:marLeft w:val="0"/>
      <w:marRight w:val="0"/>
      <w:marTop w:val="0"/>
      <w:marBottom w:val="0"/>
      <w:divBdr>
        <w:top w:val="none" w:sz="0" w:space="0" w:color="auto"/>
        <w:left w:val="none" w:sz="0" w:space="0" w:color="auto"/>
        <w:bottom w:val="none" w:sz="0" w:space="0" w:color="auto"/>
        <w:right w:val="none" w:sz="0" w:space="0" w:color="auto"/>
      </w:divBdr>
      <w:divsChild>
        <w:div w:id="248659259">
          <w:marLeft w:val="0"/>
          <w:marRight w:val="0"/>
          <w:marTop w:val="0"/>
          <w:marBottom w:val="0"/>
          <w:divBdr>
            <w:top w:val="none" w:sz="0" w:space="0" w:color="auto"/>
            <w:left w:val="none" w:sz="0" w:space="0" w:color="auto"/>
            <w:bottom w:val="none" w:sz="0" w:space="0" w:color="auto"/>
            <w:right w:val="none" w:sz="0" w:space="0" w:color="auto"/>
          </w:divBdr>
        </w:div>
        <w:div w:id="273371756">
          <w:marLeft w:val="0"/>
          <w:marRight w:val="0"/>
          <w:marTop w:val="0"/>
          <w:marBottom w:val="0"/>
          <w:divBdr>
            <w:top w:val="none" w:sz="0" w:space="0" w:color="auto"/>
            <w:left w:val="none" w:sz="0" w:space="0" w:color="auto"/>
            <w:bottom w:val="none" w:sz="0" w:space="0" w:color="auto"/>
            <w:right w:val="none" w:sz="0" w:space="0" w:color="auto"/>
          </w:divBdr>
        </w:div>
        <w:div w:id="654339306">
          <w:marLeft w:val="0"/>
          <w:marRight w:val="0"/>
          <w:marTop w:val="0"/>
          <w:marBottom w:val="0"/>
          <w:divBdr>
            <w:top w:val="none" w:sz="0" w:space="0" w:color="auto"/>
            <w:left w:val="none" w:sz="0" w:space="0" w:color="auto"/>
            <w:bottom w:val="none" w:sz="0" w:space="0" w:color="auto"/>
            <w:right w:val="none" w:sz="0" w:space="0" w:color="auto"/>
          </w:divBdr>
        </w:div>
        <w:div w:id="1111432595">
          <w:marLeft w:val="0"/>
          <w:marRight w:val="0"/>
          <w:marTop w:val="0"/>
          <w:marBottom w:val="0"/>
          <w:divBdr>
            <w:top w:val="none" w:sz="0" w:space="0" w:color="auto"/>
            <w:left w:val="none" w:sz="0" w:space="0" w:color="auto"/>
            <w:bottom w:val="none" w:sz="0" w:space="0" w:color="auto"/>
            <w:right w:val="none" w:sz="0" w:space="0" w:color="auto"/>
          </w:divBdr>
        </w:div>
        <w:div w:id="1382053434">
          <w:marLeft w:val="0"/>
          <w:marRight w:val="0"/>
          <w:marTop w:val="0"/>
          <w:marBottom w:val="0"/>
          <w:divBdr>
            <w:top w:val="none" w:sz="0" w:space="0" w:color="auto"/>
            <w:left w:val="none" w:sz="0" w:space="0" w:color="auto"/>
            <w:bottom w:val="none" w:sz="0" w:space="0" w:color="auto"/>
            <w:right w:val="none" w:sz="0" w:space="0" w:color="auto"/>
          </w:divBdr>
        </w:div>
        <w:div w:id="1428233831">
          <w:marLeft w:val="0"/>
          <w:marRight w:val="0"/>
          <w:marTop w:val="0"/>
          <w:marBottom w:val="0"/>
          <w:divBdr>
            <w:top w:val="none" w:sz="0" w:space="0" w:color="auto"/>
            <w:left w:val="none" w:sz="0" w:space="0" w:color="auto"/>
            <w:bottom w:val="none" w:sz="0" w:space="0" w:color="auto"/>
            <w:right w:val="none" w:sz="0" w:space="0" w:color="auto"/>
          </w:divBdr>
        </w:div>
        <w:div w:id="1979413559">
          <w:marLeft w:val="0"/>
          <w:marRight w:val="0"/>
          <w:marTop w:val="0"/>
          <w:marBottom w:val="0"/>
          <w:divBdr>
            <w:top w:val="none" w:sz="0" w:space="0" w:color="auto"/>
            <w:left w:val="none" w:sz="0" w:space="0" w:color="auto"/>
            <w:bottom w:val="none" w:sz="0" w:space="0" w:color="auto"/>
            <w:right w:val="none" w:sz="0" w:space="0" w:color="auto"/>
          </w:divBdr>
        </w:div>
      </w:divsChild>
    </w:div>
    <w:div w:id="2097628219">
      <w:bodyDiv w:val="1"/>
      <w:marLeft w:val="0"/>
      <w:marRight w:val="0"/>
      <w:marTop w:val="0"/>
      <w:marBottom w:val="0"/>
      <w:divBdr>
        <w:top w:val="none" w:sz="0" w:space="0" w:color="auto"/>
        <w:left w:val="none" w:sz="0" w:space="0" w:color="auto"/>
        <w:bottom w:val="none" w:sz="0" w:space="0" w:color="auto"/>
        <w:right w:val="none" w:sz="0" w:space="0" w:color="auto"/>
      </w:divBdr>
      <w:divsChild>
        <w:div w:id="204221036">
          <w:marLeft w:val="0"/>
          <w:marRight w:val="0"/>
          <w:marTop w:val="0"/>
          <w:marBottom w:val="0"/>
          <w:divBdr>
            <w:top w:val="none" w:sz="0" w:space="0" w:color="auto"/>
            <w:left w:val="none" w:sz="0" w:space="0" w:color="auto"/>
            <w:bottom w:val="none" w:sz="0" w:space="0" w:color="auto"/>
            <w:right w:val="none" w:sz="0" w:space="0" w:color="auto"/>
          </w:divBdr>
          <w:divsChild>
            <w:div w:id="190609754">
              <w:marLeft w:val="0"/>
              <w:marRight w:val="0"/>
              <w:marTop w:val="0"/>
              <w:marBottom w:val="0"/>
              <w:divBdr>
                <w:top w:val="none" w:sz="0" w:space="0" w:color="auto"/>
                <w:left w:val="none" w:sz="0" w:space="0" w:color="auto"/>
                <w:bottom w:val="none" w:sz="0" w:space="0" w:color="auto"/>
                <w:right w:val="none" w:sz="0" w:space="0" w:color="auto"/>
              </w:divBdr>
            </w:div>
          </w:divsChild>
        </w:div>
        <w:div w:id="934941258">
          <w:marLeft w:val="0"/>
          <w:marRight w:val="0"/>
          <w:marTop w:val="0"/>
          <w:marBottom w:val="0"/>
          <w:divBdr>
            <w:top w:val="none" w:sz="0" w:space="0" w:color="auto"/>
            <w:left w:val="none" w:sz="0" w:space="0" w:color="auto"/>
            <w:bottom w:val="none" w:sz="0" w:space="0" w:color="auto"/>
            <w:right w:val="none" w:sz="0" w:space="0" w:color="auto"/>
          </w:divBdr>
        </w:div>
      </w:divsChild>
    </w:div>
    <w:div w:id="2107071595">
      <w:bodyDiv w:val="1"/>
      <w:marLeft w:val="0"/>
      <w:marRight w:val="0"/>
      <w:marTop w:val="0"/>
      <w:marBottom w:val="0"/>
      <w:divBdr>
        <w:top w:val="none" w:sz="0" w:space="0" w:color="auto"/>
        <w:left w:val="none" w:sz="0" w:space="0" w:color="auto"/>
        <w:bottom w:val="none" w:sz="0" w:space="0" w:color="auto"/>
        <w:right w:val="none" w:sz="0" w:space="0" w:color="auto"/>
      </w:divBdr>
      <w:divsChild>
        <w:div w:id="240142142">
          <w:marLeft w:val="0"/>
          <w:marRight w:val="0"/>
          <w:marTop w:val="0"/>
          <w:marBottom w:val="0"/>
          <w:divBdr>
            <w:top w:val="none" w:sz="0" w:space="0" w:color="auto"/>
            <w:left w:val="none" w:sz="0" w:space="0" w:color="auto"/>
            <w:bottom w:val="none" w:sz="0" w:space="0" w:color="auto"/>
            <w:right w:val="none" w:sz="0" w:space="0" w:color="auto"/>
          </w:divBdr>
        </w:div>
        <w:div w:id="553346332">
          <w:marLeft w:val="0"/>
          <w:marRight w:val="0"/>
          <w:marTop w:val="0"/>
          <w:marBottom w:val="0"/>
          <w:divBdr>
            <w:top w:val="none" w:sz="0" w:space="0" w:color="auto"/>
            <w:left w:val="none" w:sz="0" w:space="0" w:color="auto"/>
            <w:bottom w:val="none" w:sz="0" w:space="0" w:color="auto"/>
            <w:right w:val="none" w:sz="0" w:space="0" w:color="auto"/>
          </w:divBdr>
        </w:div>
        <w:div w:id="1405448972">
          <w:marLeft w:val="0"/>
          <w:marRight w:val="0"/>
          <w:marTop w:val="0"/>
          <w:marBottom w:val="0"/>
          <w:divBdr>
            <w:top w:val="none" w:sz="0" w:space="0" w:color="auto"/>
            <w:left w:val="none" w:sz="0" w:space="0" w:color="auto"/>
            <w:bottom w:val="none" w:sz="0" w:space="0" w:color="auto"/>
            <w:right w:val="none" w:sz="0" w:space="0" w:color="auto"/>
          </w:divBdr>
        </w:div>
        <w:div w:id="1443375860">
          <w:marLeft w:val="0"/>
          <w:marRight w:val="0"/>
          <w:marTop w:val="0"/>
          <w:marBottom w:val="0"/>
          <w:divBdr>
            <w:top w:val="none" w:sz="0" w:space="0" w:color="auto"/>
            <w:left w:val="none" w:sz="0" w:space="0" w:color="auto"/>
            <w:bottom w:val="none" w:sz="0" w:space="0" w:color="auto"/>
            <w:right w:val="none" w:sz="0" w:space="0" w:color="auto"/>
          </w:divBdr>
        </w:div>
        <w:div w:id="1626766264">
          <w:marLeft w:val="0"/>
          <w:marRight w:val="0"/>
          <w:marTop w:val="0"/>
          <w:marBottom w:val="0"/>
          <w:divBdr>
            <w:top w:val="none" w:sz="0" w:space="0" w:color="auto"/>
            <w:left w:val="none" w:sz="0" w:space="0" w:color="auto"/>
            <w:bottom w:val="none" w:sz="0" w:space="0" w:color="auto"/>
            <w:right w:val="none" w:sz="0" w:space="0" w:color="auto"/>
          </w:divBdr>
        </w:div>
        <w:div w:id="1653564170">
          <w:marLeft w:val="0"/>
          <w:marRight w:val="0"/>
          <w:marTop w:val="0"/>
          <w:marBottom w:val="0"/>
          <w:divBdr>
            <w:top w:val="none" w:sz="0" w:space="0" w:color="auto"/>
            <w:left w:val="none" w:sz="0" w:space="0" w:color="auto"/>
            <w:bottom w:val="none" w:sz="0" w:space="0" w:color="auto"/>
            <w:right w:val="none" w:sz="0" w:space="0" w:color="auto"/>
          </w:divBdr>
        </w:div>
        <w:div w:id="1987201831">
          <w:marLeft w:val="0"/>
          <w:marRight w:val="0"/>
          <w:marTop w:val="0"/>
          <w:marBottom w:val="0"/>
          <w:divBdr>
            <w:top w:val="none" w:sz="0" w:space="0" w:color="auto"/>
            <w:left w:val="none" w:sz="0" w:space="0" w:color="auto"/>
            <w:bottom w:val="none" w:sz="0" w:space="0" w:color="auto"/>
            <w:right w:val="none" w:sz="0" w:space="0" w:color="auto"/>
          </w:divBdr>
        </w:div>
      </w:divsChild>
    </w:div>
    <w:div w:id="21409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usiness.gov.au/contact-us" TargetMode="External"/><Relationship Id="rId18" Type="http://schemas.openxmlformats.org/officeDocument/2006/relationships/hyperlink" Target="https://www.grants.gov.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bgaauth.business.gov.au/grants-and-programs/powering-the-regions-fund-safeguard-transformation-stream-round-2" TargetMode="External"/><Relationship Id="rId7" Type="http://schemas.openxmlformats.org/officeDocument/2006/relationships/styles" Target="styles.xml"/><Relationship Id="rId12" Type="http://schemas.openxmlformats.org/officeDocument/2006/relationships/hyperlink" Target="https://bgaauth.business.gov.au/grants-and-programs/powering-the-regions-fund-safeguard-transformation-stream-round-2" TargetMode="External"/><Relationship Id="rId17" Type="http://schemas.openxmlformats.org/officeDocument/2006/relationships/hyperlink" Target="https://arena.gov.au/funding/powering-the-regions-industrial-transformation-strea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Details/F2023C00600" TargetMode="External"/><Relationship Id="rId20" Type="http://schemas.openxmlformats.org/officeDocument/2006/relationships/hyperlink" Target="https://business.gov.au/grants-and-programs/powering-the-regions-fund-safeguard-transformation-stream-round-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gea.gov.au/what-we-do/compliance-reporting/non-compliant-lis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to.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redress.gov.au/"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MATT!106408509.1</documentid>
  <senderid>LOD</senderid>
  <senderemail>LARA.DOUGLAS@SPARKE.COM.AU</senderemail>
  <lastmodified>2026-01-22T10:07:00.0000000+11:00</lastmodified>
  <database>MATT</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0" ma:contentTypeDescription="Create a new document." ma:contentTypeScope="" ma:versionID="1a5a1b04dc65c726950768a7bec842c3">
  <xsd:schema xmlns:xsd="http://www.w3.org/2001/XMLSchema" xmlns:xs="http://www.w3.org/2001/XMLSchema" xmlns:p="http://schemas.microsoft.com/office/2006/metadata/properties" xmlns:ns1="http://schemas.microsoft.com/sharepoint/v3" xmlns:ns2="a6e86820-684a-4c77-a2e2-d773523b5b34" xmlns:ns3="263e80a3-83eb-403e-a237-b3125a65bc88" xmlns:ns4="d81c2681-db7b-4a56-9abd-a3238a78f6b2" xmlns:ns5="e8238601-ce47-4778-85d0-8b1d6564965a" targetNamespace="http://schemas.microsoft.com/office/2006/metadata/properties" ma:root="true" ma:fieldsID="feea9060cef51a96d9ea4932214e06e1" ns1:_="" ns2:_="" ns3:_="" ns4:_="" ns5:_="">
    <xsd:import namespace="http://schemas.microsoft.com/sharepoint/v3"/>
    <xsd:import namespace="a6e86820-684a-4c77-a2e2-d773523b5b34"/>
    <xsd:import namespace="263e80a3-83eb-403e-a237-b3125a65bc88"/>
    <xsd:import namespace="d81c2681-db7b-4a56-9abd-a3238a78f6b2"/>
    <xsd:import namespace="e8238601-ce47-4778-85d0-8b1d65649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Authorship" minOccurs="0"/>
                <xsd:element ref="ns3:MediaServiceObjectDetectorVersions" minOccurs="0"/>
                <xsd:element ref="ns3:MediaLengthInSeconds" minOccurs="0"/>
                <xsd:element ref="ns3:MediaServiceSearchProperties" minOccurs="0"/>
                <xsd:element ref="ns1:_ip_UnifiedCompliancePolicyProperties" minOccurs="0"/>
                <xsd:element ref="ns1:_ip_UnifiedCompliancePolicyUIAction" minOccurs="0"/>
                <xsd:element ref="ns4:lcf76f155ced4ddcb4097134ff3c332f" minOccurs="0"/>
                <xsd:element ref="ns5:TaxCatchAll" minOccurs="0"/>
                <xsd:element ref="ns4:Confidential" minOccurs="0"/>
                <xsd:element ref="ns4:_Flow_SignoffStatus" minOccurs="0"/>
                <xsd:element ref="ns4: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86820-684a-4c77-a2e2-d773523b5b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e80a3-83eb-403e-a237-b3125a65bc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Authorship" ma:index="17" nillable="true" ma:displayName="Authorship" ma:format="Dropdown" ma:internalName="Authorship">
      <xsd:simpleType>
        <xsd:restriction base="dms:Choice">
          <xsd:enumeration value="Government"/>
          <xsd:enumeration value="Industry"/>
          <xsd:enumeration value="Academic"/>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Confidential" ma:index="26" nillable="true" ma:displayName="Confidential" ma:default="1" ma:description="private &amp; confidential submission, not to be circulated further" ma:format="Dropdown" ma:internalName="Confidential">
      <xsd:simpleType>
        <xsd:restriction base="dms:Boolean"/>
      </xsd:simpleType>
    </xsd:element>
    <xsd:element name="_Flow_SignoffStatus" ma:index="27" nillable="true" ma:displayName="Sign-off status" ma:internalName="_x0024_Resources_x003a_core_x002c_Signoff_Status">
      <xsd:simpleType>
        <xsd:restriction base="dms:Text"/>
      </xsd:simpleType>
    </xsd:element>
    <xsd:element name="Notes" ma:index="28" nillable="true" ma:displayName="Notes" ma:description="Attached from email from Malte 25/3/25 subject &quot;Descriptive Part&quot;"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377e666-b4a3-4192-96f6-33d15ca309d3}"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ship xmlns="263e80a3-83eb-403e-a237-b3125a65bc88" xsi:nil="true"/>
    <TaxCatchAll xmlns="e8238601-ce47-4778-85d0-8b1d6564965a" xsi:nil="true"/>
    <lcf76f155ced4ddcb4097134ff3c332f xmlns="d81c2681-db7b-4a56-9abd-a3238a78f6b2">
      <Terms xmlns="http://schemas.microsoft.com/office/infopath/2007/PartnerControls"/>
    </lcf76f155ced4ddcb4097134ff3c332f>
    <_ip_UnifiedCompliancePolicyUIAction xmlns="http://schemas.microsoft.com/sharepoint/v3" xsi:nil="true"/>
    <_Flow_SignoffStatus xmlns="d81c2681-db7b-4a56-9abd-a3238a78f6b2" xsi:nil="true"/>
    <_ip_UnifiedCompliancePolicyProperties xmlns="http://schemas.microsoft.com/sharepoint/v3" xsi:nil="true"/>
    <Confidential xmlns="d81c2681-db7b-4a56-9abd-a3238a78f6b2">true</Confidential>
    <Notes xmlns="d81c2681-db7b-4a56-9abd-a3238a78f6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C884-B7F8-48AD-B11A-37CCA65ED6AD}">
  <ds:schemaRefs>
    <ds:schemaRef ds:uri="http://www.imanage.com/work/xmlschema"/>
  </ds:schemaRefs>
</ds:datastoreItem>
</file>

<file path=customXml/itemProps2.xml><?xml version="1.0" encoding="utf-8"?>
<ds:datastoreItem xmlns:ds="http://schemas.openxmlformats.org/officeDocument/2006/customXml" ds:itemID="{99BDB19A-AF67-4739-8F1F-39C5F098A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e86820-684a-4c77-a2e2-d773523b5b34"/>
    <ds:schemaRef ds:uri="263e80a3-83eb-403e-a237-b3125a65bc88"/>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F44EF-EE68-4C22-90CB-25AB2AD6ECDE}">
  <ds:schemaRefs>
    <ds:schemaRef ds:uri="http://schemas.microsoft.com/office/2006/metadata/properties"/>
    <ds:schemaRef ds:uri="e8238601-ce47-4778-85d0-8b1d6564965a"/>
    <ds:schemaRef ds:uri="http://www.w3.org/XML/1998/namespace"/>
    <ds:schemaRef ds:uri="http://schemas.microsoft.com/sharepoint/v3"/>
    <ds:schemaRef ds:uri="http://schemas.microsoft.com/office/infopath/2007/PartnerControls"/>
    <ds:schemaRef ds:uri="http://purl.org/dc/dcmitype/"/>
    <ds:schemaRef ds:uri="http://schemas.openxmlformats.org/package/2006/metadata/core-properties"/>
    <ds:schemaRef ds:uri="d81c2681-db7b-4a56-9abd-a3238a78f6b2"/>
    <ds:schemaRef ds:uri="263e80a3-83eb-403e-a237-b3125a65bc88"/>
    <ds:schemaRef ds:uri="http://schemas.microsoft.com/office/2006/documentManagement/types"/>
    <ds:schemaRef ds:uri="a6e86820-684a-4c77-a2e2-d773523b5b34"/>
    <ds:schemaRef ds:uri="http://purl.org/dc/terms/"/>
    <ds:schemaRef ds:uri="http://purl.org/dc/elements/1.1/"/>
  </ds:schemaRefs>
</ds:datastoreItem>
</file>

<file path=customXml/itemProps4.xml><?xml version="1.0" encoding="utf-8"?>
<ds:datastoreItem xmlns:ds="http://schemas.openxmlformats.org/officeDocument/2006/customXml" ds:itemID="{AC018931-263D-4349-8E0B-B498E199FD84}">
  <ds:schemaRefs>
    <ds:schemaRef ds:uri="http://schemas.microsoft.com/sharepoint/v3/contenttype/forms"/>
  </ds:schemaRefs>
</ds:datastoreItem>
</file>

<file path=customXml/itemProps5.xml><?xml version="1.0" encoding="utf-8"?>
<ds:datastoreItem xmlns:ds="http://schemas.openxmlformats.org/officeDocument/2006/customXml" ds:itemID="{7A89F935-1950-42C6-9349-441638C1F930}">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5170</Words>
  <Characters>27493</Characters>
  <Application>Microsoft Office Word</Application>
  <DocSecurity>0</DocSecurity>
  <Lines>473</Lines>
  <Paragraphs>252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32532</CharactersWithSpaces>
  <SharedDoc>false</SharedDoc>
  <HLinks>
    <vt:vector size="48" baseType="variant">
      <vt:variant>
        <vt:i4>1638490</vt:i4>
      </vt:variant>
      <vt:variant>
        <vt:i4>21</vt:i4>
      </vt:variant>
      <vt:variant>
        <vt:i4>0</vt:i4>
      </vt:variant>
      <vt:variant>
        <vt:i4>5</vt:i4>
      </vt:variant>
      <vt:variant>
        <vt:lpwstr>https://business.gov.au/grants-and-programs/powering-the-regions-fund-safeguard-transformation-stream-round-1</vt:lpwstr>
      </vt:variant>
      <vt:variant>
        <vt:lpwstr/>
      </vt:variant>
      <vt:variant>
        <vt:i4>7864360</vt:i4>
      </vt:variant>
      <vt:variant>
        <vt:i4>18</vt:i4>
      </vt:variant>
      <vt:variant>
        <vt:i4>0</vt:i4>
      </vt:variant>
      <vt:variant>
        <vt:i4>5</vt:i4>
      </vt:variant>
      <vt:variant>
        <vt:lpwstr>https://www.grants.gov.au/</vt:lpwstr>
      </vt:variant>
      <vt:variant>
        <vt:lpwstr/>
      </vt:variant>
      <vt:variant>
        <vt:i4>6881400</vt:i4>
      </vt:variant>
      <vt:variant>
        <vt:i4>15</vt:i4>
      </vt:variant>
      <vt:variant>
        <vt:i4>0</vt:i4>
      </vt:variant>
      <vt:variant>
        <vt:i4>5</vt:i4>
      </vt:variant>
      <vt:variant>
        <vt:lpwstr>https://arena.gov.au/funding/powering-the-regions-industrial-transformation-stream/</vt:lpwstr>
      </vt:variant>
      <vt:variant>
        <vt:lpwstr/>
      </vt:variant>
      <vt:variant>
        <vt:i4>7340069</vt:i4>
      </vt:variant>
      <vt:variant>
        <vt:i4>12</vt:i4>
      </vt:variant>
      <vt:variant>
        <vt:i4>0</vt:i4>
      </vt:variant>
      <vt:variant>
        <vt:i4>5</vt:i4>
      </vt:variant>
      <vt:variant>
        <vt:lpwstr>https://www.legislation.gov.au/Details/F2023C00600</vt:lpwstr>
      </vt:variant>
      <vt:variant>
        <vt:lpwstr/>
      </vt:variant>
      <vt:variant>
        <vt:i4>2097206</vt:i4>
      </vt:variant>
      <vt:variant>
        <vt:i4>9</vt:i4>
      </vt:variant>
      <vt:variant>
        <vt:i4>0</vt:i4>
      </vt:variant>
      <vt:variant>
        <vt:i4>5</vt:i4>
      </vt:variant>
      <vt:variant>
        <vt:lpwstr>https://www.wgea.gov.au/what-we-do/compliance-reporting/non-compliant-list</vt:lpwstr>
      </vt:variant>
      <vt:variant>
        <vt:lpwstr/>
      </vt:variant>
      <vt:variant>
        <vt:i4>6291492</vt:i4>
      </vt:variant>
      <vt:variant>
        <vt:i4>6</vt:i4>
      </vt:variant>
      <vt:variant>
        <vt:i4>0</vt:i4>
      </vt:variant>
      <vt:variant>
        <vt:i4>5</vt:i4>
      </vt:variant>
      <vt:variant>
        <vt:lpwstr>http://www.nationalredress.gov.au/</vt:lpwstr>
      </vt:variant>
      <vt:variant>
        <vt:lpwstr/>
      </vt:variant>
      <vt:variant>
        <vt:i4>6422587</vt:i4>
      </vt:variant>
      <vt:variant>
        <vt:i4>3</vt:i4>
      </vt:variant>
      <vt:variant>
        <vt:i4>0</vt:i4>
      </vt:variant>
      <vt:variant>
        <vt:i4>5</vt:i4>
      </vt:variant>
      <vt:variant>
        <vt:lpwstr>https://business.gov.au/contact-us</vt:lpwstr>
      </vt:variant>
      <vt:variant>
        <vt:lpwstr/>
      </vt:variant>
      <vt:variant>
        <vt:i4>1638490</vt:i4>
      </vt:variant>
      <vt:variant>
        <vt:i4>0</vt:i4>
      </vt:variant>
      <vt:variant>
        <vt:i4>0</vt:i4>
      </vt:variant>
      <vt:variant>
        <vt:i4>5</vt:i4>
      </vt:variant>
      <vt:variant>
        <vt:lpwstr>https://business.gov.au/grants-and-programs/powering-the-regions-fund-safeguard-transformation-stream-round-2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2026-02-23T05:04:00Z</cp:lastPrinted>
  <dcterms:created xsi:type="dcterms:W3CDTF">2026-02-20T05:13:00Z</dcterms:created>
  <dcterms:modified xsi:type="dcterms:W3CDTF">2026-02-23T05:04:00Z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Hub_Year">
    <vt:lpwstr>46829;#2023|4fbcaf2e-c858-4248-836e-58ac5eb285ca</vt:lpwstr>
  </property>
  <property fmtid="{D5CDD505-2E9C-101B-9397-08002B2CF9AE}" pid="3" name="DocHub_WorkActivity">
    <vt:lpwstr>218;#Grants Management|ae56a7d0-9b4a-44c9-bf29-30efe76361d1</vt:lpwstr>
  </property>
  <property fmtid="{D5CDD505-2E9C-101B-9397-08002B2CF9AE}" pid="4" name="DocHub_Keywords">
    <vt:lpwstr>42827;#Hydrogen Hubs|aefdd462-8fdb-4979-9261-7e9f2cf599b4;#48489;#Townsville Hydrogen Hub|2bfce385-811e-4e58-8be9-937d8cc9285f</vt:lpwstr>
  </property>
  <property fmtid="{D5CDD505-2E9C-101B-9397-08002B2CF9AE}" pid="5" name="DocHub_DocumentType">
    <vt:lpwstr>5063;#Frequently Asked Questions|752e88a4-b1d1-4a20-8d2b-1e0e29e3494a</vt:lpwstr>
  </property>
  <property fmtid="{D5CDD505-2E9C-101B-9397-08002B2CF9AE}" pid="6" name="DocHub_SecurityClassification">
    <vt:lpwstr>40022;#OFFICIAL:Sensitive|11f6fb0b-52ce-4109-8f7f-521b2a62f692</vt:lpwstr>
  </property>
  <property fmtid="{D5CDD505-2E9C-101B-9397-08002B2CF9AE}" pid="7" name="DocHub_EntityCustomer">
    <vt:lpwstr/>
  </property>
  <property fmtid="{D5CDD505-2E9C-101B-9397-08002B2CF9AE}" pid="8" name="MediaServiceImageTags">
    <vt:lpwstr/>
  </property>
  <property fmtid="{D5CDD505-2E9C-101B-9397-08002B2CF9AE}" pid="9" name="ClassificationContentMarkingHeaderShapeIds">
    <vt:lpwstr>1051d095,3800f5a0,53230bb0</vt:lpwstr>
  </property>
  <property fmtid="{D5CDD505-2E9C-101B-9397-08002B2CF9AE}" pid="10" name="ClassificationContentMarkingHeaderFontProps">
    <vt:lpwstr>#c00000,12,Aptos</vt:lpwstr>
  </property>
  <property fmtid="{D5CDD505-2E9C-101B-9397-08002B2CF9AE}" pid="11" name="ClassificationContentMarkingHeaderText">
    <vt:lpwstr>OFFICIAL</vt:lpwstr>
  </property>
  <property fmtid="{D5CDD505-2E9C-101B-9397-08002B2CF9AE}" pid="12" name="ClassificationContentMarkingFooterShapeIds">
    <vt:lpwstr>30a7655b,627b38d0,60f16b7d</vt:lpwstr>
  </property>
  <property fmtid="{D5CDD505-2E9C-101B-9397-08002B2CF9AE}" pid="13" name="ClassificationContentMarkingFooterFontProps">
    <vt:lpwstr>#c00000,12,Aptos</vt:lpwstr>
  </property>
  <property fmtid="{D5CDD505-2E9C-101B-9397-08002B2CF9AE}" pid="14" name="ClassificationContentMarkingFooterText">
    <vt:lpwstr>OFFICIAL</vt:lpwstr>
  </property>
  <property fmtid="{D5CDD505-2E9C-101B-9397-08002B2CF9AE}" pid="15" name="ContentTypeId">
    <vt:lpwstr>0x010100D001B2BE74D025469E1D0E28F10DD2C8</vt:lpwstr>
  </property>
  <property fmtid="{D5CDD505-2E9C-101B-9397-08002B2CF9AE}" pid="16" name="Record_x0020_Classification">
    <vt:lpwstr/>
  </property>
  <property fmtid="{D5CDD505-2E9C-101B-9397-08002B2CF9AE}" pid="17" name="Record Classification">
    <vt:lpwstr/>
  </property>
  <property fmtid="{D5CDD505-2E9C-101B-9397-08002B2CF9AE}" pid="18" name="h64465b6520a47a58f1168c7a3f04764">
    <vt:lpwstr/>
  </property>
</Properties>
</file>