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E965B" w14:textId="77777777" w:rsidR="00AA7A87" w:rsidRPr="00624853" w:rsidRDefault="009D7E3E" w:rsidP="005F2A4B">
      <w:pPr>
        <w:pStyle w:val="Heading1"/>
      </w:pPr>
      <w:bookmarkStart w:id="0" w:name="_GoBack"/>
      <w:bookmarkEnd w:id="0"/>
      <w:r>
        <w:t xml:space="preserve">Preparing Australian Communities – </w:t>
      </w:r>
      <w:r w:rsidR="00C51637">
        <w:t>Local Stream</w:t>
      </w:r>
    </w:p>
    <w:p w14:paraId="54AADDC0"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2223F33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A09ED89" w14:textId="77777777" w:rsidR="00AA7A87" w:rsidRPr="0004098F" w:rsidRDefault="00AA7A87" w:rsidP="00FB2CBF">
            <w:pPr>
              <w:rPr>
                <w:color w:val="264F90"/>
              </w:rPr>
            </w:pPr>
            <w:r w:rsidRPr="0004098F">
              <w:rPr>
                <w:color w:val="264F90"/>
              </w:rPr>
              <w:t>Opening date:</w:t>
            </w:r>
          </w:p>
        </w:tc>
        <w:tc>
          <w:tcPr>
            <w:tcW w:w="5937" w:type="dxa"/>
          </w:tcPr>
          <w:p w14:paraId="29EA71FE" w14:textId="12AC05CE" w:rsidR="00AA7A87" w:rsidRPr="00F65C53" w:rsidRDefault="003E44C7" w:rsidP="00FB2CBF">
            <w:pPr>
              <w:cnfStyle w:val="100000000000" w:firstRow="1" w:lastRow="0" w:firstColumn="0" w:lastColumn="0" w:oddVBand="0" w:evenVBand="0" w:oddHBand="0" w:evenHBand="0" w:firstRowFirstColumn="0" w:firstRowLastColumn="0" w:lastRowFirstColumn="0" w:lastRowLastColumn="0"/>
              <w:rPr>
                <w:b w:val="0"/>
              </w:rPr>
            </w:pPr>
            <w:r>
              <w:rPr>
                <w:b w:val="0"/>
              </w:rPr>
              <w:t>10 December 2021</w:t>
            </w:r>
          </w:p>
        </w:tc>
      </w:tr>
      <w:tr w:rsidR="00AA7A87" w:rsidRPr="007040EB" w14:paraId="4991F93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8366BE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AD77954" w14:textId="1D359A72" w:rsidR="00AA7A87" w:rsidRDefault="003E44C7"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AA7A87" w:rsidRPr="00F65C53">
              <w:t>A</w:t>
            </w:r>
            <w:r w:rsidR="00F87B20">
              <w:t xml:space="preserve">ustralian Eastern Daylight Time </w:t>
            </w:r>
            <w:r w:rsidR="00AA7A87" w:rsidRPr="00F65C53">
              <w:t xml:space="preserve">on </w:t>
            </w:r>
            <w:r>
              <w:t>06 January 2022</w:t>
            </w:r>
          </w:p>
          <w:p w14:paraId="77566C9F"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22BCAFAD" w14:textId="77777777" w:rsidTr="009D7E3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0116FCC"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37FA91EB" w14:textId="77777777" w:rsidR="00AA7A87" w:rsidRPr="00F65C53" w:rsidRDefault="009D7E3E" w:rsidP="009D7E3E">
            <w:pPr>
              <w:cnfStyle w:val="000000000000" w:firstRow="0" w:lastRow="0" w:firstColumn="0" w:lastColumn="0" w:oddVBand="0" w:evenVBand="0" w:oddHBand="0" w:evenHBand="0" w:firstRowFirstColumn="0" w:firstRowLastColumn="0" w:lastRowFirstColumn="0" w:lastRowLastColumn="0"/>
            </w:pPr>
            <w:r>
              <w:t>National Recovery and Resilience Agency</w:t>
            </w:r>
          </w:p>
        </w:tc>
      </w:tr>
      <w:tr w:rsidR="00AA7A87" w:rsidRPr="007040EB" w14:paraId="2D33A36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BAC5604"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5D6CACF2"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77D56E86"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111221A"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9561E4D"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23CCF9C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1FE02F0"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18C39F8F" w14:textId="59678116" w:rsidR="00AA7A87" w:rsidRPr="00F65C53" w:rsidRDefault="003E44C7" w:rsidP="00FB2CBF">
            <w:pPr>
              <w:cnfStyle w:val="000000100000" w:firstRow="0" w:lastRow="0" w:firstColumn="0" w:lastColumn="0" w:oddVBand="0" w:evenVBand="0" w:oddHBand="1" w:evenHBand="0" w:firstRowFirstColumn="0" w:firstRowLastColumn="0" w:lastRowFirstColumn="0" w:lastRowLastColumn="0"/>
            </w:pPr>
            <w:r w:rsidRPr="003E44C7">
              <w:t>1 November 2021</w:t>
            </w:r>
          </w:p>
        </w:tc>
      </w:tr>
      <w:tr w:rsidR="00AA7A87" w14:paraId="296F238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7366A"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090F424C" w14:textId="77777777" w:rsidR="00AA7A87" w:rsidRPr="00F65C53" w:rsidRDefault="00AA7A87" w:rsidP="009D7E3E">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7B26ADA" w14:textId="77777777" w:rsidR="00C108BC" w:rsidRDefault="00C108BC" w:rsidP="00077C3D"/>
    <w:p w14:paraId="2BBE13C7" w14:textId="77777777" w:rsidR="003871B6" w:rsidRDefault="003871B6" w:rsidP="00077C3D">
      <w:pPr>
        <w:sectPr w:rsidR="003871B6" w:rsidSect="002007FC">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36097FA7" w14:textId="77777777" w:rsidR="00227D98" w:rsidRPr="00007E4B" w:rsidRDefault="00E31F9B" w:rsidP="005F2A4B">
      <w:pPr>
        <w:pStyle w:val="TOCHeading"/>
        <w:rPr>
          <w:lang w:val="en-AU"/>
        </w:rPr>
      </w:pPr>
      <w:r w:rsidRPr="00007E4B">
        <w:rPr>
          <w:lang w:val="en-AU"/>
        </w:rPr>
        <w:lastRenderedPageBreak/>
        <w:t>Contents</w:t>
      </w:r>
    </w:p>
    <w:p w14:paraId="0CB96576" w14:textId="77777777" w:rsidR="0020713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07131">
        <w:rPr>
          <w:noProof/>
        </w:rPr>
        <w:t>1.</w:t>
      </w:r>
      <w:r w:rsidR="00207131">
        <w:rPr>
          <w:rFonts w:asciiTheme="minorHAnsi" w:eastAsiaTheme="minorEastAsia" w:hAnsiTheme="minorHAnsi" w:cstheme="minorBidi"/>
          <w:b w:val="0"/>
          <w:iCs w:val="0"/>
          <w:noProof/>
          <w:sz w:val="22"/>
          <w:lang w:val="en-AU" w:eastAsia="en-AU"/>
        </w:rPr>
        <w:tab/>
      </w:r>
      <w:r w:rsidR="00207131">
        <w:rPr>
          <w:noProof/>
        </w:rPr>
        <w:t>Preparing Australian Communities: Local Stream</w:t>
      </w:r>
      <w:r w:rsidR="00207131">
        <w:rPr>
          <w:noProof/>
        </w:rPr>
        <w:tab/>
      </w:r>
      <w:r w:rsidR="00207131">
        <w:rPr>
          <w:noProof/>
        </w:rPr>
        <w:fldChar w:fldCharType="begin"/>
      </w:r>
      <w:r w:rsidR="00207131">
        <w:rPr>
          <w:noProof/>
        </w:rPr>
        <w:instrText xml:space="preserve"> PAGEREF _Toc84398429 \h </w:instrText>
      </w:r>
      <w:r w:rsidR="00207131">
        <w:rPr>
          <w:noProof/>
        </w:rPr>
      </w:r>
      <w:r w:rsidR="00207131">
        <w:rPr>
          <w:noProof/>
        </w:rPr>
        <w:fldChar w:fldCharType="separate"/>
      </w:r>
      <w:r w:rsidR="002B0F56">
        <w:rPr>
          <w:noProof/>
        </w:rPr>
        <w:t>4</w:t>
      </w:r>
      <w:r w:rsidR="00207131">
        <w:rPr>
          <w:noProof/>
        </w:rPr>
        <w:fldChar w:fldCharType="end"/>
      </w:r>
    </w:p>
    <w:p w14:paraId="3F76196A"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_Toc84398430 \h </w:instrText>
      </w:r>
      <w:r>
        <w:rPr>
          <w:noProof/>
        </w:rPr>
      </w:r>
      <w:r>
        <w:rPr>
          <w:noProof/>
        </w:rPr>
        <w:fldChar w:fldCharType="separate"/>
      </w:r>
      <w:r w:rsidR="002B0F56">
        <w:rPr>
          <w:noProof/>
        </w:rPr>
        <w:t>5</w:t>
      </w:r>
      <w:r>
        <w:rPr>
          <w:noProof/>
        </w:rPr>
        <w:fldChar w:fldCharType="end"/>
      </w:r>
    </w:p>
    <w:p w14:paraId="30B9BE2B" w14:textId="77777777" w:rsidR="00207131" w:rsidRDefault="0020713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Preparing Australian Communities Program – Local Stream</w:t>
      </w:r>
      <w:r>
        <w:rPr>
          <w:noProof/>
        </w:rPr>
        <w:tab/>
      </w:r>
      <w:r>
        <w:rPr>
          <w:noProof/>
        </w:rPr>
        <w:fldChar w:fldCharType="begin"/>
      </w:r>
      <w:r>
        <w:rPr>
          <w:noProof/>
        </w:rPr>
        <w:instrText xml:space="preserve"> PAGEREF _Toc84398431 \h </w:instrText>
      </w:r>
      <w:r>
        <w:rPr>
          <w:noProof/>
        </w:rPr>
      </w:r>
      <w:r>
        <w:rPr>
          <w:noProof/>
        </w:rPr>
        <w:fldChar w:fldCharType="separate"/>
      </w:r>
      <w:r w:rsidR="002B0F56">
        <w:rPr>
          <w:noProof/>
        </w:rPr>
        <w:t>5</w:t>
      </w:r>
      <w:r>
        <w:rPr>
          <w:noProof/>
        </w:rPr>
        <w:fldChar w:fldCharType="end"/>
      </w:r>
    </w:p>
    <w:p w14:paraId="60C1361C"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_Toc84398432 \h </w:instrText>
      </w:r>
      <w:r>
        <w:rPr>
          <w:noProof/>
        </w:rPr>
      </w:r>
      <w:r>
        <w:rPr>
          <w:noProof/>
        </w:rPr>
        <w:fldChar w:fldCharType="separate"/>
      </w:r>
      <w:r w:rsidR="002B0F56">
        <w:rPr>
          <w:noProof/>
        </w:rPr>
        <w:t>6</w:t>
      </w:r>
      <w:r>
        <w:rPr>
          <w:noProof/>
        </w:rPr>
        <w:fldChar w:fldCharType="end"/>
      </w:r>
    </w:p>
    <w:p w14:paraId="6F45BCBE" w14:textId="77777777" w:rsidR="00207131" w:rsidRDefault="0020713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_Toc84398433 \h </w:instrText>
      </w:r>
      <w:r>
        <w:rPr>
          <w:noProof/>
        </w:rPr>
      </w:r>
      <w:r>
        <w:rPr>
          <w:noProof/>
        </w:rPr>
        <w:fldChar w:fldCharType="separate"/>
      </w:r>
      <w:r w:rsidR="002B0F56">
        <w:rPr>
          <w:noProof/>
        </w:rPr>
        <w:t>6</w:t>
      </w:r>
      <w:r>
        <w:rPr>
          <w:noProof/>
        </w:rPr>
        <w:fldChar w:fldCharType="end"/>
      </w:r>
    </w:p>
    <w:p w14:paraId="6166A66E" w14:textId="77777777" w:rsidR="00207131" w:rsidRDefault="0020713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_Toc84398434 \h </w:instrText>
      </w:r>
      <w:r>
        <w:rPr>
          <w:noProof/>
        </w:rPr>
      </w:r>
      <w:r>
        <w:rPr>
          <w:noProof/>
        </w:rPr>
        <w:fldChar w:fldCharType="separate"/>
      </w:r>
      <w:r w:rsidR="002B0F56">
        <w:rPr>
          <w:noProof/>
        </w:rPr>
        <w:t>6</w:t>
      </w:r>
      <w:r>
        <w:rPr>
          <w:noProof/>
        </w:rPr>
        <w:fldChar w:fldCharType="end"/>
      </w:r>
    </w:p>
    <w:p w14:paraId="3A0BA8E5"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Priority locations</w:t>
      </w:r>
      <w:r>
        <w:rPr>
          <w:noProof/>
        </w:rPr>
        <w:tab/>
      </w:r>
      <w:r>
        <w:rPr>
          <w:noProof/>
        </w:rPr>
        <w:fldChar w:fldCharType="begin"/>
      </w:r>
      <w:r>
        <w:rPr>
          <w:noProof/>
        </w:rPr>
        <w:instrText xml:space="preserve"> PAGEREF _Toc84398435 \h </w:instrText>
      </w:r>
      <w:r>
        <w:rPr>
          <w:noProof/>
        </w:rPr>
      </w:r>
      <w:r>
        <w:rPr>
          <w:noProof/>
        </w:rPr>
        <w:fldChar w:fldCharType="separate"/>
      </w:r>
      <w:r w:rsidR="002B0F56">
        <w:rPr>
          <w:noProof/>
        </w:rPr>
        <w:t>7</w:t>
      </w:r>
      <w:r>
        <w:rPr>
          <w:noProof/>
        </w:rPr>
        <w:fldChar w:fldCharType="end"/>
      </w:r>
    </w:p>
    <w:p w14:paraId="6C5B3859"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_Toc84398436 \h </w:instrText>
      </w:r>
      <w:r>
        <w:rPr>
          <w:noProof/>
        </w:rPr>
      </w:r>
      <w:r>
        <w:rPr>
          <w:noProof/>
        </w:rPr>
        <w:fldChar w:fldCharType="separate"/>
      </w:r>
      <w:r w:rsidR="002B0F56">
        <w:rPr>
          <w:noProof/>
        </w:rPr>
        <w:t>7</w:t>
      </w:r>
      <w:r>
        <w:rPr>
          <w:noProof/>
        </w:rPr>
        <w:fldChar w:fldCharType="end"/>
      </w:r>
    </w:p>
    <w:p w14:paraId="028DA266" w14:textId="77777777" w:rsidR="00207131" w:rsidRDefault="0020713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_Toc84398437 \h </w:instrText>
      </w:r>
      <w:r>
        <w:rPr>
          <w:noProof/>
        </w:rPr>
      </w:r>
      <w:r>
        <w:rPr>
          <w:noProof/>
        </w:rPr>
        <w:fldChar w:fldCharType="separate"/>
      </w:r>
      <w:r w:rsidR="002B0F56">
        <w:rPr>
          <w:noProof/>
        </w:rPr>
        <w:t>7</w:t>
      </w:r>
      <w:r>
        <w:rPr>
          <w:noProof/>
        </w:rPr>
        <w:fldChar w:fldCharType="end"/>
      </w:r>
    </w:p>
    <w:p w14:paraId="0E9BE478" w14:textId="77777777" w:rsidR="00207131" w:rsidRDefault="0020713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_Toc84398438 \h </w:instrText>
      </w:r>
      <w:r>
        <w:rPr>
          <w:noProof/>
        </w:rPr>
      </w:r>
      <w:r>
        <w:rPr>
          <w:noProof/>
        </w:rPr>
        <w:fldChar w:fldCharType="separate"/>
      </w:r>
      <w:r w:rsidR="002B0F56">
        <w:rPr>
          <w:noProof/>
        </w:rPr>
        <w:t>8</w:t>
      </w:r>
      <w:r>
        <w:rPr>
          <w:noProof/>
        </w:rPr>
        <w:fldChar w:fldCharType="end"/>
      </w:r>
    </w:p>
    <w:p w14:paraId="0D989907" w14:textId="77777777" w:rsidR="00207131" w:rsidRDefault="00207131">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_Toc84398439 \h </w:instrText>
      </w:r>
      <w:r>
        <w:rPr>
          <w:noProof/>
        </w:rPr>
      </w:r>
      <w:r>
        <w:rPr>
          <w:noProof/>
        </w:rPr>
        <w:fldChar w:fldCharType="separate"/>
      </w:r>
      <w:r w:rsidR="002B0F56">
        <w:rPr>
          <w:noProof/>
        </w:rPr>
        <w:t>8</w:t>
      </w:r>
      <w:r>
        <w:rPr>
          <w:noProof/>
        </w:rPr>
        <w:fldChar w:fldCharType="end"/>
      </w:r>
    </w:p>
    <w:p w14:paraId="32336C53"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_Toc84398440 \h </w:instrText>
      </w:r>
      <w:r>
        <w:rPr>
          <w:noProof/>
        </w:rPr>
      </w:r>
      <w:r>
        <w:rPr>
          <w:noProof/>
        </w:rPr>
        <w:fldChar w:fldCharType="separate"/>
      </w:r>
      <w:r w:rsidR="002B0F56">
        <w:rPr>
          <w:noProof/>
        </w:rPr>
        <w:t>9</w:t>
      </w:r>
      <w:r>
        <w:rPr>
          <w:noProof/>
        </w:rPr>
        <w:fldChar w:fldCharType="end"/>
      </w:r>
    </w:p>
    <w:p w14:paraId="79CF6A44" w14:textId="77777777" w:rsidR="00207131" w:rsidRDefault="0020713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_Toc84398441 \h </w:instrText>
      </w:r>
      <w:r>
        <w:rPr>
          <w:noProof/>
        </w:rPr>
      </w:r>
      <w:r>
        <w:rPr>
          <w:noProof/>
        </w:rPr>
        <w:fldChar w:fldCharType="separate"/>
      </w:r>
      <w:r w:rsidR="002B0F56">
        <w:rPr>
          <w:noProof/>
        </w:rPr>
        <w:t>9</w:t>
      </w:r>
      <w:r>
        <w:rPr>
          <w:noProof/>
        </w:rPr>
        <w:fldChar w:fldCharType="end"/>
      </w:r>
    </w:p>
    <w:p w14:paraId="252CA2CC" w14:textId="77777777" w:rsidR="00207131" w:rsidRDefault="0020713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Eligible activity categories</w:t>
      </w:r>
      <w:r>
        <w:rPr>
          <w:noProof/>
        </w:rPr>
        <w:tab/>
      </w:r>
      <w:r>
        <w:rPr>
          <w:noProof/>
        </w:rPr>
        <w:fldChar w:fldCharType="begin"/>
      </w:r>
      <w:r>
        <w:rPr>
          <w:noProof/>
        </w:rPr>
        <w:instrText xml:space="preserve"> PAGEREF _Toc84398442 \h </w:instrText>
      </w:r>
      <w:r>
        <w:rPr>
          <w:noProof/>
        </w:rPr>
      </w:r>
      <w:r>
        <w:rPr>
          <w:noProof/>
        </w:rPr>
        <w:fldChar w:fldCharType="separate"/>
      </w:r>
      <w:r w:rsidR="002B0F56">
        <w:rPr>
          <w:noProof/>
        </w:rPr>
        <w:t>9</w:t>
      </w:r>
      <w:r>
        <w:rPr>
          <w:noProof/>
        </w:rPr>
        <w:fldChar w:fldCharType="end"/>
      </w:r>
    </w:p>
    <w:p w14:paraId="3C6E3BC2" w14:textId="77777777" w:rsidR="00207131" w:rsidRDefault="00207131">
      <w:pPr>
        <w:pStyle w:val="TOC4"/>
        <w:rPr>
          <w:rFonts w:asciiTheme="minorHAnsi" w:eastAsiaTheme="minorEastAsia" w:hAnsiTheme="minorHAnsi" w:cstheme="minorBidi"/>
          <w:iCs w:val="0"/>
          <w:sz w:val="22"/>
          <w:szCs w:val="22"/>
          <w:lang w:eastAsia="en-AU"/>
        </w:rPr>
      </w:pPr>
      <w:r>
        <w:t>6.2.1.</w:t>
      </w:r>
      <w:r>
        <w:rPr>
          <w:rFonts w:asciiTheme="minorHAnsi" w:eastAsiaTheme="minorEastAsia" w:hAnsiTheme="minorHAnsi" w:cstheme="minorBidi"/>
          <w:iCs w:val="0"/>
          <w:sz w:val="22"/>
          <w:szCs w:val="22"/>
          <w:lang w:eastAsia="en-AU"/>
        </w:rPr>
        <w:tab/>
      </w:r>
      <w:r>
        <w:t>Planning</w:t>
      </w:r>
      <w:r>
        <w:tab/>
      </w:r>
      <w:r>
        <w:fldChar w:fldCharType="begin"/>
      </w:r>
      <w:r>
        <w:instrText xml:space="preserve"> PAGEREF _Toc84398443 \h </w:instrText>
      </w:r>
      <w:r>
        <w:fldChar w:fldCharType="separate"/>
      </w:r>
      <w:r w:rsidR="002B0F56">
        <w:t>9</w:t>
      </w:r>
      <w:r>
        <w:fldChar w:fldCharType="end"/>
      </w:r>
    </w:p>
    <w:p w14:paraId="6BF75E89" w14:textId="77777777" w:rsidR="00207131" w:rsidRDefault="00207131">
      <w:pPr>
        <w:pStyle w:val="TOC4"/>
        <w:rPr>
          <w:rFonts w:asciiTheme="minorHAnsi" w:eastAsiaTheme="minorEastAsia" w:hAnsiTheme="minorHAnsi" w:cstheme="minorBidi"/>
          <w:iCs w:val="0"/>
          <w:sz w:val="22"/>
          <w:szCs w:val="22"/>
          <w:lang w:eastAsia="en-AU"/>
        </w:rPr>
      </w:pPr>
      <w:r>
        <w:t>6.2.2.</w:t>
      </w:r>
      <w:r>
        <w:rPr>
          <w:rFonts w:asciiTheme="minorHAnsi" w:eastAsiaTheme="minorEastAsia" w:hAnsiTheme="minorHAnsi" w:cstheme="minorBidi"/>
          <w:iCs w:val="0"/>
          <w:sz w:val="22"/>
          <w:szCs w:val="22"/>
          <w:lang w:eastAsia="en-AU"/>
        </w:rPr>
        <w:tab/>
      </w:r>
      <w:r>
        <w:t>Awareness and capacity</w:t>
      </w:r>
      <w:r>
        <w:tab/>
      </w:r>
      <w:r>
        <w:fldChar w:fldCharType="begin"/>
      </w:r>
      <w:r>
        <w:instrText xml:space="preserve"> PAGEREF _Toc84398444 \h </w:instrText>
      </w:r>
      <w:r>
        <w:fldChar w:fldCharType="separate"/>
      </w:r>
      <w:r w:rsidR="002B0F56">
        <w:t>10</w:t>
      </w:r>
      <w:r>
        <w:fldChar w:fldCharType="end"/>
      </w:r>
    </w:p>
    <w:p w14:paraId="0BF29E8A" w14:textId="77777777" w:rsidR="00207131" w:rsidRDefault="00207131">
      <w:pPr>
        <w:pStyle w:val="TOC4"/>
        <w:rPr>
          <w:rFonts w:asciiTheme="minorHAnsi" w:eastAsiaTheme="minorEastAsia" w:hAnsiTheme="minorHAnsi" w:cstheme="minorBidi"/>
          <w:iCs w:val="0"/>
          <w:sz w:val="22"/>
          <w:szCs w:val="22"/>
          <w:lang w:eastAsia="en-AU"/>
        </w:rPr>
      </w:pPr>
      <w:r>
        <w:t>6.2.3.</w:t>
      </w:r>
      <w:r>
        <w:rPr>
          <w:rFonts w:asciiTheme="minorHAnsi" w:eastAsiaTheme="minorEastAsia" w:hAnsiTheme="minorHAnsi" w:cstheme="minorBidi"/>
          <w:iCs w:val="0"/>
          <w:sz w:val="22"/>
          <w:szCs w:val="22"/>
          <w:lang w:eastAsia="en-AU"/>
        </w:rPr>
        <w:tab/>
      </w:r>
      <w:r>
        <w:t>Infrastructure</w:t>
      </w:r>
      <w:r>
        <w:tab/>
      </w:r>
      <w:r>
        <w:fldChar w:fldCharType="begin"/>
      </w:r>
      <w:r>
        <w:instrText xml:space="preserve"> PAGEREF _Toc84398445 \h </w:instrText>
      </w:r>
      <w:r>
        <w:fldChar w:fldCharType="separate"/>
      </w:r>
      <w:r w:rsidR="002B0F56">
        <w:t>10</w:t>
      </w:r>
      <w:r>
        <w:fldChar w:fldCharType="end"/>
      </w:r>
    </w:p>
    <w:p w14:paraId="75B8D5D8" w14:textId="77777777" w:rsidR="00207131" w:rsidRDefault="0020713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_Toc84398446 \h </w:instrText>
      </w:r>
      <w:r>
        <w:rPr>
          <w:noProof/>
        </w:rPr>
      </w:r>
      <w:r>
        <w:rPr>
          <w:noProof/>
        </w:rPr>
        <w:fldChar w:fldCharType="separate"/>
      </w:r>
      <w:r w:rsidR="002B0F56">
        <w:rPr>
          <w:noProof/>
        </w:rPr>
        <w:t>10</w:t>
      </w:r>
      <w:r>
        <w:rPr>
          <w:noProof/>
        </w:rPr>
        <w:fldChar w:fldCharType="end"/>
      </w:r>
    </w:p>
    <w:p w14:paraId="4EF0A4C5" w14:textId="77777777" w:rsidR="00207131" w:rsidRDefault="00207131">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_Toc84398447 \h </w:instrText>
      </w:r>
      <w:r>
        <w:rPr>
          <w:noProof/>
        </w:rPr>
      </w:r>
      <w:r>
        <w:rPr>
          <w:noProof/>
        </w:rPr>
        <w:fldChar w:fldCharType="separate"/>
      </w:r>
      <w:r w:rsidR="002B0F56">
        <w:rPr>
          <w:noProof/>
        </w:rPr>
        <w:t>11</w:t>
      </w:r>
      <w:r>
        <w:rPr>
          <w:noProof/>
        </w:rPr>
        <w:fldChar w:fldCharType="end"/>
      </w:r>
    </w:p>
    <w:p w14:paraId="00EE0997"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_Toc84398448 \h </w:instrText>
      </w:r>
      <w:r>
        <w:rPr>
          <w:noProof/>
        </w:rPr>
      </w:r>
      <w:r>
        <w:rPr>
          <w:noProof/>
        </w:rPr>
        <w:fldChar w:fldCharType="separate"/>
      </w:r>
      <w:r w:rsidR="002B0F56">
        <w:rPr>
          <w:noProof/>
        </w:rPr>
        <w:t>11</w:t>
      </w:r>
      <w:r>
        <w:rPr>
          <w:noProof/>
        </w:rPr>
        <w:fldChar w:fldCharType="end"/>
      </w:r>
    </w:p>
    <w:p w14:paraId="46F2882C" w14:textId="77777777" w:rsidR="00207131" w:rsidRDefault="0020713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_Toc84398449 \h </w:instrText>
      </w:r>
      <w:r>
        <w:rPr>
          <w:noProof/>
        </w:rPr>
      </w:r>
      <w:r>
        <w:rPr>
          <w:noProof/>
        </w:rPr>
        <w:fldChar w:fldCharType="separate"/>
      </w:r>
      <w:r w:rsidR="002B0F56">
        <w:rPr>
          <w:noProof/>
        </w:rPr>
        <w:t>12</w:t>
      </w:r>
      <w:r>
        <w:rPr>
          <w:noProof/>
        </w:rPr>
        <w:fldChar w:fldCharType="end"/>
      </w:r>
    </w:p>
    <w:p w14:paraId="615EE12A" w14:textId="77777777" w:rsidR="00207131" w:rsidRDefault="0020713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_Toc84398450 \h </w:instrText>
      </w:r>
      <w:r>
        <w:rPr>
          <w:noProof/>
        </w:rPr>
      </w:r>
      <w:r>
        <w:rPr>
          <w:noProof/>
        </w:rPr>
        <w:fldChar w:fldCharType="separate"/>
      </w:r>
      <w:r w:rsidR="002B0F56">
        <w:rPr>
          <w:noProof/>
        </w:rPr>
        <w:t>12</w:t>
      </w:r>
      <w:r>
        <w:rPr>
          <w:noProof/>
        </w:rPr>
        <w:fldChar w:fldCharType="end"/>
      </w:r>
    </w:p>
    <w:p w14:paraId="0FF1041E" w14:textId="77777777" w:rsidR="00207131" w:rsidRDefault="0020713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_Toc84398451 \h </w:instrText>
      </w:r>
      <w:r>
        <w:rPr>
          <w:noProof/>
        </w:rPr>
      </w:r>
      <w:r>
        <w:rPr>
          <w:noProof/>
        </w:rPr>
        <w:fldChar w:fldCharType="separate"/>
      </w:r>
      <w:r w:rsidR="002B0F56">
        <w:rPr>
          <w:noProof/>
        </w:rPr>
        <w:t>12</w:t>
      </w:r>
      <w:r>
        <w:rPr>
          <w:noProof/>
        </w:rPr>
        <w:fldChar w:fldCharType="end"/>
      </w:r>
    </w:p>
    <w:p w14:paraId="2C37B00B" w14:textId="77777777" w:rsidR="00207131" w:rsidRDefault="00207131">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_Toc84398452 \h </w:instrText>
      </w:r>
      <w:r>
        <w:rPr>
          <w:noProof/>
        </w:rPr>
      </w:r>
      <w:r>
        <w:rPr>
          <w:noProof/>
        </w:rPr>
        <w:fldChar w:fldCharType="separate"/>
      </w:r>
      <w:r w:rsidR="002B0F56">
        <w:rPr>
          <w:noProof/>
        </w:rPr>
        <w:t>12</w:t>
      </w:r>
      <w:r>
        <w:rPr>
          <w:noProof/>
        </w:rPr>
        <w:fldChar w:fldCharType="end"/>
      </w:r>
    </w:p>
    <w:p w14:paraId="6F6951DC"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_Toc84398453 \h </w:instrText>
      </w:r>
      <w:r>
        <w:rPr>
          <w:noProof/>
        </w:rPr>
      </w:r>
      <w:r>
        <w:rPr>
          <w:noProof/>
        </w:rPr>
        <w:fldChar w:fldCharType="separate"/>
      </w:r>
      <w:r w:rsidR="002B0F56">
        <w:rPr>
          <w:noProof/>
        </w:rPr>
        <w:t>12</w:t>
      </w:r>
      <w:r>
        <w:rPr>
          <w:noProof/>
        </w:rPr>
        <w:fldChar w:fldCharType="end"/>
      </w:r>
    </w:p>
    <w:p w14:paraId="36766A25" w14:textId="77777777" w:rsidR="00207131" w:rsidRDefault="0020713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Project plan</w:t>
      </w:r>
      <w:r>
        <w:rPr>
          <w:noProof/>
        </w:rPr>
        <w:tab/>
      </w:r>
      <w:r>
        <w:rPr>
          <w:noProof/>
        </w:rPr>
        <w:fldChar w:fldCharType="begin"/>
      </w:r>
      <w:r>
        <w:rPr>
          <w:noProof/>
        </w:rPr>
        <w:instrText xml:space="preserve"> PAGEREF _Toc84398454 \h </w:instrText>
      </w:r>
      <w:r>
        <w:rPr>
          <w:noProof/>
        </w:rPr>
      </w:r>
      <w:r>
        <w:rPr>
          <w:noProof/>
        </w:rPr>
        <w:fldChar w:fldCharType="separate"/>
      </w:r>
      <w:r w:rsidR="002B0F56">
        <w:rPr>
          <w:noProof/>
        </w:rPr>
        <w:t>13</w:t>
      </w:r>
      <w:r>
        <w:rPr>
          <w:noProof/>
        </w:rPr>
        <w:fldChar w:fldCharType="end"/>
      </w:r>
    </w:p>
    <w:p w14:paraId="77D2E5C7" w14:textId="77777777" w:rsidR="00207131" w:rsidRDefault="00207131">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_Toc84398455 \h </w:instrText>
      </w:r>
      <w:r>
        <w:rPr>
          <w:noProof/>
        </w:rPr>
      </w:r>
      <w:r>
        <w:rPr>
          <w:noProof/>
        </w:rPr>
        <w:fldChar w:fldCharType="separate"/>
      </w:r>
      <w:r w:rsidR="002B0F56">
        <w:rPr>
          <w:noProof/>
        </w:rPr>
        <w:t>13</w:t>
      </w:r>
      <w:r>
        <w:rPr>
          <w:noProof/>
        </w:rPr>
        <w:fldChar w:fldCharType="end"/>
      </w:r>
    </w:p>
    <w:p w14:paraId="70C60969" w14:textId="77777777" w:rsidR="00207131" w:rsidRDefault="00207131">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_Toc84398456 \h </w:instrText>
      </w:r>
      <w:r>
        <w:rPr>
          <w:noProof/>
        </w:rPr>
      </w:r>
      <w:r>
        <w:rPr>
          <w:noProof/>
        </w:rPr>
        <w:fldChar w:fldCharType="separate"/>
      </w:r>
      <w:r w:rsidR="002B0F56">
        <w:rPr>
          <w:noProof/>
        </w:rPr>
        <w:t>14</w:t>
      </w:r>
      <w:r>
        <w:rPr>
          <w:noProof/>
        </w:rPr>
        <w:fldChar w:fldCharType="end"/>
      </w:r>
    </w:p>
    <w:p w14:paraId="786406BD" w14:textId="77777777" w:rsidR="00207131" w:rsidRDefault="00207131">
      <w:pPr>
        <w:pStyle w:val="TOC3"/>
        <w:rPr>
          <w:rFonts w:asciiTheme="minorHAnsi" w:eastAsiaTheme="minorEastAsia" w:hAnsiTheme="minorHAnsi" w:cstheme="minorBidi"/>
          <w:iCs w:val="0"/>
          <w:noProof/>
          <w:sz w:val="22"/>
          <w:lang w:val="en-AU" w:eastAsia="en-AU"/>
        </w:rPr>
      </w:pPr>
      <w:r>
        <w:rPr>
          <w:noProof/>
        </w:rPr>
        <w:t>8.4.</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_Toc84398457 \h </w:instrText>
      </w:r>
      <w:r>
        <w:rPr>
          <w:noProof/>
        </w:rPr>
      </w:r>
      <w:r>
        <w:rPr>
          <w:noProof/>
        </w:rPr>
        <w:fldChar w:fldCharType="separate"/>
      </w:r>
      <w:r w:rsidR="002B0F56">
        <w:rPr>
          <w:noProof/>
        </w:rPr>
        <w:t>14</w:t>
      </w:r>
      <w:r>
        <w:rPr>
          <w:noProof/>
        </w:rPr>
        <w:fldChar w:fldCharType="end"/>
      </w:r>
    </w:p>
    <w:p w14:paraId="30637BC5"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_Toc84398458 \h </w:instrText>
      </w:r>
      <w:r>
        <w:rPr>
          <w:noProof/>
        </w:rPr>
      </w:r>
      <w:r>
        <w:rPr>
          <w:noProof/>
        </w:rPr>
        <w:fldChar w:fldCharType="separate"/>
      </w:r>
      <w:r w:rsidR="002B0F56">
        <w:rPr>
          <w:noProof/>
        </w:rPr>
        <w:t>14</w:t>
      </w:r>
      <w:r>
        <w:rPr>
          <w:noProof/>
        </w:rPr>
        <w:fldChar w:fldCharType="end"/>
      </w:r>
    </w:p>
    <w:p w14:paraId="738FF8D3" w14:textId="77777777" w:rsidR="00207131" w:rsidRDefault="00207131">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_Toc84398459 \h </w:instrText>
      </w:r>
      <w:r>
        <w:rPr>
          <w:noProof/>
        </w:rPr>
      </w:r>
      <w:r>
        <w:rPr>
          <w:noProof/>
        </w:rPr>
        <w:fldChar w:fldCharType="separate"/>
      </w:r>
      <w:r w:rsidR="002B0F56">
        <w:rPr>
          <w:noProof/>
        </w:rPr>
        <w:t>15</w:t>
      </w:r>
      <w:r>
        <w:rPr>
          <w:noProof/>
        </w:rPr>
        <w:fldChar w:fldCharType="end"/>
      </w:r>
    </w:p>
    <w:p w14:paraId="7549A2B2"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_Toc84398460 \h </w:instrText>
      </w:r>
      <w:r>
        <w:rPr>
          <w:noProof/>
        </w:rPr>
      </w:r>
      <w:r>
        <w:rPr>
          <w:noProof/>
        </w:rPr>
        <w:fldChar w:fldCharType="separate"/>
      </w:r>
      <w:r w:rsidR="002B0F56">
        <w:rPr>
          <w:noProof/>
        </w:rPr>
        <w:t>15</w:t>
      </w:r>
      <w:r>
        <w:rPr>
          <w:noProof/>
        </w:rPr>
        <w:fldChar w:fldCharType="end"/>
      </w:r>
    </w:p>
    <w:p w14:paraId="24F3842C"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_Toc84398461 \h </w:instrText>
      </w:r>
      <w:r>
        <w:rPr>
          <w:noProof/>
        </w:rPr>
      </w:r>
      <w:r>
        <w:rPr>
          <w:noProof/>
        </w:rPr>
        <w:fldChar w:fldCharType="separate"/>
      </w:r>
      <w:r w:rsidR="002B0F56">
        <w:rPr>
          <w:noProof/>
        </w:rPr>
        <w:t>16</w:t>
      </w:r>
      <w:r>
        <w:rPr>
          <w:noProof/>
        </w:rPr>
        <w:fldChar w:fldCharType="end"/>
      </w:r>
    </w:p>
    <w:p w14:paraId="2D22490D"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_Toc84398462 \h </w:instrText>
      </w:r>
      <w:r>
        <w:rPr>
          <w:noProof/>
        </w:rPr>
      </w:r>
      <w:r>
        <w:rPr>
          <w:noProof/>
        </w:rPr>
        <w:fldChar w:fldCharType="separate"/>
      </w:r>
      <w:r w:rsidR="002B0F56">
        <w:rPr>
          <w:noProof/>
        </w:rPr>
        <w:t>16</w:t>
      </w:r>
      <w:r>
        <w:rPr>
          <w:noProof/>
        </w:rPr>
        <w:fldChar w:fldCharType="end"/>
      </w:r>
    </w:p>
    <w:p w14:paraId="175952FD"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_Toc84398463 \h </w:instrText>
      </w:r>
      <w:r>
        <w:rPr>
          <w:noProof/>
        </w:rPr>
      </w:r>
      <w:r>
        <w:rPr>
          <w:noProof/>
        </w:rPr>
        <w:fldChar w:fldCharType="separate"/>
      </w:r>
      <w:r w:rsidR="002B0F56">
        <w:rPr>
          <w:noProof/>
        </w:rPr>
        <w:t>16</w:t>
      </w:r>
      <w:r>
        <w:rPr>
          <w:noProof/>
        </w:rPr>
        <w:fldChar w:fldCharType="end"/>
      </w:r>
    </w:p>
    <w:p w14:paraId="58D17087" w14:textId="77777777" w:rsidR="00207131" w:rsidRDefault="00207131">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_Toc84398464 \h </w:instrText>
      </w:r>
      <w:r>
        <w:fldChar w:fldCharType="separate"/>
      </w:r>
      <w:r w:rsidR="002B0F56">
        <w:t>16</w:t>
      </w:r>
      <w:r>
        <w:fldChar w:fldCharType="end"/>
      </w:r>
    </w:p>
    <w:p w14:paraId="75D6C2DB" w14:textId="77777777" w:rsidR="00207131" w:rsidRDefault="00207131">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_Toc84398465 \h </w:instrText>
      </w:r>
      <w:r>
        <w:fldChar w:fldCharType="separate"/>
      </w:r>
      <w:r w:rsidR="002B0F56">
        <w:t>17</w:t>
      </w:r>
      <w:r>
        <w:fldChar w:fldCharType="end"/>
      </w:r>
    </w:p>
    <w:p w14:paraId="4AFE4744" w14:textId="77777777" w:rsidR="00207131" w:rsidRDefault="00207131">
      <w:pPr>
        <w:pStyle w:val="TOC5"/>
        <w:rPr>
          <w:rFonts w:asciiTheme="minorHAnsi" w:eastAsiaTheme="minorEastAsia" w:hAnsiTheme="minorHAnsi" w:cstheme="minorBidi"/>
          <w:iCs w:val="0"/>
          <w:noProof/>
          <w:sz w:val="22"/>
          <w:szCs w:val="22"/>
          <w:lang w:eastAsia="en-AU"/>
        </w:rPr>
      </w:pPr>
      <w:r>
        <w:rPr>
          <w:noProof/>
        </w:rPr>
        <w:t>11.2.2.1.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_Toc84398466 \h </w:instrText>
      </w:r>
      <w:r>
        <w:rPr>
          <w:noProof/>
        </w:rPr>
      </w:r>
      <w:r>
        <w:rPr>
          <w:noProof/>
        </w:rPr>
        <w:fldChar w:fldCharType="separate"/>
      </w:r>
      <w:r w:rsidR="002B0F56">
        <w:rPr>
          <w:noProof/>
        </w:rPr>
        <w:t>17</w:t>
      </w:r>
      <w:r>
        <w:rPr>
          <w:noProof/>
        </w:rPr>
        <w:fldChar w:fldCharType="end"/>
      </w:r>
    </w:p>
    <w:p w14:paraId="1800D159" w14:textId="77777777" w:rsidR="00207131" w:rsidRDefault="00207131">
      <w:pPr>
        <w:pStyle w:val="TOC5"/>
        <w:rPr>
          <w:rFonts w:asciiTheme="minorHAnsi" w:eastAsiaTheme="minorEastAsia" w:hAnsiTheme="minorHAnsi" w:cstheme="minorBidi"/>
          <w:iCs w:val="0"/>
          <w:noProof/>
          <w:sz w:val="22"/>
          <w:szCs w:val="22"/>
          <w:lang w:eastAsia="en-AU"/>
        </w:rPr>
      </w:pPr>
      <w:r>
        <w:rPr>
          <w:noProof/>
        </w:rPr>
        <w:t>11.2.2.2.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_Toc84398467 \h </w:instrText>
      </w:r>
      <w:r>
        <w:rPr>
          <w:noProof/>
        </w:rPr>
      </w:r>
      <w:r>
        <w:rPr>
          <w:noProof/>
        </w:rPr>
        <w:fldChar w:fldCharType="separate"/>
      </w:r>
      <w:r w:rsidR="002B0F56">
        <w:rPr>
          <w:noProof/>
        </w:rPr>
        <w:t>17</w:t>
      </w:r>
      <w:r>
        <w:rPr>
          <w:noProof/>
        </w:rPr>
        <w:fldChar w:fldCharType="end"/>
      </w:r>
    </w:p>
    <w:p w14:paraId="726C0E68"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_Toc84398468 \h </w:instrText>
      </w:r>
      <w:r>
        <w:rPr>
          <w:noProof/>
        </w:rPr>
      </w:r>
      <w:r>
        <w:rPr>
          <w:noProof/>
        </w:rPr>
        <w:fldChar w:fldCharType="separate"/>
      </w:r>
      <w:r w:rsidR="002B0F56">
        <w:rPr>
          <w:noProof/>
        </w:rPr>
        <w:t>18</w:t>
      </w:r>
      <w:r>
        <w:rPr>
          <w:noProof/>
        </w:rPr>
        <w:fldChar w:fldCharType="end"/>
      </w:r>
    </w:p>
    <w:p w14:paraId="3671AC22"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_Toc84398469 \h </w:instrText>
      </w:r>
      <w:r>
        <w:rPr>
          <w:noProof/>
        </w:rPr>
      </w:r>
      <w:r>
        <w:rPr>
          <w:noProof/>
        </w:rPr>
        <w:fldChar w:fldCharType="separate"/>
      </w:r>
      <w:r w:rsidR="002B0F56">
        <w:rPr>
          <w:noProof/>
        </w:rPr>
        <w:t>18</w:t>
      </w:r>
      <w:r>
        <w:rPr>
          <w:noProof/>
        </w:rPr>
        <w:fldChar w:fldCharType="end"/>
      </w:r>
    </w:p>
    <w:p w14:paraId="41E57409"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_Toc84398470 \h </w:instrText>
      </w:r>
      <w:r>
        <w:rPr>
          <w:noProof/>
        </w:rPr>
      </w:r>
      <w:r>
        <w:rPr>
          <w:noProof/>
        </w:rPr>
        <w:fldChar w:fldCharType="separate"/>
      </w:r>
      <w:r w:rsidR="002B0F56">
        <w:rPr>
          <w:noProof/>
        </w:rPr>
        <w:t>18</w:t>
      </w:r>
      <w:r>
        <w:rPr>
          <w:noProof/>
        </w:rPr>
        <w:fldChar w:fldCharType="end"/>
      </w:r>
    </w:p>
    <w:p w14:paraId="1AA15563"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_Toc84398471 \h </w:instrText>
      </w:r>
      <w:r>
        <w:rPr>
          <w:noProof/>
        </w:rPr>
      </w:r>
      <w:r>
        <w:rPr>
          <w:noProof/>
        </w:rPr>
        <w:fldChar w:fldCharType="separate"/>
      </w:r>
      <w:r w:rsidR="002B0F56">
        <w:rPr>
          <w:noProof/>
        </w:rPr>
        <w:t>19</w:t>
      </w:r>
      <w:r>
        <w:rPr>
          <w:noProof/>
        </w:rPr>
        <w:fldChar w:fldCharType="end"/>
      </w:r>
    </w:p>
    <w:p w14:paraId="3A5581D2"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_Toc84398472 \h </w:instrText>
      </w:r>
      <w:r>
        <w:rPr>
          <w:noProof/>
        </w:rPr>
      </w:r>
      <w:r>
        <w:rPr>
          <w:noProof/>
        </w:rPr>
        <w:fldChar w:fldCharType="separate"/>
      </w:r>
      <w:r w:rsidR="002B0F56">
        <w:rPr>
          <w:noProof/>
        </w:rPr>
        <w:t>19</w:t>
      </w:r>
      <w:r>
        <w:rPr>
          <w:noProof/>
        </w:rPr>
        <w:fldChar w:fldCharType="end"/>
      </w:r>
    </w:p>
    <w:p w14:paraId="7D621A5F"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_Toc84398473 \h </w:instrText>
      </w:r>
      <w:r>
        <w:rPr>
          <w:noProof/>
        </w:rPr>
      </w:r>
      <w:r>
        <w:rPr>
          <w:noProof/>
        </w:rPr>
        <w:fldChar w:fldCharType="separate"/>
      </w:r>
      <w:r w:rsidR="002B0F56">
        <w:rPr>
          <w:noProof/>
        </w:rPr>
        <w:t>19</w:t>
      </w:r>
      <w:r>
        <w:rPr>
          <w:noProof/>
        </w:rPr>
        <w:fldChar w:fldCharType="end"/>
      </w:r>
    </w:p>
    <w:p w14:paraId="379A9A7C" w14:textId="77777777" w:rsidR="00207131" w:rsidRDefault="0020713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_Toc84398474 \h </w:instrText>
      </w:r>
      <w:r>
        <w:fldChar w:fldCharType="separate"/>
      </w:r>
      <w:r w:rsidR="002B0F56">
        <w:t>19</w:t>
      </w:r>
      <w:r>
        <w:fldChar w:fldCharType="end"/>
      </w:r>
    </w:p>
    <w:p w14:paraId="41255725" w14:textId="77777777" w:rsidR="00207131" w:rsidRDefault="0020713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_Toc84398475 \h </w:instrText>
      </w:r>
      <w:r>
        <w:fldChar w:fldCharType="separate"/>
      </w:r>
      <w:r w:rsidR="002B0F56">
        <w:t>19</w:t>
      </w:r>
      <w:r>
        <w:fldChar w:fldCharType="end"/>
      </w:r>
    </w:p>
    <w:p w14:paraId="508D06F3" w14:textId="77777777" w:rsidR="00207131" w:rsidRDefault="0020713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_Toc84398476 \h </w:instrText>
      </w:r>
      <w:r>
        <w:fldChar w:fldCharType="separate"/>
      </w:r>
      <w:r w:rsidR="002B0F56">
        <w:t>20</w:t>
      </w:r>
      <w:r>
        <w:fldChar w:fldCharType="end"/>
      </w:r>
    </w:p>
    <w:p w14:paraId="4D507051"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_Toc84398477 \h </w:instrText>
      </w:r>
      <w:r>
        <w:rPr>
          <w:noProof/>
        </w:rPr>
      </w:r>
      <w:r>
        <w:rPr>
          <w:noProof/>
        </w:rPr>
        <w:fldChar w:fldCharType="separate"/>
      </w:r>
      <w:r w:rsidR="002B0F56">
        <w:rPr>
          <w:noProof/>
        </w:rPr>
        <w:t>20</w:t>
      </w:r>
      <w:r>
        <w:rPr>
          <w:noProof/>
        </w:rPr>
        <w:fldChar w:fldCharType="end"/>
      </w:r>
    </w:p>
    <w:p w14:paraId="21F1BDAD"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_Toc84398478 \h </w:instrText>
      </w:r>
      <w:r>
        <w:rPr>
          <w:noProof/>
        </w:rPr>
      </w:r>
      <w:r>
        <w:rPr>
          <w:noProof/>
        </w:rPr>
        <w:fldChar w:fldCharType="separate"/>
      </w:r>
      <w:r w:rsidR="002B0F56">
        <w:rPr>
          <w:noProof/>
        </w:rPr>
        <w:t>20</w:t>
      </w:r>
      <w:r>
        <w:rPr>
          <w:noProof/>
        </w:rPr>
        <w:fldChar w:fldCharType="end"/>
      </w:r>
    </w:p>
    <w:p w14:paraId="52065F0D"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_Toc84398479 \h </w:instrText>
      </w:r>
      <w:r>
        <w:rPr>
          <w:noProof/>
        </w:rPr>
      </w:r>
      <w:r>
        <w:rPr>
          <w:noProof/>
        </w:rPr>
        <w:fldChar w:fldCharType="separate"/>
      </w:r>
      <w:r w:rsidR="002B0F56">
        <w:rPr>
          <w:noProof/>
        </w:rPr>
        <w:t>20</w:t>
      </w:r>
      <w:r>
        <w:rPr>
          <w:noProof/>
        </w:rPr>
        <w:fldChar w:fldCharType="end"/>
      </w:r>
    </w:p>
    <w:p w14:paraId="59796152"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_Toc84398480 \h </w:instrText>
      </w:r>
      <w:r>
        <w:rPr>
          <w:noProof/>
        </w:rPr>
      </w:r>
      <w:r>
        <w:rPr>
          <w:noProof/>
        </w:rPr>
        <w:fldChar w:fldCharType="separate"/>
      </w:r>
      <w:r w:rsidR="002B0F56">
        <w:rPr>
          <w:noProof/>
        </w:rPr>
        <w:t>21</w:t>
      </w:r>
      <w:r>
        <w:rPr>
          <w:noProof/>
        </w:rPr>
        <w:fldChar w:fldCharType="end"/>
      </w:r>
    </w:p>
    <w:p w14:paraId="20975A56"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_Toc84398481 \h </w:instrText>
      </w:r>
      <w:r>
        <w:rPr>
          <w:noProof/>
        </w:rPr>
      </w:r>
      <w:r>
        <w:rPr>
          <w:noProof/>
        </w:rPr>
        <w:fldChar w:fldCharType="separate"/>
      </w:r>
      <w:r w:rsidR="002B0F56">
        <w:rPr>
          <w:noProof/>
        </w:rPr>
        <w:t>21</w:t>
      </w:r>
      <w:r>
        <w:rPr>
          <w:noProof/>
        </w:rPr>
        <w:fldChar w:fldCharType="end"/>
      </w:r>
    </w:p>
    <w:p w14:paraId="69715D05"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_Toc84398482 \h </w:instrText>
      </w:r>
      <w:r>
        <w:rPr>
          <w:noProof/>
        </w:rPr>
      </w:r>
      <w:r>
        <w:rPr>
          <w:noProof/>
        </w:rPr>
        <w:fldChar w:fldCharType="separate"/>
      </w:r>
      <w:r w:rsidR="002B0F56">
        <w:rPr>
          <w:noProof/>
        </w:rPr>
        <w:t>21</w:t>
      </w:r>
      <w:r>
        <w:rPr>
          <w:noProof/>
        </w:rPr>
        <w:fldChar w:fldCharType="end"/>
      </w:r>
    </w:p>
    <w:p w14:paraId="3D0A8978"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_Toc84398483 \h </w:instrText>
      </w:r>
      <w:r>
        <w:rPr>
          <w:noProof/>
        </w:rPr>
      </w:r>
      <w:r>
        <w:rPr>
          <w:noProof/>
        </w:rPr>
        <w:fldChar w:fldCharType="separate"/>
      </w:r>
      <w:r w:rsidR="002B0F56">
        <w:rPr>
          <w:noProof/>
        </w:rPr>
        <w:t>21</w:t>
      </w:r>
      <w:r>
        <w:rPr>
          <w:noProof/>
        </w:rPr>
        <w:fldChar w:fldCharType="end"/>
      </w:r>
    </w:p>
    <w:p w14:paraId="584895B6"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_Toc84398484 \h </w:instrText>
      </w:r>
      <w:r>
        <w:rPr>
          <w:noProof/>
        </w:rPr>
      </w:r>
      <w:r>
        <w:rPr>
          <w:noProof/>
        </w:rPr>
        <w:fldChar w:fldCharType="separate"/>
      </w:r>
      <w:r w:rsidR="002B0F56">
        <w:rPr>
          <w:noProof/>
        </w:rPr>
        <w:t>22</w:t>
      </w:r>
      <w:r>
        <w:rPr>
          <w:noProof/>
        </w:rPr>
        <w:fldChar w:fldCharType="end"/>
      </w:r>
    </w:p>
    <w:p w14:paraId="73A44E24" w14:textId="77777777" w:rsidR="00207131" w:rsidRDefault="00207131">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_Toc84398485 \h </w:instrText>
      </w:r>
      <w:r>
        <w:fldChar w:fldCharType="separate"/>
      </w:r>
      <w:r w:rsidR="002B0F56">
        <w:t>22</w:t>
      </w:r>
      <w:r>
        <w:fldChar w:fldCharType="end"/>
      </w:r>
    </w:p>
    <w:p w14:paraId="0156B1EB" w14:textId="77777777" w:rsidR="00207131" w:rsidRDefault="00207131">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_Toc84398486 \h </w:instrText>
      </w:r>
      <w:r>
        <w:fldChar w:fldCharType="separate"/>
      </w:r>
      <w:r w:rsidR="002B0F56">
        <w:t>22</w:t>
      </w:r>
      <w:r>
        <w:fldChar w:fldCharType="end"/>
      </w:r>
    </w:p>
    <w:p w14:paraId="75F43B24" w14:textId="77777777" w:rsidR="00207131" w:rsidRDefault="00207131">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_Toc84398487 \h </w:instrText>
      </w:r>
      <w:r>
        <w:fldChar w:fldCharType="separate"/>
      </w:r>
      <w:r w:rsidR="002B0F56">
        <w:t>23</w:t>
      </w:r>
      <w:r>
        <w:fldChar w:fldCharType="end"/>
      </w:r>
    </w:p>
    <w:p w14:paraId="358DCBD1" w14:textId="77777777" w:rsidR="00207131" w:rsidRDefault="00207131">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_Toc84398488 \h </w:instrText>
      </w:r>
      <w:r>
        <w:fldChar w:fldCharType="separate"/>
      </w:r>
      <w:r w:rsidR="002B0F56">
        <w:t>23</w:t>
      </w:r>
      <w:r>
        <w:fldChar w:fldCharType="end"/>
      </w:r>
    </w:p>
    <w:p w14:paraId="1BD0D9FC" w14:textId="77777777" w:rsidR="00207131" w:rsidRDefault="00207131">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_Toc84398489 \h </w:instrText>
      </w:r>
      <w:r>
        <w:rPr>
          <w:noProof/>
        </w:rPr>
      </w:r>
      <w:r>
        <w:rPr>
          <w:noProof/>
        </w:rPr>
        <w:fldChar w:fldCharType="separate"/>
      </w:r>
      <w:r w:rsidR="002B0F56">
        <w:rPr>
          <w:noProof/>
        </w:rPr>
        <w:t>23</w:t>
      </w:r>
      <w:r>
        <w:rPr>
          <w:noProof/>
        </w:rPr>
        <w:fldChar w:fldCharType="end"/>
      </w:r>
    </w:p>
    <w:p w14:paraId="36474FD8" w14:textId="77777777" w:rsidR="00207131" w:rsidRDefault="00207131">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_Toc84398490 \h </w:instrText>
      </w:r>
      <w:r>
        <w:rPr>
          <w:noProof/>
        </w:rPr>
      </w:r>
      <w:r>
        <w:rPr>
          <w:noProof/>
        </w:rPr>
        <w:fldChar w:fldCharType="separate"/>
      </w:r>
      <w:r w:rsidR="002B0F56">
        <w:rPr>
          <w:noProof/>
        </w:rPr>
        <w:t>24</w:t>
      </w:r>
      <w:r>
        <w:rPr>
          <w:noProof/>
        </w:rPr>
        <w:fldChar w:fldCharType="end"/>
      </w:r>
    </w:p>
    <w:p w14:paraId="68CEED41" w14:textId="77777777" w:rsidR="00207131" w:rsidRDefault="0020713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Priority Local Government Areas (LGAs)</w:t>
      </w:r>
      <w:r>
        <w:rPr>
          <w:noProof/>
        </w:rPr>
        <w:tab/>
      </w:r>
      <w:r>
        <w:rPr>
          <w:noProof/>
        </w:rPr>
        <w:fldChar w:fldCharType="begin"/>
      </w:r>
      <w:r>
        <w:rPr>
          <w:noProof/>
        </w:rPr>
        <w:instrText xml:space="preserve"> PAGEREF _Toc84398491 \h </w:instrText>
      </w:r>
      <w:r>
        <w:rPr>
          <w:noProof/>
        </w:rPr>
      </w:r>
      <w:r>
        <w:rPr>
          <w:noProof/>
        </w:rPr>
        <w:fldChar w:fldCharType="separate"/>
      </w:r>
      <w:r w:rsidR="002B0F56">
        <w:rPr>
          <w:noProof/>
        </w:rPr>
        <w:t>28</w:t>
      </w:r>
      <w:r>
        <w:rPr>
          <w:noProof/>
        </w:rPr>
        <w:fldChar w:fldCharType="end"/>
      </w:r>
    </w:p>
    <w:p w14:paraId="6570C402" w14:textId="77777777" w:rsidR="00207131" w:rsidRDefault="0020713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_Toc84398492 \h </w:instrText>
      </w:r>
      <w:r>
        <w:rPr>
          <w:noProof/>
        </w:rPr>
      </w:r>
      <w:r>
        <w:rPr>
          <w:noProof/>
        </w:rPr>
        <w:fldChar w:fldCharType="separate"/>
      </w:r>
      <w:r w:rsidR="002B0F56">
        <w:rPr>
          <w:noProof/>
        </w:rPr>
        <w:t>32</w:t>
      </w:r>
      <w:r>
        <w:rPr>
          <w:noProof/>
        </w:rPr>
        <w:fldChar w:fldCharType="end"/>
      </w:r>
    </w:p>
    <w:p w14:paraId="321C620F" w14:textId="77777777" w:rsidR="00207131" w:rsidRDefault="00207131">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_Toc84398493 \h </w:instrText>
      </w:r>
      <w:r>
        <w:rPr>
          <w:noProof/>
        </w:rPr>
      </w:r>
      <w:r>
        <w:rPr>
          <w:noProof/>
        </w:rPr>
        <w:fldChar w:fldCharType="separate"/>
      </w:r>
      <w:r w:rsidR="002B0F56">
        <w:rPr>
          <w:noProof/>
        </w:rPr>
        <w:t>32</w:t>
      </w:r>
      <w:r>
        <w:rPr>
          <w:noProof/>
        </w:rPr>
        <w:fldChar w:fldCharType="end"/>
      </w:r>
    </w:p>
    <w:p w14:paraId="05EAB16B" w14:textId="77777777" w:rsidR="00207131" w:rsidRDefault="00207131">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_Toc84398494 \h </w:instrText>
      </w:r>
      <w:r>
        <w:rPr>
          <w:noProof/>
        </w:rPr>
      </w:r>
      <w:r>
        <w:rPr>
          <w:noProof/>
        </w:rPr>
        <w:fldChar w:fldCharType="separate"/>
      </w:r>
      <w:r w:rsidR="002B0F56">
        <w:rPr>
          <w:noProof/>
        </w:rPr>
        <w:t>32</w:t>
      </w:r>
      <w:r>
        <w:rPr>
          <w:noProof/>
        </w:rPr>
        <w:fldChar w:fldCharType="end"/>
      </w:r>
    </w:p>
    <w:p w14:paraId="17A512CA" w14:textId="77777777" w:rsidR="00207131" w:rsidRDefault="00207131">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_Toc84398495 \h </w:instrText>
      </w:r>
      <w:r>
        <w:rPr>
          <w:noProof/>
        </w:rPr>
      </w:r>
      <w:r>
        <w:rPr>
          <w:noProof/>
        </w:rPr>
        <w:fldChar w:fldCharType="separate"/>
      </w:r>
      <w:r w:rsidR="002B0F56">
        <w:rPr>
          <w:noProof/>
        </w:rPr>
        <w:t>32</w:t>
      </w:r>
      <w:r>
        <w:rPr>
          <w:noProof/>
        </w:rPr>
        <w:fldChar w:fldCharType="end"/>
      </w:r>
    </w:p>
    <w:p w14:paraId="32CE9CB6" w14:textId="77777777" w:rsidR="00207131" w:rsidRDefault="00207131">
      <w:pPr>
        <w:pStyle w:val="TOC3"/>
        <w:rPr>
          <w:rFonts w:asciiTheme="minorHAnsi" w:eastAsiaTheme="minorEastAsia" w:hAnsiTheme="minorHAnsi" w:cstheme="minorBidi"/>
          <w:iCs w:val="0"/>
          <w:noProof/>
          <w:sz w:val="22"/>
          <w:lang w:val="en-AU" w:eastAsia="en-AU"/>
        </w:rPr>
      </w:pPr>
      <w:r>
        <w:rPr>
          <w:noProof/>
        </w:rPr>
        <w:t>B.4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_Toc84398496 \h </w:instrText>
      </w:r>
      <w:r>
        <w:rPr>
          <w:noProof/>
        </w:rPr>
      </w:r>
      <w:r>
        <w:rPr>
          <w:noProof/>
        </w:rPr>
        <w:fldChar w:fldCharType="separate"/>
      </w:r>
      <w:r w:rsidR="002B0F56">
        <w:rPr>
          <w:noProof/>
        </w:rPr>
        <w:t>33</w:t>
      </w:r>
      <w:r>
        <w:rPr>
          <w:noProof/>
        </w:rPr>
        <w:fldChar w:fldCharType="end"/>
      </w:r>
    </w:p>
    <w:p w14:paraId="3B5EB6FA" w14:textId="77777777" w:rsidR="00207131" w:rsidRDefault="00207131">
      <w:pPr>
        <w:pStyle w:val="TOC3"/>
        <w:rPr>
          <w:rFonts w:asciiTheme="minorHAnsi" w:eastAsiaTheme="minorEastAsia" w:hAnsiTheme="minorHAnsi" w:cstheme="minorBidi"/>
          <w:iCs w:val="0"/>
          <w:noProof/>
          <w:sz w:val="22"/>
          <w:lang w:val="en-AU" w:eastAsia="en-AU"/>
        </w:rPr>
      </w:pPr>
      <w:r>
        <w:rPr>
          <w:noProof/>
        </w:rPr>
        <w:t>B.5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_Toc84398497 \h </w:instrText>
      </w:r>
      <w:r>
        <w:rPr>
          <w:noProof/>
        </w:rPr>
      </w:r>
      <w:r>
        <w:rPr>
          <w:noProof/>
        </w:rPr>
        <w:fldChar w:fldCharType="separate"/>
      </w:r>
      <w:r w:rsidR="002B0F56">
        <w:rPr>
          <w:noProof/>
        </w:rPr>
        <w:t>33</w:t>
      </w:r>
      <w:r>
        <w:rPr>
          <w:noProof/>
        </w:rPr>
        <w:fldChar w:fldCharType="end"/>
      </w:r>
    </w:p>
    <w:p w14:paraId="3B9E6BE3" w14:textId="77777777" w:rsidR="00207131" w:rsidRDefault="00207131">
      <w:pPr>
        <w:pStyle w:val="TOC3"/>
        <w:rPr>
          <w:rFonts w:asciiTheme="minorHAnsi" w:eastAsiaTheme="minorEastAsia" w:hAnsiTheme="minorHAnsi" w:cstheme="minorBidi"/>
          <w:iCs w:val="0"/>
          <w:noProof/>
          <w:sz w:val="22"/>
          <w:lang w:val="en-AU" w:eastAsia="en-AU"/>
        </w:rPr>
      </w:pPr>
      <w:r>
        <w:rPr>
          <w:noProof/>
        </w:rPr>
        <w:t>B.6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_Toc84398498 \h </w:instrText>
      </w:r>
      <w:r>
        <w:rPr>
          <w:noProof/>
        </w:rPr>
      </w:r>
      <w:r>
        <w:rPr>
          <w:noProof/>
        </w:rPr>
        <w:fldChar w:fldCharType="separate"/>
      </w:r>
      <w:r w:rsidR="002B0F56">
        <w:rPr>
          <w:noProof/>
        </w:rPr>
        <w:t>34</w:t>
      </w:r>
      <w:r>
        <w:rPr>
          <w:noProof/>
        </w:rPr>
        <w:fldChar w:fldCharType="end"/>
      </w:r>
    </w:p>
    <w:p w14:paraId="479DBFDA" w14:textId="77777777" w:rsidR="00207131" w:rsidRDefault="00207131">
      <w:pPr>
        <w:pStyle w:val="TOC3"/>
        <w:rPr>
          <w:rFonts w:asciiTheme="minorHAnsi" w:eastAsiaTheme="minorEastAsia" w:hAnsiTheme="minorHAnsi" w:cstheme="minorBidi"/>
          <w:iCs w:val="0"/>
          <w:noProof/>
          <w:sz w:val="22"/>
          <w:lang w:val="en-AU" w:eastAsia="en-AU"/>
        </w:rPr>
      </w:pPr>
      <w:r>
        <w:rPr>
          <w:noProof/>
        </w:rPr>
        <w:t>B.7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_Toc84398499 \h </w:instrText>
      </w:r>
      <w:r>
        <w:rPr>
          <w:noProof/>
        </w:rPr>
      </w:r>
      <w:r>
        <w:rPr>
          <w:noProof/>
        </w:rPr>
        <w:fldChar w:fldCharType="separate"/>
      </w:r>
      <w:r w:rsidR="002B0F56">
        <w:rPr>
          <w:noProof/>
        </w:rPr>
        <w:t>34</w:t>
      </w:r>
      <w:r>
        <w:rPr>
          <w:noProof/>
        </w:rPr>
        <w:fldChar w:fldCharType="end"/>
      </w:r>
    </w:p>
    <w:p w14:paraId="09D5E69D" w14:textId="77777777" w:rsidR="00207131" w:rsidRDefault="00207131">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_Toc84398500 \h </w:instrText>
      </w:r>
      <w:r>
        <w:rPr>
          <w:noProof/>
        </w:rPr>
      </w:r>
      <w:r>
        <w:rPr>
          <w:noProof/>
        </w:rPr>
        <w:fldChar w:fldCharType="separate"/>
      </w:r>
      <w:r w:rsidR="002B0F56">
        <w:rPr>
          <w:noProof/>
        </w:rPr>
        <w:t>35</w:t>
      </w:r>
      <w:r>
        <w:rPr>
          <w:noProof/>
        </w:rPr>
        <w:fldChar w:fldCharType="end"/>
      </w:r>
    </w:p>
    <w:p w14:paraId="44488409" w14:textId="77777777"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2CFE18CD" w14:textId="77777777" w:rsidR="00CE6D9D" w:rsidRPr="00F40BDA" w:rsidRDefault="00A24683" w:rsidP="00B400E6">
      <w:pPr>
        <w:pStyle w:val="Heading2"/>
      </w:pPr>
      <w:bookmarkStart w:id="4" w:name="_Toc458420391"/>
      <w:bookmarkStart w:id="5" w:name="_Toc462824846"/>
      <w:bookmarkStart w:id="6" w:name="_Toc496536648"/>
      <w:bookmarkStart w:id="7" w:name="_Toc531277475"/>
      <w:bookmarkStart w:id="8" w:name="_Toc955285"/>
      <w:bookmarkStart w:id="9" w:name="_Toc80180228"/>
      <w:bookmarkStart w:id="10" w:name="_Toc80185476"/>
      <w:bookmarkStart w:id="11" w:name="_Toc80190291"/>
      <w:bookmarkStart w:id="12" w:name="_Toc80190367"/>
      <w:bookmarkStart w:id="13" w:name="_Toc80870621"/>
      <w:bookmarkStart w:id="14" w:name="_Toc81229204"/>
      <w:bookmarkStart w:id="15" w:name="_Toc83047260"/>
      <w:bookmarkStart w:id="16" w:name="_Toc83722014"/>
      <w:bookmarkStart w:id="17" w:name="_Toc84398429"/>
      <w:r>
        <w:t>Preparing Australian Communities</w:t>
      </w:r>
      <w:r w:rsidR="00CE6D9D" w:rsidRPr="00CE6D9D">
        <w:t>:</w:t>
      </w:r>
      <w:r w:rsidR="00CE6D9D" w:rsidRPr="00F40BDA">
        <w:t xml:space="preserve"> </w:t>
      </w:r>
      <w:bookmarkEnd w:id="4"/>
      <w:bookmarkEnd w:id="5"/>
      <w:bookmarkEnd w:id="6"/>
      <w:bookmarkEnd w:id="7"/>
      <w:bookmarkEnd w:id="8"/>
      <w:r w:rsidR="00C51637">
        <w:t>Local Stream</w:t>
      </w:r>
      <w:bookmarkEnd w:id="9"/>
      <w:bookmarkEnd w:id="10"/>
      <w:bookmarkEnd w:id="11"/>
      <w:bookmarkEnd w:id="12"/>
      <w:bookmarkEnd w:id="13"/>
      <w:bookmarkEnd w:id="14"/>
      <w:bookmarkEnd w:id="15"/>
      <w:bookmarkEnd w:id="16"/>
      <w:bookmarkEnd w:id="17"/>
    </w:p>
    <w:p w14:paraId="2B0A330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24683">
        <w:rPr>
          <w:b/>
        </w:rPr>
        <w:t>Preparing Australian Communities Program</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153B8F4" w14:textId="62EBDAC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r w:rsidR="00C60948" w:rsidRPr="005A61FE">
        <w:t>program</w:t>
      </w:r>
      <w:r w:rsidR="002660E7">
        <w:t>,</w:t>
      </w:r>
      <w:r w:rsidR="00C60948">
        <w:t xml:space="preserve"> which</w:t>
      </w:r>
      <w:r>
        <w:t xml:space="preserve"> contributes to</w:t>
      </w:r>
      <w:r w:rsidR="004562CF">
        <w:t xml:space="preserve"> the</w:t>
      </w:r>
      <w:r>
        <w:t xml:space="preserve"> </w:t>
      </w:r>
      <w:r w:rsidR="00A24683">
        <w:t>National Recovery and Resilience Agency</w:t>
      </w:r>
      <w:r>
        <w:t xml:space="preserve">’s Outcome </w:t>
      </w:r>
      <w:r w:rsidR="00A24683">
        <w:t>1</w:t>
      </w:r>
      <w:r>
        <w:t xml:space="preserve">. </w:t>
      </w:r>
      <w:r w:rsidRPr="00F40BDA">
        <w:t xml:space="preserve">The </w:t>
      </w:r>
      <w:r w:rsidR="00A24683">
        <w:t>National Recovery and Resilience Agency</w:t>
      </w:r>
      <w:r w:rsidR="00C659C4">
        <w:t xml:space="preserve">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Pr="00EA118D">
          <w:rPr>
            <w:rStyle w:val="Hyperlink"/>
            <w:u w:val="none"/>
          </w:rPr>
          <w:t>.</w:t>
        </w:r>
      </w:hyperlink>
    </w:p>
    <w:p w14:paraId="43EB51B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A9C01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4C3B864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r w:rsidR="00C43123" w:rsidRPr="005A61FE">
        <w:t>.</w:t>
      </w:r>
    </w:p>
    <w:p w14:paraId="229A392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18FDA0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6ABE2E2"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1B2BD59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BAEB5E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788494BC" w14:textId="77777777" w:rsidR="00A24683" w:rsidRDefault="00CE6D9D" w:rsidP="00A2468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14AF765" w14:textId="77777777" w:rsidR="00CE6D9D" w:rsidRPr="00C659C4" w:rsidRDefault="00CE6D9D" w:rsidP="00A2468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0401A45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E0ACF2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0FBB2AA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1A5FDD5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6ABB7E4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35E7D5D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1A044CF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20A474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4F5C24B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1CF9386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FF4A80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07DFA0C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2928235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3E0EF7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750664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271744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586E5F8"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A24683">
        <w:rPr>
          <w:b/>
        </w:rPr>
        <w:t xml:space="preserve"> of the Preparing Australian Communities Program</w:t>
      </w:r>
    </w:p>
    <w:p w14:paraId="43311F9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A24683">
        <w:t>Preparing Australian Communities</w:t>
      </w:r>
      <w:r w:rsidR="00686047">
        <w:t xml:space="preserve"> </w:t>
      </w:r>
      <w:r w:rsidRPr="00C659C4">
        <w:t>as a whole. We base this on information you provide to us and that we collect from various sources.</w:t>
      </w:r>
      <w:r w:rsidRPr="00F40BDA">
        <w:t xml:space="preserve"> </w:t>
      </w:r>
    </w:p>
    <w:p w14:paraId="4E954B5A" w14:textId="77777777" w:rsidR="00F87B20" w:rsidRDefault="00F87B20" w:rsidP="00F87B20">
      <w:bookmarkStart w:id="18" w:name="_Toc496536649"/>
      <w:bookmarkStart w:id="19" w:name="_Toc531277476"/>
      <w:bookmarkStart w:id="20" w:name="_Toc955286"/>
      <w:r>
        <w:br w:type="page"/>
      </w:r>
    </w:p>
    <w:p w14:paraId="5078ACB0" w14:textId="77777777" w:rsidR="00686047" w:rsidRPr="000553F2" w:rsidRDefault="00686047" w:rsidP="00B400E6">
      <w:pPr>
        <w:pStyle w:val="Heading2"/>
      </w:pPr>
      <w:bookmarkStart w:id="21" w:name="_Toc80180229"/>
      <w:bookmarkStart w:id="22" w:name="_Toc80185477"/>
      <w:bookmarkStart w:id="23" w:name="_Toc80190292"/>
      <w:bookmarkStart w:id="24" w:name="_Toc80190368"/>
      <w:bookmarkStart w:id="25" w:name="_Toc80870622"/>
      <w:bookmarkStart w:id="26" w:name="_Toc81229205"/>
      <w:bookmarkStart w:id="27" w:name="_Toc83047261"/>
      <w:bookmarkStart w:id="28" w:name="_Toc83722015"/>
      <w:bookmarkStart w:id="29" w:name="_Toc84398430"/>
      <w:r>
        <w:t>About the grant program</w:t>
      </w:r>
      <w:bookmarkEnd w:id="18"/>
      <w:bookmarkEnd w:id="19"/>
      <w:bookmarkEnd w:id="20"/>
      <w:bookmarkEnd w:id="21"/>
      <w:bookmarkEnd w:id="22"/>
      <w:bookmarkEnd w:id="23"/>
      <w:bookmarkEnd w:id="24"/>
      <w:bookmarkEnd w:id="25"/>
      <w:bookmarkEnd w:id="26"/>
      <w:bookmarkEnd w:id="27"/>
      <w:bookmarkEnd w:id="28"/>
      <w:bookmarkEnd w:id="29"/>
    </w:p>
    <w:p w14:paraId="4085B27B" w14:textId="539A73CF" w:rsidR="007539C8" w:rsidRPr="00D445D1" w:rsidRDefault="007539C8" w:rsidP="007539C8">
      <w:pPr>
        <w:rPr>
          <w:rFonts w:cs="Arial"/>
        </w:rPr>
      </w:pPr>
      <w:bookmarkStart w:id="30" w:name="_Toc496536650"/>
      <w:bookmarkStart w:id="31" w:name="_Toc531277477"/>
      <w:bookmarkStart w:id="32" w:name="_Toc955287"/>
      <w:bookmarkStart w:id="33" w:name="_Toc80180230"/>
      <w:bookmarkStart w:id="34" w:name="_Toc80185478"/>
      <w:bookmarkStart w:id="35" w:name="_Toc80190293"/>
      <w:bookmarkStart w:id="36" w:name="_Toc80190369"/>
      <w:r>
        <w:t xml:space="preserve">The Australian Government has committed $600 million over six years from 2021-22 to 2026-27 for the Preparing Australia Program. The Preparing Australia Program will support </w:t>
      </w:r>
      <w:r w:rsidRPr="00397C5E">
        <w:rPr>
          <w:rFonts w:cs="Arial"/>
          <w:szCs w:val="20"/>
          <w:lang w:val="en"/>
        </w:rPr>
        <w:t xml:space="preserve">projects that mitigate or </w:t>
      </w:r>
      <w:r>
        <w:rPr>
          <w:rFonts w:cs="Arial"/>
          <w:szCs w:val="20"/>
          <w:lang w:val="en"/>
        </w:rPr>
        <w:t xml:space="preserve">reduce the disaster </w:t>
      </w:r>
      <w:r w:rsidRPr="00397C5E">
        <w:rPr>
          <w:rFonts w:cs="Arial"/>
          <w:szCs w:val="20"/>
          <w:lang w:val="en"/>
        </w:rPr>
        <w:t>risk</w:t>
      </w:r>
      <w:r w:rsidR="00A83CC8">
        <w:rPr>
          <w:rFonts w:cs="Arial"/>
          <w:szCs w:val="20"/>
          <w:lang w:val="en"/>
        </w:rPr>
        <w:t>, impact and consequence</w:t>
      </w:r>
      <w:r w:rsidRPr="00397C5E">
        <w:rPr>
          <w:rFonts w:cs="Arial"/>
          <w:szCs w:val="20"/>
          <w:lang w:val="en"/>
        </w:rPr>
        <w:t xml:space="preserve"> </w:t>
      </w:r>
      <w:r w:rsidR="000B7A89">
        <w:rPr>
          <w:rFonts w:cs="Arial"/>
          <w:szCs w:val="20"/>
          <w:lang w:val="en"/>
        </w:rPr>
        <w:t xml:space="preserve">associated with </w:t>
      </w:r>
      <w:r w:rsidRPr="00397C5E">
        <w:rPr>
          <w:rFonts w:cs="Arial"/>
          <w:szCs w:val="20"/>
          <w:lang w:val="en"/>
        </w:rPr>
        <w:t>large-scale</w:t>
      </w:r>
      <w:r>
        <w:rPr>
          <w:rFonts w:cs="Arial"/>
          <w:szCs w:val="20"/>
          <w:lang w:val="en"/>
        </w:rPr>
        <w:t xml:space="preserve"> natural hazards.</w:t>
      </w:r>
    </w:p>
    <w:p w14:paraId="641CEAA7" w14:textId="77777777" w:rsidR="007539C8" w:rsidRDefault="007539C8" w:rsidP="007539C8">
      <w:pPr>
        <w:spacing w:after="80"/>
      </w:pPr>
      <w:r w:rsidRPr="006A4C3F">
        <w:t>The objective</w:t>
      </w:r>
      <w:r w:rsidR="00A83CC8">
        <w:t>s</w:t>
      </w:r>
      <w:r w:rsidRPr="006A4C3F">
        <w:t xml:space="preserve"> of the Preparing Australia Program </w:t>
      </w:r>
      <w:r w:rsidR="00A83CC8">
        <w:t>are</w:t>
      </w:r>
      <w:r w:rsidRPr="00E5566F">
        <w:t xml:space="preserve"> </w:t>
      </w:r>
      <w:r>
        <w:t>to:</w:t>
      </w:r>
    </w:p>
    <w:p w14:paraId="4462FDEE" w14:textId="45ABB6DB" w:rsidR="007539C8" w:rsidRPr="00EC3470" w:rsidRDefault="00E71765" w:rsidP="007539C8">
      <w:pPr>
        <w:pStyle w:val="ListBullet"/>
      </w:pPr>
      <w:r>
        <w:rPr>
          <w:iCs/>
        </w:rPr>
        <w:t>i</w:t>
      </w:r>
      <w:r w:rsidR="007539C8" w:rsidRPr="00EC3470">
        <w:rPr>
          <w:iCs/>
        </w:rPr>
        <w:t>mprove</w:t>
      </w:r>
      <w:r w:rsidR="007539C8">
        <w:t xml:space="preserve"> the</w:t>
      </w:r>
      <w:r w:rsidR="007539C8" w:rsidRPr="00EC7D35">
        <w:t xml:space="preserve"> long-term resilience of Australian communities</w:t>
      </w:r>
      <w:r w:rsidR="007539C8">
        <w:t xml:space="preserve"> </w:t>
      </w:r>
      <w:r w:rsidR="00CC2890">
        <w:t xml:space="preserve">and households </w:t>
      </w:r>
      <w:r w:rsidR="00A83CC8">
        <w:t>to</w:t>
      </w:r>
      <w:r w:rsidR="00A83CC8" w:rsidRPr="00EC7D35">
        <w:t xml:space="preserve"> </w:t>
      </w:r>
      <w:r w:rsidR="007539C8">
        <w:t>natural hazards</w:t>
      </w:r>
      <w:r w:rsidR="001A7C8A">
        <w:t xml:space="preserve"> including </w:t>
      </w:r>
      <w:r w:rsidR="007539C8" w:rsidRPr="005F4937">
        <w:t xml:space="preserve"> </w:t>
      </w:r>
      <w:r w:rsidR="007539C8" w:rsidRPr="00053816">
        <w:t xml:space="preserve">bushfires, floods and </w:t>
      </w:r>
      <w:r w:rsidR="007539C8">
        <w:t xml:space="preserve">tropical </w:t>
      </w:r>
      <w:r w:rsidR="007539C8" w:rsidRPr="00053816">
        <w:t>cyclones</w:t>
      </w:r>
    </w:p>
    <w:p w14:paraId="24B47791" w14:textId="083111B2" w:rsidR="0008684E" w:rsidRPr="0008684E" w:rsidRDefault="00E71765" w:rsidP="0008684E">
      <w:pPr>
        <w:pStyle w:val="ListBullet"/>
        <w:rPr>
          <w:iCs/>
        </w:rPr>
      </w:pPr>
      <w:proofErr w:type="gramStart"/>
      <w:r>
        <w:rPr>
          <w:iCs/>
        </w:rPr>
        <w:t>d</w:t>
      </w:r>
      <w:r w:rsidR="007539C8">
        <w:rPr>
          <w:iCs/>
        </w:rPr>
        <w:t>eliver</w:t>
      </w:r>
      <w:proofErr w:type="gramEnd"/>
      <w:r w:rsidR="007539C8">
        <w:rPr>
          <w:iCs/>
        </w:rPr>
        <w:t xml:space="preserve"> </w:t>
      </w:r>
      <w:r w:rsidR="00A83CC8">
        <w:rPr>
          <w:iCs/>
        </w:rPr>
        <w:t xml:space="preserve">disaster </w:t>
      </w:r>
      <w:r w:rsidR="007539C8">
        <w:rPr>
          <w:iCs/>
        </w:rPr>
        <w:t xml:space="preserve">risk reduction </w:t>
      </w:r>
      <w:r w:rsidR="00EC1C3B">
        <w:rPr>
          <w:iCs/>
        </w:rPr>
        <w:t>projects that</w:t>
      </w:r>
      <w:r w:rsidR="00EA5878">
        <w:rPr>
          <w:iCs/>
        </w:rPr>
        <w:t xml:space="preserve"> reduce hazard exposure or vulnerability</w:t>
      </w:r>
      <w:r w:rsidR="007539C8">
        <w:rPr>
          <w:iCs/>
        </w:rPr>
        <w:t xml:space="preserve"> </w:t>
      </w:r>
      <w:r w:rsidR="00865F96">
        <w:rPr>
          <w:iCs/>
        </w:rPr>
        <w:t xml:space="preserve">and are </w:t>
      </w:r>
      <w:r w:rsidR="007539C8">
        <w:rPr>
          <w:iCs/>
        </w:rPr>
        <w:t>aligned with the recommendations of the Royal Commission into National Natural Disaster Arrangements</w:t>
      </w:r>
      <w:r w:rsidR="00960B5C">
        <w:rPr>
          <w:rStyle w:val="FootnoteReference"/>
          <w:iCs/>
        </w:rPr>
        <w:footnoteReference w:id="2"/>
      </w:r>
      <w:r w:rsidR="007539C8">
        <w:rPr>
          <w:iCs/>
        </w:rPr>
        <w:t xml:space="preserve"> and the National Disaster Risk Reduction Framework</w:t>
      </w:r>
      <w:r w:rsidR="004562CF">
        <w:rPr>
          <w:rStyle w:val="FootnoteReference"/>
          <w:iCs/>
        </w:rPr>
        <w:footnoteReference w:id="3"/>
      </w:r>
      <w:r w:rsidR="007539C8">
        <w:rPr>
          <w:iCs/>
        </w:rPr>
        <w:t>.</w:t>
      </w:r>
    </w:p>
    <w:p w14:paraId="3A5BC2ED" w14:textId="686BEA1B" w:rsidR="007539C8" w:rsidRDefault="004562CF" w:rsidP="007539C8">
      <w:pPr>
        <w:spacing w:after="80"/>
      </w:pPr>
      <w:r>
        <w:t>The intended outcome o</w:t>
      </w:r>
      <w:r w:rsidR="007539C8">
        <w:t xml:space="preserve">f the Preparing Australia Program </w:t>
      </w:r>
      <w:r>
        <w:t>is</w:t>
      </w:r>
      <w:r w:rsidR="007539C8">
        <w:t xml:space="preserve"> to</w:t>
      </w:r>
      <w:r w:rsidR="000B7A89">
        <w:t xml:space="preserve"> reduce the impact of natural hazards on Australia</w:t>
      </w:r>
      <w:r w:rsidR="00CC2890">
        <w:t>n communities</w:t>
      </w:r>
      <w:r>
        <w:t>,</w:t>
      </w:r>
      <w:r w:rsidR="000B7A89">
        <w:t xml:space="preserve"> including</w:t>
      </w:r>
      <w:r>
        <w:t xml:space="preserve"> by</w:t>
      </w:r>
      <w:r w:rsidR="007539C8">
        <w:t>:</w:t>
      </w:r>
    </w:p>
    <w:p w14:paraId="26A6F7F1" w14:textId="77777777" w:rsidR="00A6032D" w:rsidRPr="003E6352" w:rsidRDefault="00A6032D" w:rsidP="00A6032D">
      <w:pPr>
        <w:pStyle w:val="ListBullet"/>
        <w:rPr>
          <w:szCs w:val="20"/>
        </w:rPr>
      </w:pPr>
      <w:r w:rsidRPr="003E6352">
        <w:t>increasing disaster preparedness and resilience</w:t>
      </w:r>
    </w:p>
    <w:p w14:paraId="6D51E259" w14:textId="66752105" w:rsidR="007539C8" w:rsidRDefault="007539C8" w:rsidP="007539C8">
      <w:pPr>
        <w:pStyle w:val="ListBullet"/>
      </w:pPr>
      <w:r w:rsidRPr="005F4937">
        <w:t>reduc</w:t>
      </w:r>
      <w:r w:rsidR="000B7A89">
        <w:t>ing</w:t>
      </w:r>
      <w:r w:rsidRPr="005F4937">
        <w:t xml:space="preserve"> the cost of recovery </w:t>
      </w:r>
      <w:r>
        <w:t xml:space="preserve">following </w:t>
      </w:r>
      <w:r w:rsidR="00842848">
        <w:t xml:space="preserve">future </w:t>
      </w:r>
      <w:r>
        <w:t>disasters</w:t>
      </w:r>
    </w:p>
    <w:p w14:paraId="796571E1" w14:textId="46F86F09" w:rsidR="007539C8" w:rsidRDefault="007539C8" w:rsidP="007539C8">
      <w:pPr>
        <w:pStyle w:val="ListBullet"/>
      </w:pPr>
      <w:r>
        <w:t>reduc</w:t>
      </w:r>
      <w:r w:rsidR="000B7A89">
        <w:t>ing</w:t>
      </w:r>
      <w:r>
        <w:t xml:space="preserve"> the time to recover following </w:t>
      </w:r>
      <w:r w:rsidR="00842848">
        <w:t xml:space="preserve">future </w:t>
      </w:r>
      <w:r>
        <w:t>disasters</w:t>
      </w:r>
    </w:p>
    <w:p w14:paraId="43CEC730" w14:textId="44AF8BCB" w:rsidR="007539C8" w:rsidRDefault="007539C8" w:rsidP="007539C8">
      <w:pPr>
        <w:pStyle w:val="ListBullet"/>
      </w:pPr>
      <w:proofErr w:type="gramStart"/>
      <w:r>
        <w:t>encourag</w:t>
      </w:r>
      <w:r w:rsidR="004714BD">
        <w:t>ing</w:t>
      </w:r>
      <w:proofErr w:type="gramEnd"/>
      <w:r>
        <w:t xml:space="preserve"> reductions in insurance premiums</w:t>
      </w:r>
      <w:r w:rsidR="00842848">
        <w:t xml:space="preserve"> through a reduction in</w:t>
      </w:r>
      <w:r w:rsidR="004562CF">
        <w:t xml:space="preserve"> disaster</w:t>
      </w:r>
      <w:r w:rsidR="00842848">
        <w:t xml:space="preserve"> risk</w:t>
      </w:r>
      <w:r>
        <w:t>.</w:t>
      </w:r>
    </w:p>
    <w:p w14:paraId="6EBC5F6A" w14:textId="77777777" w:rsidR="0008684E" w:rsidRDefault="0008684E" w:rsidP="0008684E">
      <w:pPr>
        <w:pStyle w:val="ListBullet"/>
        <w:numPr>
          <w:ilvl w:val="0"/>
          <w:numId w:val="0"/>
        </w:numPr>
      </w:pPr>
      <w:r>
        <w:t xml:space="preserve">For the Preparing Australia Program, resilience </w:t>
      </w:r>
      <w:proofErr w:type="gramStart"/>
      <w:r>
        <w:t>is defined</w:t>
      </w:r>
      <w:proofErr w:type="gramEnd"/>
      <w:r>
        <w:t xml:space="preserve"> in the glossary (section 15).</w:t>
      </w:r>
    </w:p>
    <w:p w14:paraId="4BA563B0" w14:textId="0533A20A" w:rsidR="007539C8" w:rsidRPr="009D0EBC" w:rsidRDefault="007539C8" w:rsidP="007539C8">
      <w:r>
        <w:t>There may be other grant opportunities as part of the Preparing Australia Program and we will publish any</w:t>
      </w:r>
      <w:r w:rsidRPr="004F5B86">
        <w:t xml:space="preserve"> opening and closing dates and any other relevant information on </w:t>
      </w:r>
      <w:hyperlink r:id="rId22" w:history="1">
        <w:r w:rsidRPr="003B2930">
          <w:rPr>
            <w:rStyle w:val="Hyperlink"/>
          </w:rPr>
          <w:t>business.gov.au</w:t>
        </w:r>
      </w:hyperlink>
      <w:r w:rsidRPr="004F5B86">
        <w:t xml:space="preserve"> and </w:t>
      </w:r>
      <w:hyperlink r:id="rId23" w:history="1">
        <w:proofErr w:type="spellStart"/>
        <w:r w:rsidRPr="00DF6CC3">
          <w:rPr>
            <w:rStyle w:val="Hyperlink"/>
          </w:rPr>
          <w:t>GrantConnect</w:t>
        </w:r>
        <w:proofErr w:type="spellEnd"/>
      </w:hyperlink>
      <w:r>
        <w:t>.</w:t>
      </w:r>
    </w:p>
    <w:p w14:paraId="22EE2C48" w14:textId="77777777" w:rsidR="007539C8" w:rsidRDefault="007539C8" w:rsidP="007539C8">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4"/>
      </w:r>
      <w:r w:rsidRPr="00686047">
        <w:t>.</w:t>
      </w:r>
    </w:p>
    <w:p w14:paraId="5D11DB52" w14:textId="4652E331" w:rsidR="003001C7" w:rsidRDefault="00686047" w:rsidP="00371543">
      <w:pPr>
        <w:pStyle w:val="Heading3"/>
        <w:ind w:left="0" w:firstLine="0"/>
      </w:pPr>
      <w:bookmarkStart w:id="37" w:name="_Toc80870623"/>
      <w:bookmarkStart w:id="38" w:name="_Toc81229206"/>
      <w:bookmarkStart w:id="39" w:name="_Toc83047262"/>
      <w:bookmarkStart w:id="40" w:name="_Toc83722016"/>
      <w:bookmarkStart w:id="41" w:name="_Toc84398431"/>
      <w:r w:rsidRPr="001844D5">
        <w:t>About</w:t>
      </w:r>
      <w:r>
        <w:t xml:space="preserve"> the </w:t>
      </w:r>
      <w:r w:rsidR="00A24683">
        <w:t>Preparing Australian Communities</w:t>
      </w:r>
      <w:r w:rsidR="00CC1B4D">
        <w:t xml:space="preserve"> Program</w:t>
      </w:r>
      <w:r w:rsidR="00A24683">
        <w:t xml:space="preserve"> – </w:t>
      </w:r>
      <w:bookmarkEnd w:id="30"/>
      <w:bookmarkEnd w:id="31"/>
      <w:bookmarkEnd w:id="32"/>
      <w:r w:rsidR="00C51637">
        <w:t>Local Stream</w:t>
      </w:r>
      <w:bookmarkEnd w:id="33"/>
      <w:bookmarkEnd w:id="34"/>
      <w:bookmarkEnd w:id="35"/>
      <w:bookmarkEnd w:id="36"/>
      <w:bookmarkEnd w:id="37"/>
      <w:bookmarkEnd w:id="38"/>
      <w:bookmarkEnd w:id="39"/>
      <w:bookmarkEnd w:id="40"/>
      <w:bookmarkEnd w:id="41"/>
    </w:p>
    <w:p w14:paraId="42FD0233" w14:textId="3F555011" w:rsidR="0097395E" w:rsidRDefault="00AA7A87" w:rsidP="00DE5AB4">
      <w:pPr>
        <w:rPr>
          <w:rFonts w:cs="Arial"/>
          <w:szCs w:val="20"/>
        </w:rPr>
      </w:pPr>
      <w:r w:rsidRPr="00AA7A87" w:rsidDel="00D01699">
        <w:rPr>
          <w:rFonts w:cs="Arial"/>
          <w:szCs w:val="20"/>
        </w:rPr>
        <w:t xml:space="preserve">These guidelines contain information for the </w:t>
      </w:r>
      <w:r w:rsidR="00A24683">
        <w:rPr>
          <w:rFonts w:cs="Arial"/>
          <w:szCs w:val="20"/>
        </w:rPr>
        <w:t>Preparing Australian Communities</w:t>
      </w:r>
      <w:r w:rsidR="00CC1B4D">
        <w:rPr>
          <w:rFonts w:cs="Arial"/>
          <w:szCs w:val="20"/>
        </w:rPr>
        <w:t xml:space="preserve"> Program</w:t>
      </w:r>
      <w:r w:rsidR="00A24683">
        <w:rPr>
          <w:rFonts w:cs="Arial"/>
          <w:szCs w:val="20"/>
        </w:rPr>
        <w:t xml:space="preserve"> – </w:t>
      </w:r>
      <w:r w:rsidR="00C51637">
        <w:rPr>
          <w:rFonts w:cs="Arial"/>
          <w:szCs w:val="20"/>
        </w:rPr>
        <w:t>Local Stream</w:t>
      </w:r>
      <w:r w:rsidR="004562CF">
        <w:rPr>
          <w:rFonts w:cs="Arial"/>
          <w:szCs w:val="20"/>
        </w:rPr>
        <w:t xml:space="preserve"> (the program)</w:t>
      </w:r>
      <w:r w:rsidRPr="00AA7A87" w:rsidDel="00D01699">
        <w:rPr>
          <w:rFonts w:cs="Arial"/>
          <w:szCs w:val="20"/>
        </w:rPr>
        <w:t xml:space="preserve">. </w:t>
      </w:r>
      <w:r w:rsidR="0097395E">
        <w:rPr>
          <w:rFonts w:cs="Arial"/>
          <w:szCs w:val="20"/>
        </w:rPr>
        <w:t xml:space="preserve">This is the first round for the program. There may be future funding rounds. </w:t>
      </w:r>
    </w:p>
    <w:p w14:paraId="0DE0BCCC" w14:textId="7F4A3F68" w:rsidR="004562CF" w:rsidRDefault="00DD2CE7" w:rsidP="00DE5AB4">
      <w:pPr>
        <w:rPr>
          <w:rFonts w:cs="Arial"/>
          <w:szCs w:val="20"/>
        </w:rPr>
      </w:pPr>
      <w:r>
        <w:rPr>
          <w:rFonts w:cs="Arial"/>
          <w:szCs w:val="20"/>
        </w:rPr>
        <w:t xml:space="preserve">The program is one component of the Preparing Australia Program targeting </w:t>
      </w:r>
      <w:r w:rsidRPr="00EC0E6F">
        <w:rPr>
          <w:rFonts w:cs="Arial"/>
          <w:szCs w:val="20"/>
        </w:rPr>
        <w:t>support</w:t>
      </w:r>
      <w:r>
        <w:rPr>
          <w:rFonts w:cs="Arial"/>
          <w:szCs w:val="20"/>
        </w:rPr>
        <w:t xml:space="preserve"> to</w:t>
      </w:r>
      <w:r w:rsidRPr="00EC0E6F">
        <w:rPr>
          <w:rFonts w:cs="Arial"/>
          <w:szCs w:val="20"/>
        </w:rPr>
        <w:t xml:space="preserve"> locally identified and locally led projects that </w:t>
      </w:r>
      <w:r>
        <w:rPr>
          <w:rFonts w:cs="Arial"/>
          <w:szCs w:val="20"/>
        </w:rPr>
        <w:t xml:space="preserve">will </w:t>
      </w:r>
      <w:r w:rsidRPr="00EC0E6F">
        <w:rPr>
          <w:rFonts w:cs="Arial"/>
          <w:szCs w:val="20"/>
        </w:rPr>
        <w:t xml:space="preserve">improve the resilience of communities </w:t>
      </w:r>
      <w:r>
        <w:rPr>
          <w:rFonts w:cs="Arial"/>
          <w:szCs w:val="20"/>
        </w:rPr>
        <w:t>against</w:t>
      </w:r>
      <w:r w:rsidRPr="00EC0E6F">
        <w:rPr>
          <w:rFonts w:cs="Arial"/>
          <w:szCs w:val="20"/>
        </w:rPr>
        <w:t xml:space="preserve"> </w:t>
      </w:r>
      <w:r w:rsidR="00322C3B">
        <w:rPr>
          <w:rFonts w:cs="Arial"/>
          <w:szCs w:val="20"/>
        </w:rPr>
        <w:t>natural hazards</w:t>
      </w:r>
      <w:r>
        <w:rPr>
          <w:rFonts w:cs="Arial"/>
          <w:szCs w:val="20"/>
        </w:rPr>
        <w:t>.</w:t>
      </w:r>
      <w:r w:rsidR="00811233">
        <w:rPr>
          <w:rFonts w:cs="Arial"/>
          <w:szCs w:val="20"/>
        </w:rPr>
        <w:t xml:space="preserve"> </w:t>
      </w:r>
      <w:r w:rsidR="004714BD">
        <w:rPr>
          <w:rFonts w:cs="Arial"/>
          <w:szCs w:val="20"/>
        </w:rPr>
        <w:t xml:space="preserve">Round </w:t>
      </w:r>
      <w:proofErr w:type="gramStart"/>
      <w:r w:rsidR="004714BD">
        <w:rPr>
          <w:rFonts w:cs="Arial"/>
          <w:szCs w:val="20"/>
        </w:rPr>
        <w:t>1</w:t>
      </w:r>
      <w:proofErr w:type="gramEnd"/>
      <w:r w:rsidR="004714BD">
        <w:rPr>
          <w:rFonts w:cs="Arial"/>
          <w:szCs w:val="20"/>
        </w:rPr>
        <w:t xml:space="preserve"> will focus </w:t>
      </w:r>
      <w:r w:rsidR="00664DE4">
        <w:rPr>
          <w:rFonts w:cs="Arial"/>
          <w:szCs w:val="20"/>
        </w:rPr>
        <w:t xml:space="preserve">on </w:t>
      </w:r>
      <w:r w:rsidR="004714BD">
        <w:rPr>
          <w:rFonts w:cs="Arial"/>
          <w:szCs w:val="20"/>
        </w:rPr>
        <w:t>projects that will improve the resilience of communities against bushfires, flood and tropical cyclone</w:t>
      </w:r>
      <w:r w:rsidR="00F2471A">
        <w:rPr>
          <w:rFonts w:cs="Arial"/>
          <w:szCs w:val="20"/>
        </w:rPr>
        <w:t>s</w:t>
      </w:r>
      <w:r w:rsidR="004714BD">
        <w:rPr>
          <w:rFonts w:cs="Arial"/>
          <w:szCs w:val="20"/>
        </w:rPr>
        <w:t xml:space="preserve">. </w:t>
      </w:r>
    </w:p>
    <w:p w14:paraId="6AF40D9E" w14:textId="4D869202" w:rsidR="004562CF" w:rsidRPr="00F449F9" w:rsidRDefault="004562CF" w:rsidP="004562CF">
      <w:pPr>
        <w:rPr>
          <w:b/>
        </w:rPr>
      </w:pPr>
      <w:r>
        <w:t>The program is open to applications for projects all around Australia. T</w:t>
      </w:r>
      <w:r w:rsidRPr="00322C3B">
        <w:t xml:space="preserve">he program </w:t>
      </w:r>
      <w:r>
        <w:t>will prioritise</w:t>
      </w:r>
      <w:r w:rsidRPr="00322C3B">
        <w:t xml:space="preserve"> selected Local Government Areas (LGAs) based on </w:t>
      </w:r>
      <w:r>
        <w:t>their level of</w:t>
      </w:r>
      <w:r w:rsidRPr="00322C3B">
        <w:t xml:space="preserve"> </w:t>
      </w:r>
      <w:r>
        <w:t xml:space="preserve">comparative hazard </w:t>
      </w:r>
      <w:r w:rsidRPr="00322C3B">
        <w:t>risk</w:t>
      </w:r>
      <w:r>
        <w:t>,</w:t>
      </w:r>
      <w:r w:rsidRPr="00322C3B">
        <w:t xml:space="preserve"> informed by the Australian Climate Service</w:t>
      </w:r>
      <w:r>
        <w:t xml:space="preserve"> </w:t>
      </w:r>
      <w:r w:rsidRPr="00F449F9">
        <w:t>and state and territory governments</w:t>
      </w:r>
      <w:r>
        <w:t xml:space="preserve"> (see section</w:t>
      </w:r>
      <w:r w:rsidR="008E504D">
        <w:t>s</w:t>
      </w:r>
      <w:r>
        <w:t xml:space="preserve"> 4 </w:t>
      </w:r>
      <w:r w:rsidR="008E504D">
        <w:t xml:space="preserve">and 7 </w:t>
      </w:r>
      <w:r>
        <w:t>for additional information about priority locations</w:t>
      </w:r>
      <w:r w:rsidR="008E504D">
        <w:t xml:space="preserve"> and prioritisation</w:t>
      </w:r>
      <w:r>
        <w:t xml:space="preserve">). </w:t>
      </w:r>
    </w:p>
    <w:p w14:paraId="2FBB4BB4" w14:textId="6B8F9D39" w:rsidR="004562CF" w:rsidRDefault="004562CF" w:rsidP="002F1926">
      <w:r w:rsidRPr="00E23548">
        <w:t xml:space="preserve">The </w:t>
      </w:r>
      <w:r>
        <w:t xml:space="preserve">intended outcome of the </w:t>
      </w:r>
      <w:r w:rsidRPr="00CD75B8">
        <w:t xml:space="preserve">grant opportunity </w:t>
      </w:r>
      <w:r>
        <w:t>is to support communities to undertake disaster risk reduction and resilience initiatives that provide public benefit through reducing:</w:t>
      </w:r>
    </w:p>
    <w:p w14:paraId="37687DB5" w14:textId="3FCBAF66" w:rsidR="00322C3B" w:rsidRDefault="00322C3B" w:rsidP="0024008E">
      <w:pPr>
        <w:pStyle w:val="ListBullet"/>
      </w:pPr>
      <w:r>
        <w:t xml:space="preserve">the impact of </w:t>
      </w:r>
      <w:r w:rsidR="00842848">
        <w:t xml:space="preserve">future </w:t>
      </w:r>
      <w:r>
        <w:t>natural hazards on Australian communities</w:t>
      </w:r>
    </w:p>
    <w:p w14:paraId="3EAB6152" w14:textId="304F849F" w:rsidR="0024008E" w:rsidRDefault="0024008E" w:rsidP="0024008E">
      <w:pPr>
        <w:pStyle w:val="ListBullet"/>
      </w:pPr>
      <w:proofErr w:type="gramStart"/>
      <w:r>
        <w:t>the</w:t>
      </w:r>
      <w:proofErr w:type="gramEnd"/>
      <w:r>
        <w:t xml:space="preserve"> </w:t>
      </w:r>
      <w:r w:rsidR="00322C3B">
        <w:t>burden (</w:t>
      </w:r>
      <w:r>
        <w:t>cost</w:t>
      </w:r>
      <w:r w:rsidR="00322C3B">
        <w:t xml:space="preserve"> and time)</w:t>
      </w:r>
      <w:r>
        <w:t xml:space="preserve"> of recovery </w:t>
      </w:r>
      <w:r w:rsidR="00322C3B">
        <w:t xml:space="preserve">in communities </w:t>
      </w:r>
      <w:r>
        <w:t xml:space="preserve">following </w:t>
      </w:r>
      <w:r w:rsidR="00842848">
        <w:t xml:space="preserve">future </w:t>
      </w:r>
      <w:r>
        <w:t>disasters</w:t>
      </w:r>
      <w:r w:rsidR="004714BD">
        <w:t>.</w:t>
      </w:r>
    </w:p>
    <w:p w14:paraId="46EA2614" w14:textId="77777777" w:rsidR="00107697" w:rsidRPr="00022A7F" w:rsidRDefault="00107697" w:rsidP="007C0720">
      <w:pPr>
        <w:spacing w:after="80"/>
      </w:pPr>
      <w:r w:rsidRPr="00022A7F">
        <w:t>This document sets out</w:t>
      </w:r>
      <w:r w:rsidR="00162CF7">
        <w:t>:</w:t>
      </w:r>
    </w:p>
    <w:p w14:paraId="1FC39520" w14:textId="77777777" w:rsidR="00107697" w:rsidRDefault="00107697" w:rsidP="00107697">
      <w:pPr>
        <w:pStyle w:val="ListBullet"/>
      </w:pPr>
      <w:r w:rsidRPr="000A271A">
        <w:t xml:space="preserve">the eligibility and </w:t>
      </w:r>
      <w:r w:rsidR="0059733A">
        <w:t xml:space="preserve">assessment </w:t>
      </w:r>
      <w:r w:rsidRPr="000A271A">
        <w:t>criteria</w:t>
      </w:r>
    </w:p>
    <w:p w14:paraId="2D3CA785"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AF36A51" w14:textId="77777777" w:rsidR="00476A36" w:rsidRPr="005A61FE" w:rsidRDefault="00476A36" w:rsidP="00653895">
      <w:pPr>
        <w:pStyle w:val="ListBullet"/>
      </w:pPr>
      <w:r w:rsidRPr="005A61FE">
        <w:t>how we notify applicants and enter into grant agreements with grantees</w:t>
      </w:r>
    </w:p>
    <w:p w14:paraId="37426677"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961B02F" w14:textId="77777777"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03B0C375" w14:textId="1C2AC3D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w:t>
      </w:r>
      <w:r w:rsidR="002329EB">
        <w:t>we/</w:t>
      </w:r>
      <w:r w:rsidR="00297657">
        <w:t>the department</w:t>
      </w:r>
      <w:r w:rsidR="00171300">
        <w:t>)</w:t>
      </w:r>
      <w:r w:rsidR="00297657">
        <w:t xml:space="preserve">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E65547">
        <w:t>the National Recovery and Resilience Agency</w:t>
      </w:r>
      <w:r w:rsidR="00107697" w:rsidRPr="005A61FE">
        <w:t>.</w:t>
      </w:r>
    </w:p>
    <w:p w14:paraId="2F4724D0" w14:textId="1AB9AB98"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2B0F56">
        <w:t>15</w:t>
      </w:r>
      <w:r w:rsidR="00082460">
        <w:fldChar w:fldCharType="end"/>
      </w:r>
      <w:r>
        <w:t>.</w:t>
      </w:r>
    </w:p>
    <w:p w14:paraId="575C1A13" w14:textId="77777777" w:rsidR="00107697" w:rsidRDefault="00107697" w:rsidP="00107697">
      <w:r>
        <w:t>You should read this document carefully before you fill out an application.</w:t>
      </w:r>
    </w:p>
    <w:p w14:paraId="036134EE" w14:textId="77777777" w:rsidR="00712F06" w:rsidRDefault="00405D85" w:rsidP="00007E4B">
      <w:pPr>
        <w:pStyle w:val="Heading2"/>
      </w:pPr>
      <w:bookmarkStart w:id="42" w:name="_Toc496536651"/>
      <w:bookmarkStart w:id="43" w:name="_Toc531277478"/>
      <w:bookmarkStart w:id="44" w:name="_Toc955288"/>
      <w:bookmarkStart w:id="45" w:name="_Toc80180231"/>
      <w:bookmarkStart w:id="46" w:name="_Toc80185479"/>
      <w:bookmarkStart w:id="47" w:name="_Toc80190294"/>
      <w:bookmarkStart w:id="48" w:name="_Toc80190370"/>
      <w:bookmarkStart w:id="49" w:name="_Toc80870624"/>
      <w:bookmarkStart w:id="50" w:name="_Toc81229207"/>
      <w:bookmarkStart w:id="51" w:name="_Toc83047263"/>
      <w:bookmarkStart w:id="52" w:name="_Toc83722017"/>
      <w:bookmarkStart w:id="53" w:name="_Toc84398432"/>
      <w:bookmarkStart w:id="54" w:name="_Toc164844263"/>
      <w:bookmarkStart w:id="55" w:name="_Toc383003256"/>
      <w:r>
        <w:t xml:space="preserve">Grant </w:t>
      </w:r>
      <w:r w:rsidR="00D26B94">
        <w:t>amount</w:t>
      </w:r>
      <w:r w:rsidR="00A439FB">
        <w:t xml:space="preserve"> and </w:t>
      </w:r>
      <w:r>
        <w:t xml:space="preserve">grant </w:t>
      </w:r>
      <w:r w:rsidR="00A439FB">
        <w:t>period</w:t>
      </w:r>
      <w:bookmarkEnd w:id="42"/>
      <w:bookmarkEnd w:id="43"/>
      <w:bookmarkEnd w:id="44"/>
      <w:bookmarkEnd w:id="45"/>
      <w:bookmarkEnd w:id="46"/>
      <w:bookmarkEnd w:id="47"/>
      <w:bookmarkEnd w:id="48"/>
      <w:bookmarkEnd w:id="49"/>
      <w:bookmarkEnd w:id="50"/>
      <w:bookmarkEnd w:id="51"/>
      <w:bookmarkEnd w:id="52"/>
      <w:bookmarkEnd w:id="53"/>
    </w:p>
    <w:p w14:paraId="7F789681" w14:textId="7A4C197A" w:rsidR="0097395E" w:rsidRDefault="0097395E" w:rsidP="004A168F">
      <w:r>
        <w:t>A</w:t>
      </w:r>
      <w:r w:rsidR="00357A88">
        <w:t xml:space="preserve"> total of $600 million </w:t>
      </w:r>
      <w:r>
        <w:t xml:space="preserve">is available </w:t>
      </w:r>
      <w:r w:rsidR="00357A88">
        <w:t>over six</w:t>
      </w:r>
      <w:r w:rsidR="004A168F">
        <w:t xml:space="preserve"> years for</w:t>
      </w:r>
      <w:r w:rsidR="001844D5">
        <w:t xml:space="preserve"> the </w:t>
      </w:r>
      <w:r w:rsidR="00E7395A">
        <w:t>Preparing Australia Program</w:t>
      </w:r>
      <w:r w:rsidR="004A168F">
        <w:t xml:space="preserve">. </w:t>
      </w:r>
    </w:p>
    <w:p w14:paraId="433842C3" w14:textId="5032E041" w:rsidR="004A168F" w:rsidRDefault="00FE229E" w:rsidP="004A168F">
      <w:r>
        <w:t xml:space="preserve">For </w:t>
      </w:r>
      <w:r w:rsidR="00917CA7">
        <w:t>this grant opportunity</w:t>
      </w:r>
      <w:r w:rsidR="00C227CE">
        <w:t xml:space="preserve">, Round 1 of the Preparing Australian Communities Program – Local </w:t>
      </w:r>
      <w:r w:rsidR="004714BD">
        <w:t>S</w:t>
      </w:r>
      <w:r w:rsidR="00C227CE">
        <w:t>tream</w:t>
      </w:r>
      <w:r w:rsidR="002329EB">
        <w:t xml:space="preserve"> grant opportunity</w:t>
      </w:r>
      <w:r w:rsidR="00C227CE">
        <w:t>,</w:t>
      </w:r>
      <w:r w:rsidR="002A67F8">
        <w:t xml:space="preserve"> </w:t>
      </w:r>
      <w:r w:rsidR="004A168F">
        <w:t>$</w:t>
      </w:r>
      <w:r w:rsidR="00E7395A">
        <w:t>1</w:t>
      </w:r>
      <w:r w:rsidR="002A67F8">
        <w:t>50</w:t>
      </w:r>
      <w:r w:rsidR="00E7395A">
        <w:t> million</w:t>
      </w:r>
      <w:r w:rsidR="00F11991">
        <w:t xml:space="preserve"> is available </w:t>
      </w:r>
      <w:r w:rsidR="00842848">
        <w:t>from 2021</w:t>
      </w:r>
      <w:r w:rsidR="00842848">
        <w:noBreakHyphen/>
        <w:t xml:space="preserve">22 to </w:t>
      </w:r>
      <w:r w:rsidR="004562CF">
        <w:t>2024-25.</w:t>
      </w:r>
    </w:p>
    <w:p w14:paraId="6066046F" w14:textId="77777777" w:rsidR="00A62EDE" w:rsidRDefault="00A62EDE" w:rsidP="00A62EDE">
      <w:pPr>
        <w:pStyle w:val="Heading3"/>
        <w:ind w:left="0" w:firstLine="0"/>
      </w:pPr>
      <w:bookmarkStart w:id="56" w:name="_Toc83047264"/>
      <w:bookmarkStart w:id="57" w:name="_Toc83722018"/>
      <w:bookmarkStart w:id="58" w:name="_Toc84398433"/>
      <w:bookmarkStart w:id="59" w:name="_Toc496536652"/>
      <w:bookmarkStart w:id="60" w:name="_Toc531277479"/>
      <w:bookmarkStart w:id="61" w:name="_Toc955289"/>
      <w:bookmarkStart w:id="62" w:name="_Toc80180232"/>
      <w:bookmarkStart w:id="63" w:name="_Toc80185480"/>
      <w:bookmarkStart w:id="64" w:name="_Toc80190295"/>
      <w:bookmarkStart w:id="65" w:name="_Toc80190371"/>
      <w:bookmarkStart w:id="66" w:name="_Toc80870625"/>
      <w:bookmarkStart w:id="67" w:name="_Toc81229208"/>
      <w:r>
        <w:t>Grants available</w:t>
      </w:r>
      <w:bookmarkEnd w:id="56"/>
      <w:bookmarkEnd w:id="57"/>
      <w:bookmarkEnd w:id="58"/>
    </w:p>
    <w:bookmarkEnd w:id="59"/>
    <w:bookmarkEnd w:id="60"/>
    <w:bookmarkEnd w:id="61"/>
    <w:bookmarkEnd w:id="62"/>
    <w:bookmarkEnd w:id="63"/>
    <w:bookmarkEnd w:id="64"/>
    <w:bookmarkEnd w:id="65"/>
    <w:bookmarkEnd w:id="66"/>
    <w:bookmarkEnd w:id="67"/>
    <w:p w14:paraId="3D4BA85A" w14:textId="5E266A93" w:rsidR="008759DA" w:rsidRPr="00F21BA1" w:rsidRDefault="009A38F6" w:rsidP="00F21BA1">
      <w:r>
        <w:t>The grant amount will be up to</w:t>
      </w:r>
      <w:r w:rsidR="00F21BA1">
        <w:t>:</w:t>
      </w:r>
    </w:p>
    <w:p w14:paraId="31EBBE52" w14:textId="4A9FB914" w:rsidR="008759DA" w:rsidRPr="00F21BA1" w:rsidRDefault="009A38F6" w:rsidP="00F21BA1">
      <w:pPr>
        <w:pStyle w:val="ListBullet"/>
      </w:pPr>
      <w:r w:rsidRPr="00DE5AB4">
        <w:t>50 per cent</w:t>
      </w:r>
      <w:r>
        <w:t xml:space="preserve"> </w:t>
      </w:r>
      <w:r w:rsidR="00E7395A">
        <w:t>of</w:t>
      </w:r>
      <w:r w:rsidR="00774475">
        <w:t xml:space="preserve"> eligible project expenditure</w:t>
      </w:r>
      <w:r w:rsidR="00F21BA1">
        <w:t xml:space="preserve"> for</w:t>
      </w:r>
      <w:r w:rsidR="00774475">
        <w:t xml:space="preserve"> </w:t>
      </w:r>
      <w:r w:rsidR="00F21BA1">
        <w:t>infrastructure</w:t>
      </w:r>
      <w:r w:rsidR="00E7395A">
        <w:t xml:space="preserve"> </w:t>
      </w:r>
      <w:r w:rsidR="00774475">
        <w:t>projects</w:t>
      </w:r>
      <w:r w:rsidR="00A740E4">
        <w:t xml:space="preserve"> </w:t>
      </w:r>
      <w:r w:rsidR="0059592F" w:rsidRPr="0059592F">
        <w:t xml:space="preserve">of </w:t>
      </w:r>
      <w:r w:rsidR="004562CF" w:rsidRPr="0059592F">
        <w:t>$100,000</w:t>
      </w:r>
      <w:r w:rsidR="008759DA">
        <w:t xml:space="preserve"> </w:t>
      </w:r>
      <w:r w:rsidR="0059592F" w:rsidRPr="0059592F">
        <w:t>and over</w:t>
      </w:r>
    </w:p>
    <w:p w14:paraId="2AE3CC5B" w14:textId="7CAF6CE6" w:rsidR="00DD22A4" w:rsidRDefault="008759DA" w:rsidP="00F21BA1">
      <w:pPr>
        <w:pStyle w:val="ListBullet"/>
        <w:numPr>
          <w:ilvl w:val="0"/>
          <w:numId w:val="7"/>
        </w:numPr>
      </w:pPr>
      <w:r>
        <w:t xml:space="preserve">100 per cent </w:t>
      </w:r>
      <w:r w:rsidR="00F21BA1">
        <w:t>of</w:t>
      </w:r>
      <w:r>
        <w:t xml:space="preserve"> eligible project expenditure</w:t>
      </w:r>
      <w:r w:rsidR="00F21BA1">
        <w:t xml:space="preserve"> for infrastructure </w:t>
      </w:r>
      <w:r w:rsidR="005B04B2">
        <w:t xml:space="preserve">projects </w:t>
      </w:r>
      <w:r w:rsidR="005B04B2" w:rsidRPr="0059592F">
        <w:t>under $100,000</w:t>
      </w:r>
    </w:p>
    <w:p w14:paraId="304BB448" w14:textId="70F1B94D" w:rsidR="00774475" w:rsidRPr="00F21BA1" w:rsidRDefault="00DD22A4" w:rsidP="00F21BA1">
      <w:pPr>
        <w:pStyle w:val="ListBullet"/>
      </w:pPr>
      <w:proofErr w:type="gramStart"/>
      <w:r>
        <w:t>100 per cent</w:t>
      </w:r>
      <w:proofErr w:type="gramEnd"/>
      <w:r>
        <w:t xml:space="preserve"> of eligible project expenditure for </w:t>
      </w:r>
      <w:r w:rsidR="00F21BA1">
        <w:t>non-infrastructure</w:t>
      </w:r>
      <w:r w:rsidR="00A740E4">
        <w:t xml:space="preserve"> </w:t>
      </w:r>
      <w:r w:rsidR="00CF30A7">
        <w:t>projects.</w:t>
      </w:r>
    </w:p>
    <w:p w14:paraId="44C50F1C" w14:textId="1D018400" w:rsidR="009A38F6" w:rsidRPr="00774475" w:rsidRDefault="00774475" w:rsidP="00774475">
      <w:pPr>
        <w:pStyle w:val="ListBullet"/>
        <w:numPr>
          <w:ilvl w:val="0"/>
          <w:numId w:val="0"/>
        </w:numPr>
        <w:rPr>
          <w:strike/>
        </w:rPr>
      </w:pPr>
      <w:r>
        <w:t>E</w:t>
      </w:r>
      <w:r w:rsidR="00A740E4">
        <w:t xml:space="preserve">ligible </w:t>
      </w:r>
      <w:r>
        <w:t xml:space="preserve">project </w:t>
      </w:r>
      <w:r w:rsidR="00A740E4">
        <w:t xml:space="preserve">activity categories </w:t>
      </w:r>
      <w:proofErr w:type="gramStart"/>
      <w:r>
        <w:t>are outlined</w:t>
      </w:r>
      <w:proofErr w:type="gramEnd"/>
      <w:r w:rsidR="00A740E4">
        <w:t xml:space="preserve"> in section 6.2.</w:t>
      </w:r>
    </w:p>
    <w:p w14:paraId="56E17784" w14:textId="77777777" w:rsidR="00A04E7B" w:rsidRDefault="00077C3D" w:rsidP="00DC1BCD">
      <w:pPr>
        <w:pStyle w:val="ListBullet"/>
      </w:pPr>
      <w:r w:rsidRPr="006F4968">
        <w:t>T</w:t>
      </w:r>
      <w:r w:rsidR="00712F06" w:rsidRPr="006F4968">
        <w:t>he minimum grant amount is $</w:t>
      </w:r>
      <w:r w:rsidR="00E7395A">
        <w:t>20</w:t>
      </w:r>
      <w:r w:rsidR="001167DB">
        <w:t>,000</w:t>
      </w:r>
    </w:p>
    <w:p w14:paraId="22B2F4B2" w14:textId="77777777" w:rsidR="00A04E7B" w:rsidRDefault="00A04E7B" w:rsidP="003B0568">
      <w:pPr>
        <w:pStyle w:val="ListBullet"/>
        <w:spacing w:after="120"/>
      </w:pPr>
      <w:r>
        <w:t>T</w:t>
      </w:r>
      <w:r w:rsidR="001167DB">
        <w:t>he maximum grant amount is $10 million</w:t>
      </w:r>
      <w:r w:rsidR="00712F06" w:rsidRPr="006F4968">
        <w:t>.</w:t>
      </w:r>
    </w:p>
    <w:p w14:paraId="4662202A" w14:textId="77777777" w:rsidR="004A168F" w:rsidRDefault="00D43D17" w:rsidP="004A168F">
      <w:r>
        <w:t>You are responsible for t</w:t>
      </w:r>
      <w:r w:rsidR="004A168F">
        <w:t>he remaining eligible</w:t>
      </w:r>
      <w:r w:rsidR="00917CA7">
        <w:t xml:space="preserve"> and ineligible</w:t>
      </w:r>
      <w:r w:rsidR="004A168F">
        <w:t xml:space="preserve"> project </w:t>
      </w:r>
      <w:r w:rsidR="00917CA7">
        <w:t>costs</w:t>
      </w:r>
      <w:r w:rsidR="004B3C1A">
        <w:t>.</w:t>
      </w:r>
      <w:r w:rsidR="00605E42">
        <w:t xml:space="preserve"> </w:t>
      </w:r>
    </w:p>
    <w:p w14:paraId="11B1100B" w14:textId="51664F6D" w:rsidR="00EB675B" w:rsidRDefault="001F6392" w:rsidP="00EB675B">
      <w:r>
        <w:t xml:space="preserve">Contributions to your project </w:t>
      </w:r>
      <w:r w:rsidR="00270C4A">
        <w:t xml:space="preserve">can </w:t>
      </w:r>
      <w:r>
        <w:t>be cash</w:t>
      </w:r>
      <w:r w:rsidR="005248F7">
        <w:t xml:space="preserve"> or in-</w:t>
      </w:r>
      <w:r w:rsidR="00887A8B">
        <w:t>kind</w:t>
      </w:r>
      <w:r>
        <w:t>.</w:t>
      </w:r>
      <w:r w:rsidR="00BF176F">
        <w:t xml:space="preserve"> Contributions are encouraged for all projects. </w:t>
      </w:r>
      <w:r w:rsidR="00EB675B" w:rsidRPr="00EB675B">
        <w:t xml:space="preserve"> </w:t>
      </w:r>
    </w:p>
    <w:p w14:paraId="04E5DC93" w14:textId="17AAF7D9" w:rsidR="00EB675B" w:rsidRDefault="00EB675B" w:rsidP="00EB675B">
      <w:r w:rsidRPr="00BF70F0">
        <w:t xml:space="preserve">In-kind contributions are non-cash contributions towards your </w:t>
      </w:r>
      <w:r>
        <w:t>eligible</w:t>
      </w:r>
      <w:r w:rsidRPr="00BF70F0">
        <w:t xml:space="preserve"> project </w:t>
      </w:r>
      <w:r w:rsidR="00AC7B67">
        <w:t>costs</w:t>
      </w:r>
      <w:r>
        <w:t>.</w:t>
      </w:r>
      <w:r w:rsidR="008903E9">
        <w:t xml:space="preserve"> The </w:t>
      </w:r>
      <w:r w:rsidR="008903E9" w:rsidRPr="00BF70F0">
        <w:t xml:space="preserve">reported value of in-kind contributions </w:t>
      </w:r>
      <w:r w:rsidR="008903E9">
        <w:t xml:space="preserve">must be consistent </w:t>
      </w:r>
      <w:r w:rsidR="008903E9" w:rsidRPr="00BF70F0">
        <w:t>with current market rates</w:t>
      </w:r>
      <w:r w:rsidR="008903E9">
        <w:t>.</w:t>
      </w:r>
      <w:r>
        <w:t xml:space="preserve"> </w:t>
      </w:r>
    </w:p>
    <w:p w14:paraId="3D78BA62" w14:textId="6C2624F9" w:rsidR="001F6392" w:rsidRDefault="00EB675B" w:rsidP="00203113">
      <w:r>
        <w:t xml:space="preserve">For in-kind contributions to count towards your eligible project </w:t>
      </w:r>
      <w:proofErr w:type="gramStart"/>
      <w:r w:rsidR="00AC7B67">
        <w:t>costs</w:t>
      </w:r>
      <w:proofErr w:type="gramEnd"/>
      <w:r>
        <w:t xml:space="preserve"> they must directly relate to the project and eligible activities. </w:t>
      </w:r>
    </w:p>
    <w:p w14:paraId="5B93143F" w14:textId="213ED7CD" w:rsidR="001F6392" w:rsidRDefault="001F6392" w:rsidP="001F6392">
      <w:r>
        <w:t xml:space="preserve">Other funding can come from any source including Commonwealth, </w:t>
      </w:r>
      <w:r w:rsidR="002329EB">
        <w:t>s</w:t>
      </w:r>
      <w:r>
        <w:t xml:space="preserve">tate, </w:t>
      </w:r>
      <w:r w:rsidR="002329EB">
        <w:t>t</w:t>
      </w:r>
      <w:r>
        <w:t>erritory and local government</w:t>
      </w:r>
      <w:r w:rsidRPr="005A61FE">
        <w:t xml:space="preserve"> grants</w:t>
      </w:r>
      <w:r w:rsidR="00954EAC">
        <w:t>.</w:t>
      </w:r>
      <w:r w:rsidRPr="00BC0A54">
        <w:t xml:space="preserve"> </w:t>
      </w:r>
    </w:p>
    <w:p w14:paraId="7E2E7E9F" w14:textId="452C6902" w:rsidR="005E185B" w:rsidRPr="005E185B" w:rsidRDefault="005E185B" w:rsidP="005E185B">
      <w:r w:rsidRPr="005E185B">
        <w:t>We cannot fund your project if it has already received funding from another Commonwealth, state, territory or local government grant for the same activities (noting that this ex</w:t>
      </w:r>
      <w:r w:rsidR="002B4085">
        <w:t>cludes co-contribution amounts)</w:t>
      </w:r>
      <w:r w:rsidRPr="005E185B">
        <w:t xml:space="preserve">. You can apply for funding under other programs but if you are successful, you need to decide under which program you wish to </w:t>
      </w:r>
      <w:proofErr w:type="gramStart"/>
      <w:r w:rsidRPr="005E185B">
        <w:t>be funded</w:t>
      </w:r>
      <w:proofErr w:type="gramEnd"/>
      <w:r w:rsidRPr="005E185B">
        <w:t>.</w:t>
      </w:r>
    </w:p>
    <w:p w14:paraId="5E31C047" w14:textId="1782F9E5" w:rsidR="00774475" w:rsidRDefault="00774475" w:rsidP="001F6392">
      <w:r w:rsidRPr="00210587">
        <w:t xml:space="preserve">You can apply for, and receive, up to </w:t>
      </w:r>
      <w:r>
        <w:t>one grant</w:t>
      </w:r>
      <w:r w:rsidRPr="00210587">
        <w:t xml:space="preserve"> through this grant opportunity. </w:t>
      </w:r>
    </w:p>
    <w:p w14:paraId="2B7ED018" w14:textId="77777777" w:rsidR="00A62EDE" w:rsidRDefault="00A62EDE" w:rsidP="00A62EDE">
      <w:pPr>
        <w:pStyle w:val="Heading3"/>
        <w:ind w:left="0" w:firstLine="0"/>
      </w:pPr>
      <w:bookmarkStart w:id="68" w:name="_Toc75861626"/>
      <w:bookmarkStart w:id="69" w:name="_Toc83047265"/>
      <w:bookmarkStart w:id="70" w:name="_Toc83722019"/>
      <w:bookmarkStart w:id="71" w:name="_Toc84398434"/>
      <w:bookmarkStart w:id="72" w:name="_Toc496536653"/>
      <w:bookmarkStart w:id="73" w:name="_Toc531277480"/>
      <w:bookmarkStart w:id="74" w:name="_Toc955290"/>
      <w:bookmarkStart w:id="75" w:name="_Toc80180233"/>
      <w:bookmarkStart w:id="76" w:name="_Toc80185481"/>
      <w:bookmarkStart w:id="77" w:name="_Toc80190296"/>
      <w:bookmarkStart w:id="78" w:name="_Toc80190372"/>
      <w:bookmarkStart w:id="79" w:name="_Toc80870626"/>
      <w:bookmarkStart w:id="80" w:name="_Toc81229209"/>
      <w:bookmarkEnd w:id="68"/>
      <w:r>
        <w:t>Project period</w:t>
      </w:r>
      <w:bookmarkEnd w:id="69"/>
      <w:bookmarkEnd w:id="70"/>
      <w:bookmarkEnd w:id="71"/>
    </w:p>
    <w:bookmarkEnd w:id="72"/>
    <w:bookmarkEnd w:id="73"/>
    <w:bookmarkEnd w:id="74"/>
    <w:bookmarkEnd w:id="75"/>
    <w:bookmarkEnd w:id="76"/>
    <w:bookmarkEnd w:id="77"/>
    <w:bookmarkEnd w:id="78"/>
    <w:bookmarkEnd w:id="79"/>
    <w:bookmarkEnd w:id="80"/>
    <w:p w14:paraId="3B01F958" w14:textId="2205683B" w:rsidR="005B7DC1" w:rsidRPr="005B7DC1" w:rsidRDefault="005B7DC1" w:rsidP="005B7DC1">
      <w:r w:rsidRPr="006F4968">
        <w:t xml:space="preserve">The maximum </w:t>
      </w:r>
      <w:r w:rsidRPr="005A61FE">
        <w:t>project</w:t>
      </w:r>
      <w:r w:rsidRPr="006F4968">
        <w:t xml:space="preserve"> period is</w:t>
      </w:r>
      <w:r w:rsidR="00BB607F">
        <w:t xml:space="preserve"> </w:t>
      </w:r>
      <w:r w:rsidR="005D6790">
        <w:t xml:space="preserve">up to </w:t>
      </w:r>
      <w:r w:rsidR="004562CF">
        <w:t>three</w:t>
      </w:r>
      <w:r w:rsidR="005D6790">
        <w:t xml:space="preserve"> years.</w:t>
      </w:r>
    </w:p>
    <w:p w14:paraId="55C76987" w14:textId="535C3511" w:rsidR="009A0990" w:rsidRDefault="00577D3F" w:rsidP="005242BA">
      <w:r>
        <w:t>You must complete your p</w:t>
      </w:r>
      <w:r w:rsidR="009A0990" w:rsidRPr="00B215DF">
        <w:t xml:space="preserve">roject </w:t>
      </w:r>
      <w:r w:rsidR="00461AAE">
        <w:t>by</w:t>
      </w:r>
      <w:r w:rsidR="009A0990" w:rsidRPr="00B215DF">
        <w:t xml:space="preserve"> </w:t>
      </w:r>
      <w:r w:rsidR="00A14C1D">
        <w:t>31 March</w:t>
      </w:r>
      <w:r w:rsidR="004562CF">
        <w:t xml:space="preserve"> 2025</w:t>
      </w:r>
      <w:r w:rsidR="005E2936">
        <w:t xml:space="preserve">. </w:t>
      </w:r>
    </w:p>
    <w:p w14:paraId="5E284199" w14:textId="58DDCFA1" w:rsidR="005231A1" w:rsidRPr="00851FD7" w:rsidRDefault="00327227" w:rsidP="005231A1">
      <w:pPr>
        <w:pStyle w:val="Heading2"/>
        <w:ind w:left="0" w:firstLine="0"/>
      </w:pPr>
      <w:bookmarkStart w:id="81" w:name="_Toc530072971"/>
      <w:bookmarkStart w:id="82" w:name="_Toc73016024"/>
      <w:bookmarkStart w:id="83" w:name="_Toc75938716"/>
      <w:bookmarkStart w:id="84" w:name="_Toc80180234"/>
      <w:bookmarkStart w:id="85" w:name="_Toc80185482"/>
      <w:bookmarkStart w:id="86" w:name="_Toc80190297"/>
      <w:bookmarkStart w:id="87" w:name="_Toc80190373"/>
      <w:bookmarkStart w:id="88" w:name="_Toc80870627"/>
      <w:bookmarkStart w:id="89" w:name="_Toc81229210"/>
      <w:bookmarkStart w:id="90" w:name="_Toc83047266"/>
      <w:bookmarkStart w:id="91" w:name="_Toc83722020"/>
      <w:bookmarkStart w:id="92" w:name="_Toc84398435"/>
      <w:bookmarkStart w:id="93" w:name="_Toc496536654"/>
      <w:bookmarkStart w:id="94" w:name="_Toc531277481"/>
      <w:bookmarkStart w:id="95" w:name="_Toc955291"/>
      <w:bookmarkEnd w:id="54"/>
      <w:bookmarkEnd w:id="55"/>
      <w:bookmarkEnd w:id="81"/>
      <w:r w:rsidRPr="00851FD7">
        <w:t xml:space="preserve">Priority </w:t>
      </w:r>
      <w:r w:rsidR="005231A1" w:rsidRPr="00851FD7">
        <w:t>locations</w:t>
      </w:r>
      <w:bookmarkEnd w:id="82"/>
      <w:bookmarkEnd w:id="83"/>
      <w:bookmarkEnd w:id="84"/>
      <w:bookmarkEnd w:id="85"/>
      <w:bookmarkEnd w:id="86"/>
      <w:bookmarkEnd w:id="87"/>
      <w:bookmarkEnd w:id="88"/>
      <w:bookmarkEnd w:id="89"/>
      <w:bookmarkEnd w:id="90"/>
      <w:bookmarkEnd w:id="91"/>
      <w:bookmarkEnd w:id="92"/>
    </w:p>
    <w:p w14:paraId="1D16AB12" w14:textId="47E205CD" w:rsidR="005C62C3" w:rsidRPr="00CE5CD8" w:rsidRDefault="004714BD" w:rsidP="005C62C3">
      <w:bookmarkStart w:id="96" w:name="_Toc83046659"/>
      <w:bookmarkStart w:id="97" w:name="_Toc69807121"/>
      <w:bookmarkEnd w:id="96"/>
      <w:r>
        <w:rPr>
          <w:rFonts w:cs="Arial"/>
          <w:szCs w:val="20"/>
        </w:rPr>
        <w:t xml:space="preserve">Round </w:t>
      </w:r>
      <w:proofErr w:type="gramStart"/>
      <w:r>
        <w:rPr>
          <w:rFonts w:cs="Arial"/>
          <w:szCs w:val="20"/>
        </w:rPr>
        <w:t>1</w:t>
      </w:r>
      <w:proofErr w:type="gramEnd"/>
      <w:r>
        <w:rPr>
          <w:rFonts w:cs="Arial"/>
          <w:szCs w:val="20"/>
        </w:rPr>
        <w:t xml:space="preserve"> of the program will prioritise </w:t>
      </w:r>
      <w:r w:rsidRPr="00851FD7">
        <w:t>LGAs at risk from flood, bushfire and/or tropical cyclones as these hazards cause major impacts (disruption, damage and loss) on homes and infrastructure with significant fatalities.</w:t>
      </w:r>
      <w:r>
        <w:t xml:space="preserve"> </w:t>
      </w:r>
      <w:bookmarkStart w:id="98" w:name="_Toc80180236"/>
      <w:bookmarkStart w:id="99" w:name="_Toc80185484"/>
      <w:bookmarkStart w:id="100" w:name="_Toc80190299"/>
      <w:bookmarkStart w:id="101" w:name="_Toc80190376"/>
      <w:bookmarkStart w:id="102" w:name="_Toc80870629"/>
      <w:bookmarkStart w:id="103" w:name="_Toc81229212"/>
      <w:bookmarkStart w:id="104" w:name="_Toc83047267"/>
      <w:bookmarkEnd w:id="97"/>
      <w:r w:rsidR="005C62C3">
        <w:t xml:space="preserve">These </w:t>
      </w:r>
      <w:r w:rsidR="000F692D">
        <w:t xml:space="preserve">LGAs </w:t>
      </w:r>
      <w:r w:rsidR="005C62C3">
        <w:t xml:space="preserve">have been assessed as having high </w:t>
      </w:r>
      <w:r w:rsidR="005C62C3">
        <w:rPr>
          <w:rFonts w:cs="Arial"/>
          <w:szCs w:val="20"/>
        </w:rPr>
        <w:t xml:space="preserve">hazard exposure and magnitude of potential </w:t>
      </w:r>
      <w:r w:rsidR="005C62C3" w:rsidRPr="005D4B48">
        <w:rPr>
          <w:rFonts w:cs="Arial"/>
          <w:szCs w:val="20"/>
        </w:rPr>
        <w:t>impact</w:t>
      </w:r>
      <w:r w:rsidR="004C019F">
        <w:rPr>
          <w:rFonts w:cs="Arial"/>
          <w:szCs w:val="20"/>
        </w:rPr>
        <w:t xml:space="preserve">, </w:t>
      </w:r>
      <w:proofErr w:type="gramStart"/>
      <w:r w:rsidR="004C019F">
        <w:rPr>
          <w:rFonts w:cs="Arial"/>
          <w:szCs w:val="20"/>
        </w:rPr>
        <w:t>as a result</w:t>
      </w:r>
      <w:proofErr w:type="gramEnd"/>
      <w:r w:rsidR="004C019F">
        <w:rPr>
          <w:rFonts w:cs="Arial"/>
          <w:szCs w:val="20"/>
        </w:rPr>
        <w:t xml:space="preserve"> of climate change,</w:t>
      </w:r>
      <w:r w:rsidR="005C62C3" w:rsidRPr="005D4B48">
        <w:rPr>
          <w:rFonts w:cs="Arial"/>
          <w:szCs w:val="20"/>
        </w:rPr>
        <w:t xml:space="preserve"> informed by the Australian Climate Service</w:t>
      </w:r>
      <w:r w:rsidR="008D169C">
        <w:rPr>
          <w:rFonts w:cs="Arial"/>
          <w:szCs w:val="20"/>
        </w:rPr>
        <w:t>, the National Recovery</w:t>
      </w:r>
      <w:r w:rsidR="005C62C3" w:rsidRPr="005D4B48">
        <w:rPr>
          <w:rFonts w:cs="Arial"/>
          <w:szCs w:val="20"/>
        </w:rPr>
        <w:t xml:space="preserve"> </w:t>
      </w:r>
      <w:r w:rsidR="005C62C3" w:rsidRPr="00851FD7">
        <w:rPr>
          <w:rFonts w:cs="Arial"/>
          <w:szCs w:val="20"/>
        </w:rPr>
        <w:t xml:space="preserve">and </w:t>
      </w:r>
      <w:r w:rsidR="008D169C">
        <w:rPr>
          <w:rFonts w:cs="Arial"/>
          <w:szCs w:val="20"/>
        </w:rPr>
        <w:t>Resilience Agency</w:t>
      </w:r>
      <w:r w:rsidR="005C62C3" w:rsidRPr="005D4B48">
        <w:rPr>
          <w:rFonts w:cs="Arial"/>
          <w:szCs w:val="20"/>
        </w:rPr>
        <w:t xml:space="preserve"> </w:t>
      </w:r>
      <w:r w:rsidR="005C62C3" w:rsidRPr="00851FD7">
        <w:rPr>
          <w:rFonts w:cs="Arial"/>
          <w:szCs w:val="20"/>
        </w:rPr>
        <w:t>and state and territory governments</w:t>
      </w:r>
      <w:r w:rsidR="005C62C3" w:rsidRPr="005D4B48">
        <w:rPr>
          <w:rFonts w:cs="Arial"/>
          <w:szCs w:val="20"/>
        </w:rPr>
        <w:t>. This will target the limited program funding to high-risk areas identified as most exposed to bushfires, flood and tropical cyclone</w:t>
      </w:r>
      <w:r w:rsidR="004C019F">
        <w:rPr>
          <w:rFonts w:cs="Arial"/>
          <w:szCs w:val="20"/>
        </w:rPr>
        <w:t xml:space="preserve"> </w:t>
      </w:r>
      <w:proofErr w:type="gramStart"/>
      <w:r w:rsidR="004C019F">
        <w:rPr>
          <w:rFonts w:cs="Arial"/>
          <w:szCs w:val="20"/>
        </w:rPr>
        <w:t>as a result</w:t>
      </w:r>
      <w:proofErr w:type="gramEnd"/>
      <w:r w:rsidR="004C019F">
        <w:rPr>
          <w:rFonts w:cs="Arial"/>
          <w:szCs w:val="20"/>
        </w:rPr>
        <w:t xml:space="preserve"> of climate change</w:t>
      </w:r>
      <w:r w:rsidR="005C62C3" w:rsidRPr="005D4B48">
        <w:rPr>
          <w:rFonts w:cs="Arial"/>
          <w:szCs w:val="20"/>
        </w:rPr>
        <w:t xml:space="preserve">. </w:t>
      </w:r>
    </w:p>
    <w:p w14:paraId="29453B3C" w14:textId="333AE965" w:rsidR="000F692D" w:rsidRPr="00851FD7" w:rsidRDefault="00EF5796" w:rsidP="005C62C3">
      <w:r w:rsidRPr="008B0385">
        <w:rPr>
          <w:rFonts w:cs="Arial"/>
          <w:szCs w:val="20"/>
        </w:rPr>
        <w:t>Applications</w:t>
      </w:r>
      <w:r w:rsidR="000F692D" w:rsidRPr="00EF5796">
        <w:rPr>
          <w:rFonts w:cs="Arial"/>
          <w:szCs w:val="20"/>
        </w:rPr>
        <w:t xml:space="preserve"> with project activities addressing the hazard risks in the selected Local Government Areas (LGAs) </w:t>
      </w:r>
      <w:r w:rsidRPr="008B0385">
        <w:t xml:space="preserve">listed at Appendix A </w:t>
      </w:r>
      <w:r w:rsidR="000F692D" w:rsidRPr="00EF5796">
        <w:t>will receive an additional 20 points as outlined in section 7.4.</w:t>
      </w:r>
      <w:r w:rsidR="00A6032D" w:rsidRPr="00A6032D">
        <w:t xml:space="preserve"> </w:t>
      </w:r>
      <w:r w:rsidR="00A6032D">
        <w:t>(You can only receive a maximum of 20 additional points per application)</w:t>
      </w:r>
      <w:r w:rsidR="00517F8A">
        <w:t>.</w:t>
      </w:r>
    </w:p>
    <w:p w14:paraId="09AD8D43" w14:textId="6D0D74DF" w:rsidR="005C62C3" w:rsidRPr="00851FD7" w:rsidRDefault="005C62C3" w:rsidP="005C62C3">
      <w:pPr>
        <w:pStyle w:val="ListBullet"/>
        <w:numPr>
          <w:ilvl w:val="0"/>
          <w:numId w:val="0"/>
        </w:numPr>
      </w:pPr>
      <w:r w:rsidRPr="00851FD7">
        <w:t xml:space="preserve">A summary of the methodology for LGA selection is available at </w:t>
      </w:r>
      <w:hyperlink r:id="rId25" w:history="1">
        <w:r w:rsidR="00BA2847">
          <w:rPr>
            <w:rStyle w:val="Hyperlink"/>
          </w:rPr>
          <w:t>recovery.gov.au</w:t>
        </w:r>
      </w:hyperlink>
      <w:r w:rsidR="00F23533" w:rsidRPr="00F23533">
        <w:t>.</w:t>
      </w:r>
    </w:p>
    <w:p w14:paraId="6210EDE6" w14:textId="09DACA85" w:rsidR="005C62C3" w:rsidRDefault="005C62C3" w:rsidP="005C62C3">
      <w:bookmarkStart w:id="105" w:name="_Toc80190375"/>
      <w:r w:rsidRPr="00851FD7">
        <w:t xml:space="preserve">The LGAs and activities are specific to Round 1 and </w:t>
      </w:r>
      <w:proofErr w:type="gramStart"/>
      <w:r w:rsidRPr="00851FD7">
        <w:t>may be amended</w:t>
      </w:r>
      <w:proofErr w:type="gramEnd"/>
      <w:r w:rsidRPr="00851FD7">
        <w:t xml:space="preserve"> for future funding rounds.</w:t>
      </w:r>
      <w:bookmarkEnd w:id="105"/>
    </w:p>
    <w:p w14:paraId="3E8370FD" w14:textId="0730DE56" w:rsidR="005C62C3" w:rsidRDefault="008E504D" w:rsidP="005C62C3">
      <w:r>
        <w:t xml:space="preserve">You may still apply if your project is located outside the priority LGAs. </w:t>
      </w:r>
    </w:p>
    <w:p w14:paraId="6DDF4E76" w14:textId="0FB14D01" w:rsidR="005231A1" w:rsidRDefault="005231A1" w:rsidP="00AE670A">
      <w:pPr>
        <w:pStyle w:val="Heading2"/>
      </w:pPr>
      <w:bookmarkStart w:id="106" w:name="_Toc83722021"/>
      <w:bookmarkStart w:id="107" w:name="_Toc84398436"/>
      <w:r w:rsidRPr="005231A1">
        <w:t>Eligibility criteria</w:t>
      </w:r>
      <w:bookmarkEnd w:id="98"/>
      <w:bookmarkEnd w:id="99"/>
      <w:bookmarkEnd w:id="100"/>
      <w:bookmarkEnd w:id="101"/>
      <w:bookmarkEnd w:id="102"/>
      <w:bookmarkEnd w:id="103"/>
      <w:bookmarkEnd w:id="104"/>
      <w:bookmarkEnd w:id="106"/>
      <w:bookmarkEnd w:id="107"/>
    </w:p>
    <w:p w14:paraId="2AD2091E" w14:textId="77777777" w:rsidR="00C84E84" w:rsidRDefault="009D33F3" w:rsidP="00C84E84">
      <w:bookmarkStart w:id="108" w:name="_Ref437348317"/>
      <w:bookmarkStart w:id="109" w:name="_Ref437348323"/>
      <w:bookmarkStart w:id="110" w:name="_Ref437349175"/>
      <w:bookmarkEnd w:id="93"/>
      <w:bookmarkEnd w:id="94"/>
      <w:bookmarkEnd w:id="95"/>
      <w:r>
        <w:t xml:space="preserve">We cannot consider your application if you do not satisfy all eligibility criteria. </w:t>
      </w:r>
    </w:p>
    <w:p w14:paraId="56B48E4D" w14:textId="77777777" w:rsidR="000C1A7A" w:rsidRDefault="000C1A7A" w:rsidP="000C1A7A">
      <w:pPr>
        <w:pStyle w:val="Heading3"/>
        <w:ind w:left="0" w:firstLine="0"/>
      </w:pPr>
      <w:bookmarkStart w:id="111" w:name="_Toc83047268"/>
      <w:bookmarkStart w:id="112" w:name="_Toc83722022"/>
      <w:bookmarkStart w:id="113" w:name="_Toc84398437"/>
      <w:bookmarkStart w:id="114" w:name="_Toc496536656"/>
      <w:bookmarkStart w:id="115" w:name="_Toc531277483"/>
      <w:bookmarkStart w:id="116" w:name="_Toc955293"/>
      <w:bookmarkEnd w:id="108"/>
      <w:bookmarkEnd w:id="109"/>
      <w:bookmarkEnd w:id="110"/>
      <w:r>
        <w:t>Who is eligible?</w:t>
      </w:r>
      <w:bookmarkEnd w:id="111"/>
      <w:bookmarkEnd w:id="112"/>
      <w:bookmarkEnd w:id="113"/>
    </w:p>
    <w:p w14:paraId="67C407F9" w14:textId="77777777" w:rsidR="00AC1650" w:rsidRDefault="00AC1650" w:rsidP="000C1A7A">
      <w:pPr>
        <w:spacing w:after="80"/>
      </w:pPr>
      <w:r w:rsidRPr="00E162FF">
        <w:t xml:space="preserve">To </w:t>
      </w:r>
      <w:r>
        <w:t>be eligible you must:</w:t>
      </w:r>
    </w:p>
    <w:p w14:paraId="6672B9CA" w14:textId="77777777" w:rsidR="00AC1650" w:rsidRDefault="00AC1650" w:rsidP="00AC1650">
      <w:pPr>
        <w:pStyle w:val="ListBullet"/>
      </w:pPr>
      <w:r>
        <w:t>have an Australian Business Number (ABN</w:t>
      </w:r>
      <w:r w:rsidRPr="005A61FE">
        <w:t>)</w:t>
      </w:r>
    </w:p>
    <w:p w14:paraId="5A4E6E85" w14:textId="77777777" w:rsidR="006751B0" w:rsidRDefault="00AC1650" w:rsidP="00D5291B">
      <w:proofErr w:type="gramStart"/>
      <w:r>
        <w:t>and</w:t>
      </w:r>
      <w:proofErr w:type="gramEnd"/>
      <w:r>
        <w:t xml:space="preserve"> be one of the following entities:</w:t>
      </w:r>
    </w:p>
    <w:p w14:paraId="0DF2D2FD" w14:textId="77777777" w:rsidR="002A67F8" w:rsidRDefault="002A67F8" w:rsidP="006751B0">
      <w:pPr>
        <w:pStyle w:val="ListBullet"/>
      </w:pPr>
      <w:r>
        <w:t>an entity incorporated in Australia</w:t>
      </w:r>
    </w:p>
    <w:p w14:paraId="3794F240" w14:textId="77777777" w:rsidR="00AC1650" w:rsidRPr="000A271A" w:rsidRDefault="00AC1650" w:rsidP="006751B0">
      <w:pPr>
        <w:pStyle w:val="ListBullet"/>
      </w:pPr>
      <w:r w:rsidRPr="000A271A">
        <w:t xml:space="preserve">a company </w:t>
      </w:r>
      <w:r>
        <w:t>limited</w:t>
      </w:r>
      <w:r w:rsidRPr="000A271A">
        <w:t xml:space="preserve"> by guarantee</w:t>
      </w:r>
    </w:p>
    <w:p w14:paraId="681E5FE2" w14:textId="77777777" w:rsidR="00CD1CDA" w:rsidRDefault="00AC1650" w:rsidP="00CD1CDA">
      <w:pPr>
        <w:pStyle w:val="ListBullet"/>
      </w:pPr>
      <w:r>
        <w:t>an incorporated association</w:t>
      </w:r>
    </w:p>
    <w:p w14:paraId="70514ABF" w14:textId="77777777" w:rsidR="00AC1650" w:rsidRDefault="00AC1650" w:rsidP="00CD1CDA">
      <w:pPr>
        <w:pStyle w:val="ListBullet"/>
      </w:pPr>
      <w:r>
        <w:t>an incorporated not for profit organisation</w:t>
      </w:r>
    </w:p>
    <w:p w14:paraId="79AD85EF" w14:textId="77777777" w:rsidR="00D5291B" w:rsidRDefault="00AC1650" w:rsidP="00F11991">
      <w:pPr>
        <w:pStyle w:val="ListBullet"/>
      </w:pPr>
      <w:r>
        <w:t>a non-distributive co-</w:t>
      </w:r>
      <w:bookmarkStart w:id="117" w:name="_Hlk49334589"/>
      <w:r w:rsidR="00D5291B">
        <w:t>operative</w:t>
      </w:r>
    </w:p>
    <w:p w14:paraId="10F8081B" w14:textId="77777777" w:rsidR="00AD4ACE" w:rsidRDefault="00AD4ACE" w:rsidP="00F11991">
      <w:pPr>
        <w:pStyle w:val="ListBullet"/>
      </w:pPr>
      <w:r w:rsidRPr="00A53B1C">
        <w:t>an</w:t>
      </w:r>
      <w:r>
        <w:t xml:space="preserve"> incorporated trustee on behalf of a trust</w:t>
      </w:r>
    </w:p>
    <w:p w14:paraId="165BA50A" w14:textId="77777777" w:rsidR="002A67F8" w:rsidRDefault="002A67F8" w:rsidP="002A67F8">
      <w:pPr>
        <w:pStyle w:val="ListBullet"/>
      </w:pPr>
      <w:r>
        <w:t>a Regional Development Australia Committee</w:t>
      </w:r>
    </w:p>
    <w:bookmarkEnd w:id="117"/>
    <w:p w14:paraId="75E47026" w14:textId="56442121" w:rsidR="00045D99" w:rsidRDefault="00AC1650">
      <w:pPr>
        <w:pStyle w:val="ListBullet"/>
      </w:pPr>
      <w:r w:rsidRPr="00AB6298">
        <w:t xml:space="preserve">an Australian local governing agency or body as defined in </w:t>
      </w:r>
      <w:r w:rsidR="00E87B79">
        <w:t>the glossary</w:t>
      </w:r>
      <w:r w:rsidR="005C62C3">
        <w:t>, including the Australian Capital Territory Government</w:t>
      </w:r>
    </w:p>
    <w:p w14:paraId="603D0339" w14:textId="77777777" w:rsidR="00AD4ACE" w:rsidRPr="000C647D" w:rsidRDefault="005616B9" w:rsidP="00A31558">
      <w:pPr>
        <w:pStyle w:val="ListBullet"/>
        <w:rPr>
          <w:rStyle w:val="Hyperlink"/>
          <w:color w:val="auto"/>
          <w:u w:val="none"/>
        </w:rPr>
      </w:pPr>
      <w:r w:rsidRPr="00C62FDD">
        <w:t xml:space="preserve">an Aboriginal and/or Torres Strait Islander Corporation registered under the </w:t>
      </w:r>
      <w:hyperlink r:id="rId26" w:history="1">
        <w:r w:rsidRPr="005616B9">
          <w:rPr>
            <w:rStyle w:val="Hyperlink"/>
            <w:i/>
          </w:rPr>
          <w:t>Corporations (Aboriginal and Torres Strait Islander) Act 2006</w:t>
        </w:r>
      </w:hyperlink>
    </w:p>
    <w:p w14:paraId="365E63E7" w14:textId="77777777" w:rsidR="00045D99" w:rsidRDefault="00AD4ACE" w:rsidP="000C647D">
      <w:pPr>
        <w:pStyle w:val="ListBullet"/>
        <w:spacing w:after="120"/>
      </w:pPr>
      <w:r>
        <w:t>a registered Aboriginal and Torres Strait Islander land council</w:t>
      </w:r>
    </w:p>
    <w:p w14:paraId="1FB19865" w14:textId="40893223" w:rsidR="00AC1650" w:rsidRPr="002F1926" w:rsidRDefault="00045D99" w:rsidP="005C62C3">
      <w:pPr>
        <w:pStyle w:val="ListBullet"/>
      </w:pPr>
      <w:r w:rsidRPr="002F1926">
        <w:t xml:space="preserve">Mount Hotham Alpine Resort Management Board (ABN: 93 938 780 598), </w:t>
      </w:r>
      <w:r w:rsidR="005C62C3" w:rsidRPr="002F1926">
        <w:t xml:space="preserve">the </w:t>
      </w:r>
      <w:r w:rsidR="005C62C3" w:rsidRPr="005C62C3">
        <w:t xml:space="preserve">Southern Alpine Resort Management Board (ABN 80 841 224 798), </w:t>
      </w:r>
      <w:r w:rsidRPr="005C62C3">
        <w:t xml:space="preserve">the </w:t>
      </w:r>
      <w:r w:rsidRPr="002F1926">
        <w:t>Falls Creek Alpine Resort Management Board (ABN: 21 789 770 569), or the Mt Buller and Mt Stirling Resort Management Board (ABN: 44 867 982 534).</w:t>
      </w:r>
    </w:p>
    <w:p w14:paraId="7B3029BD" w14:textId="44FA4718" w:rsidR="00AD4ACE" w:rsidRDefault="00AD4ACE" w:rsidP="00AD4ACE">
      <w:pPr>
        <w:pStyle w:val="ListBullet"/>
        <w:numPr>
          <w:ilvl w:val="0"/>
          <w:numId w:val="0"/>
        </w:numPr>
      </w:pPr>
      <w:r>
        <w:t xml:space="preserve">If </w:t>
      </w:r>
      <w:r w:rsidR="009B290E">
        <w:t xml:space="preserve">you are </w:t>
      </w:r>
      <w:r>
        <w:t>applying as an incorporated association or not for profit organisation</w:t>
      </w:r>
      <w:r w:rsidR="0019695C">
        <w:t xml:space="preserve">, </w:t>
      </w:r>
      <w:r>
        <w:t xml:space="preserve">you </w:t>
      </w:r>
      <w:r w:rsidR="007E6091">
        <w:t xml:space="preserve">must </w:t>
      </w:r>
      <w:r>
        <w:t xml:space="preserve">demonstrate your </w:t>
      </w:r>
      <w:r w:rsidR="007E6091">
        <w:t xml:space="preserve">entity </w:t>
      </w:r>
      <w:r>
        <w:t>status through one of the following:</w:t>
      </w:r>
    </w:p>
    <w:p w14:paraId="01BE29B5" w14:textId="513BB637" w:rsidR="00AD4ACE" w:rsidRDefault="00AD4ACE" w:rsidP="00AD4ACE">
      <w:pPr>
        <w:pStyle w:val="ListBullet"/>
        <w:spacing w:after="120"/>
      </w:pPr>
      <w:r>
        <w:t xml:space="preserve">State or </w:t>
      </w:r>
      <w:r w:rsidR="005C62C3">
        <w:t xml:space="preserve">territory </w:t>
      </w:r>
      <w:r>
        <w:t xml:space="preserve">incorporated association </w:t>
      </w:r>
      <w:r w:rsidR="0019695C">
        <w:t xml:space="preserve">status (e.g. </w:t>
      </w:r>
      <w:r>
        <w:t>registration number or certificate of incorporation</w:t>
      </w:r>
      <w:r w:rsidR="0019695C">
        <w:t>)</w:t>
      </w:r>
    </w:p>
    <w:p w14:paraId="7752A38C" w14:textId="77777777" w:rsidR="00AD4ACE" w:rsidRDefault="00AD4ACE" w:rsidP="00AD4ACE">
      <w:pPr>
        <w:pStyle w:val="ListBullet"/>
        <w:spacing w:after="120"/>
      </w:pPr>
      <w:r>
        <w:t>current Australian Charities and Not</w:t>
      </w:r>
      <w:r w:rsidR="000A6792">
        <w:noBreakHyphen/>
      </w:r>
      <w:r>
        <w:t>for</w:t>
      </w:r>
      <w:r w:rsidR="000A6792">
        <w:noBreakHyphen/>
      </w:r>
      <w:r>
        <w:t>profits Commission’s (ACNC) registration</w:t>
      </w:r>
    </w:p>
    <w:p w14:paraId="385924CD" w14:textId="77777777" w:rsidR="00AD4ACE" w:rsidRDefault="00AD4ACE" w:rsidP="00AD4ACE">
      <w:pPr>
        <w:pStyle w:val="ListBullet"/>
        <w:spacing w:after="120"/>
      </w:pPr>
      <w:r>
        <w:t xml:space="preserve">constitutional documents and/or Articles of Association that demonstrate the character of the organisation </w:t>
      </w:r>
    </w:p>
    <w:p w14:paraId="4EE5AF74" w14:textId="77777777" w:rsidR="00AD4ACE" w:rsidRDefault="00AD4ACE" w:rsidP="00AD4ACE">
      <w:pPr>
        <w:pStyle w:val="ListBullet"/>
        <w:spacing w:after="120"/>
      </w:pPr>
      <w:proofErr w:type="gramStart"/>
      <w:r>
        <w:t>legislation</w:t>
      </w:r>
      <w:proofErr w:type="gramEnd"/>
      <w:r>
        <w:t xml:space="preserve"> that demonstrates the </w:t>
      </w:r>
      <w:r w:rsidR="0019695C">
        <w:t>character</w:t>
      </w:r>
      <w:r>
        <w:t xml:space="preserve"> of the organisation.</w:t>
      </w:r>
    </w:p>
    <w:p w14:paraId="5C88CCF5" w14:textId="3337CB29" w:rsidR="00AC1650" w:rsidRDefault="00AC1650" w:rsidP="00AC1650">
      <w:pPr>
        <w:pStyle w:val="ListBullet"/>
        <w:numPr>
          <w:ilvl w:val="0"/>
          <w:numId w:val="0"/>
        </w:numPr>
      </w:pPr>
      <w:r>
        <w:t>Joint applications are acceptable, provided you have a lead organisation who is the main driver of the project and is eligible to apply.</w:t>
      </w:r>
      <w:r w:rsidR="00677562">
        <w:t xml:space="preserve"> You are encouraged to </w:t>
      </w:r>
      <w:r w:rsidR="00F60044">
        <w:t xml:space="preserve">collaborate with </w:t>
      </w:r>
      <w:r w:rsidR="00626A10">
        <w:t xml:space="preserve">other organisations in </w:t>
      </w:r>
      <w:r w:rsidR="00E93B11">
        <w:t xml:space="preserve">your </w:t>
      </w:r>
      <w:r w:rsidR="00E363A0">
        <w:t>LGA</w:t>
      </w:r>
      <w:r w:rsidR="00F60044">
        <w:t xml:space="preserve"> or other LGA</w:t>
      </w:r>
      <w:r w:rsidR="00626A10">
        <w:t>/</w:t>
      </w:r>
      <w:r w:rsidR="00F60044">
        <w:t>s</w:t>
      </w:r>
      <w:r w:rsidR="00626A10">
        <w:t xml:space="preserve"> to deliver your project</w:t>
      </w:r>
      <w:r w:rsidR="00F60044">
        <w:t>.</w:t>
      </w:r>
      <w:r>
        <w:t xml:space="preserve"> For further information on joint applications, refer to S</w:t>
      </w:r>
      <w:r w:rsidRPr="00E91ED5">
        <w:t>ection</w:t>
      </w:r>
      <w:r w:rsidR="005616B9">
        <w:t xml:space="preserve"> </w:t>
      </w:r>
      <w:r w:rsidR="00660FB2">
        <w:t>8.3</w:t>
      </w:r>
      <w:r>
        <w:t>.</w:t>
      </w:r>
    </w:p>
    <w:p w14:paraId="072BA85A" w14:textId="77777777" w:rsidR="000C1A7A" w:rsidRDefault="000C1A7A" w:rsidP="000C1A7A">
      <w:pPr>
        <w:pStyle w:val="Heading3"/>
        <w:ind w:left="0" w:firstLine="0"/>
      </w:pPr>
      <w:bookmarkStart w:id="118" w:name="_Toc83047269"/>
      <w:bookmarkStart w:id="119" w:name="_Toc83722023"/>
      <w:bookmarkStart w:id="120" w:name="_Toc84398438"/>
      <w:bookmarkEnd w:id="114"/>
      <w:bookmarkEnd w:id="115"/>
      <w:bookmarkEnd w:id="116"/>
      <w:r>
        <w:t>Additional eligibility requirements</w:t>
      </w:r>
      <w:bookmarkEnd w:id="118"/>
      <w:bookmarkEnd w:id="119"/>
      <w:bookmarkEnd w:id="120"/>
    </w:p>
    <w:p w14:paraId="30E633E7" w14:textId="77777777" w:rsidR="00F608BE" w:rsidRPr="001C76C1" w:rsidRDefault="00F608BE" w:rsidP="00760D2E">
      <w:pPr>
        <w:keepNext/>
        <w:spacing w:after="80"/>
      </w:pPr>
      <w:r w:rsidRPr="001C76C1">
        <w:t>We can only accept applications</w:t>
      </w:r>
      <w:r w:rsidR="00E87B79">
        <w:t xml:space="preserve"> where</w:t>
      </w:r>
      <w:r w:rsidR="00B6306B" w:rsidRPr="001C76C1">
        <w:t>:</w:t>
      </w:r>
    </w:p>
    <w:p w14:paraId="02F32704" w14:textId="77777777" w:rsidR="005C62C3" w:rsidRDefault="005C62C3" w:rsidP="005C62C3">
      <w:pPr>
        <w:pStyle w:val="ListBullet"/>
        <w:rPr>
          <w:rFonts w:cs="Arial"/>
        </w:rPr>
      </w:pPr>
      <w:r>
        <w:rPr>
          <w:rFonts w:cs="Arial"/>
        </w:rPr>
        <w:t>you agree that you will deliver your project in accordance with relevant legislation, policies and industry standards</w:t>
      </w:r>
    </w:p>
    <w:p w14:paraId="452C7814" w14:textId="77777777" w:rsidR="005C62C3" w:rsidRPr="00BE2BD9" w:rsidRDefault="005C62C3" w:rsidP="005C62C3">
      <w:pPr>
        <w:pStyle w:val="ListBullet"/>
      </w:pPr>
      <w:r>
        <w:t xml:space="preserve">any required approvals are planned for or already in place in order to commence your project </w:t>
      </w:r>
      <w:r w:rsidRPr="00D5014B">
        <w:t xml:space="preserve">around </w:t>
      </w:r>
      <w:r>
        <w:t xml:space="preserve">May </w:t>
      </w:r>
      <w:r w:rsidRPr="00D5014B">
        <w:t>2022</w:t>
      </w:r>
    </w:p>
    <w:p w14:paraId="46D4D8E7" w14:textId="0C47CCE1" w:rsidR="001C037D" w:rsidRPr="005248F7" w:rsidRDefault="00CA4C1B" w:rsidP="005248F7">
      <w:pPr>
        <w:pStyle w:val="ListBullet"/>
        <w:rPr>
          <w:rFonts w:cs="Arial"/>
        </w:rPr>
      </w:pPr>
      <w:r>
        <w:rPr>
          <w:rFonts w:cs="Arial"/>
        </w:rPr>
        <w:t>you are</w:t>
      </w:r>
      <w:r w:rsidR="001C037D">
        <w:rPr>
          <w:rFonts w:cs="Arial"/>
        </w:rPr>
        <w:t xml:space="preserve"> able to meet your share of project costs</w:t>
      </w:r>
      <w:r w:rsidR="0040156C">
        <w:rPr>
          <w:rFonts w:cs="Arial"/>
        </w:rPr>
        <w:t xml:space="preserve"> and provide evidence of your cash</w:t>
      </w:r>
      <w:r w:rsidR="005248F7">
        <w:rPr>
          <w:rFonts w:cs="Arial"/>
        </w:rPr>
        <w:t xml:space="preserve"> or in-</w:t>
      </w:r>
      <w:r w:rsidR="00B77F1C" w:rsidRPr="005248F7">
        <w:rPr>
          <w:rFonts w:cs="Arial"/>
        </w:rPr>
        <w:t>kind</w:t>
      </w:r>
      <w:r w:rsidR="0040156C" w:rsidRPr="005248F7">
        <w:rPr>
          <w:rFonts w:cs="Arial"/>
        </w:rPr>
        <w:t xml:space="preserve"> contribution</w:t>
      </w:r>
      <w:r w:rsidR="00FA4EDE" w:rsidRPr="005248F7">
        <w:rPr>
          <w:rFonts w:cs="Arial"/>
        </w:rPr>
        <w:t>s</w:t>
      </w:r>
      <w:r w:rsidR="001C037D" w:rsidRPr="005248F7">
        <w:rPr>
          <w:rFonts w:cs="Arial"/>
        </w:rPr>
        <w:t xml:space="preserve"> </w:t>
      </w:r>
      <w:r w:rsidR="00030809" w:rsidRPr="005248F7">
        <w:rPr>
          <w:rFonts w:cs="Arial"/>
        </w:rPr>
        <w:t xml:space="preserve">as outlined in section </w:t>
      </w:r>
      <w:r w:rsidR="006D7384" w:rsidRPr="005248F7">
        <w:rPr>
          <w:rFonts w:cs="Arial"/>
        </w:rPr>
        <w:t>3</w:t>
      </w:r>
    </w:p>
    <w:p w14:paraId="3C41B86A" w14:textId="50633A7C" w:rsidR="005C62C3" w:rsidRPr="005C62C3" w:rsidRDefault="005C62C3" w:rsidP="005C62C3">
      <w:pPr>
        <w:pStyle w:val="ListBullet"/>
      </w:pPr>
      <w:proofErr w:type="gramStart"/>
      <w:r w:rsidRPr="00CA4C1B">
        <w:t>you</w:t>
      </w:r>
      <w:proofErr w:type="gramEnd"/>
      <w:r w:rsidRPr="00CA4C1B">
        <w:t xml:space="preserve"> provide all mandatory attachments as outlined in section 8.</w:t>
      </w:r>
      <w:r>
        <w:t>2.</w:t>
      </w:r>
    </w:p>
    <w:p w14:paraId="0C681529" w14:textId="77777777" w:rsidR="00D5014B" w:rsidRDefault="00172328" w:rsidP="00747E74">
      <w:pPr>
        <w:pStyle w:val="ListBullet"/>
        <w:numPr>
          <w:ilvl w:val="0"/>
          <w:numId w:val="0"/>
        </w:numPr>
      </w:pPr>
      <w:r>
        <w:t>We cannot waive the eligibility cr</w:t>
      </w:r>
      <w:r w:rsidR="004D19FC">
        <w:t>iteria under any circumstances</w:t>
      </w:r>
      <w:bookmarkStart w:id="121" w:name="_Toc80180239"/>
      <w:bookmarkStart w:id="122" w:name="_Toc80185487"/>
      <w:bookmarkStart w:id="123" w:name="_Toc80190302"/>
      <w:bookmarkStart w:id="124" w:name="_Toc80190379"/>
      <w:r w:rsidR="00D5014B">
        <w:t>.</w:t>
      </w:r>
    </w:p>
    <w:p w14:paraId="3E77E6AD" w14:textId="77777777" w:rsidR="00FF3517" w:rsidRDefault="00FF3517" w:rsidP="00FF3517">
      <w:pPr>
        <w:pStyle w:val="Heading3"/>
        <w:ind w:left="0" w:firstLine="0"/>
      </w:pPr>
      <w:bookmarkStart w:id="125" w:name="_Toc83047271"/>
      <w:bookmarkStart w:id="126" w:name="_Toc83722024"/>
      <w:bookmarkStart w:id="127" w:name="_Toc84398439"/>
      <w:bookmarkEnd w:id="121"/>
      <w:bookmarkEnd w:id="122"/>
      <w:bookmarkEnd w:id="123"/>
      <w:bookmarkEnd w:id="124"/>
      <w:r>
        <w:t>Who is not eligible?</w:t>
      </w:r>
      <w:bookmarkEnd w:id="125"/>
      <w:bookmarkEnd w:id="126"/>
      <w:bookmarkEnd w:id="127"/>
    </w:p>
    <w:p w14:paraId="18D95CB5" w14:textId="77777777" w:rsidR="00C32C6B" w:rsidRPr="00E162FF" w:rsidRDefault="00FF3517" w:rsidP="00FF3517">
      <w:pPr>
        <w:keepNext/>
        <w:spacing w:after="80"/>
      </w:pPr>
      <w:r>
        <w:t xml:space="preserve"> </w:t>
      </w:r>
      <w:r w:rsidR="00C32C6B">
        <w:t xml:space="preserve">You are </w:t>
      </w:r>
      <w:r w:rsidR="00C32C6B" w:rsidRPr="00A71134">
        <w:t>not</w:t>
      </w:r>
      <w:r w:rsidR="00C32C6B">
        <w:t xml:space="preserve"> eligible to apply if you are</w:t>
      </w:r>
      <w:r w:rsidR="00B6306B">
        <w:t>:</w:t>
      </w:r>
    </w:p>
    <w:p w14:paraId="65C647C5" w14:textId="455A4A4C" w:rsidR="00007480" w:rsidRDefault="00007480" w:rsidP="00007480">
      <w:pPr>
        <w:pStyle w:val="ListBullet"/>
      </w:pPr>
      <w:bookmarkStart w:id="128" w:name="_Toc531277486"/>
      <w:bookmarkStart w:id="129" w:name="_Toc489952676"/>
      <w:bookmarkStart w:id="130" w:name="_Toc496536659"/>
      <w:bookmarkStart w:id="131" w:name="_Toc955296"/>
      <w:r w:rsidRPr="005A61FE">
        <w:t>an</w:t>
      </w:r>
      <w:r>
        <w:t xml:space="preserve"> entity not </w:t>
      </w:r>
      <w:r w:rsidR="005B6824">
        <w:t xml:space="preserve">listed </w:t>
      </w:r>
      <w:r>
        <w:t>in S</w:t>
      </w:r>
      <w:r w:rsidRPr="005A61FE">
        <w:t xml:space="preserve">ection </w:t>
      </w:r>
      <w:r w:rsidR="001E00F6">
        <w:t>5</w:t>
      </w:r>
      <w:r>
        <w:t>.1</w:t>
      </w:r>
    </w:p>
    <w:p w14:paraId="09C77E91" w14:textId="2ED01B53" w:rsidR="005C62C3" w:rsidRDefault="00BA67C9" w:rsidP="00653103">
      <w:pPr>
        <w:pStyle w:val="ListBullet"/>
        <w:numPr>
          <w:ilvl w:val="0"/>
          <w:numId w:val="7"/>
        </w:numPr>
      </w:pPr>
      <w:r w:rsidRPr="00851FD7">
        <w:t>an Australian state or territory government agency or body</w:t>
      </w:r>
      <w:r w:rsidR="005C62C3">
        <w:t>, excluding the Australian Capital Territory</w:t>
      </w:r>
    </w:p>
    <w:p w14:paraId="02BC3D5E" w14:textId="454F3A25" w:rsidR="00007480" w:rsidRDefault="00007480" w:rsidP="00007480">
      <w:pPr>
        <w:pStyle w:val="ListBullet"/>
      </w:pPr>
      <w:r w:rsidRPr="007F749D">
        <w:t>an individual</w:t>
      </w:r>
    </w:p>
    <w:p w14:paraId="0A8AE8BD" w14:textId="77777777" w:rsidR="00007480" w:rsidRDefault="00007480" w:rsidP="00007480">
      <w:pPr>
        <w:pStyle w:val="ListBullet"/>
      </w:pPr>
      <w:r>
        <w:t>a partnership</w:t>
      </w:r>
    </w:p>
    <w:p w14:paraId="0E0F46E0" w14:textId="77777777" w:rsidR="00E3063A" w:rsidRDefault="00E3063A" w:rsidP="00007480">
      <w:pPr>
        <w:pStyle w:val="ListBullet"/>
      </w:pPr>
      <w:r>
        <w:t>an unincorporated association</w:t>
      </w:r>
    </w:p>
    <w:p w14:paraId="7B1EA9EC" w14:textId="77777777" w:rsidR="000A6792" w:rsidRDefault="000A6792" w:rsidP="00007480">
      <w:pPr>
        <w:pStyle w:val="ListBullet"/>
      </w:pPr>
      <w:r>
        <w:t>a publicly funded research organisation</w:t>
      </w:r>
    </w:p>
    <w:p w14:paraId="6269BA48" w14:textId="77777777" w:rsidR="00007480" w:rsidRDefault="00007480" w:rsidP="00007480">
      <w:pPr>
        <w:pStyle w:val="ListBullet"/>
      </w:pPr>
      <w:r>
        <w:t>a trust (</w:t>
      </w:r>
      <w:r w:rsidRPr="007F749D">
        <w:t xml:space="preserve">however, </w:t>
      </w:r>
      <w:r>
        <w:t>an incorporated</w:t>
      </w:r>
      <w:r w:rsidRPr="007F749D">
        <w:t xml:space="preserve"> trustee </w:t>
      </w:r>
      <w:r>
        <w:t>may apply on behalf of a trust)</w:t>
      </w:r>
    </w:p>
    <w:p w14:paraId="0D1C41D6" w14:textId="77777777" w:rsidR="005616B9" w:rsidRDefault="005616B9" w:rsidP="00007480">
      <w:pPr>
        <w:pStyle w:val="ListBullet"/>
      </w:pPr>
      <w:r>
        <w:t xml:space="preserve">a </w:t>
      </w:r>
      <w:r w:rsidRPr="00F04262">
        <w:t>Commonwealth</w:t>
      </w:r>
      <w:r>
        <w:t xml:space="preserve"> </w:t>
      </w:r>
      <w:r w:rsidRPr="00F04262">
        <w:t xml:space="preserve">government agency or body </w:t>
      </w:r>
      <w:r w:rsidR="00626A10">
        <w:t>(however, a Regional Development Australia Committee may apply)</w:t>
      </w:r>
    </w:p>
    <w:p w14:paraId="101674E1" w14:textId="77777777" w:rsidR="00007480" w:rsidRPr="002F4142" w:rsidRDefault="00007480" w:rsidP="00007480">
      <w:pPr>
        <w:pStyle w:val="ListBullet"/>
      </w:pPr>
      <w:r w:rsidRPr="002F4142">
        <w:t>an organisation, or your project partner is an organisation, included on the National Redress Scheme’s website on the list of ‘Institutions that have not joined or signified their intent to join the Scheme’ (</w:t>
      </w:r>
      <w:hyperlink r:id="rId27" w:history="1">
        <w:r w:rsidRPr="002F4142">
          <w:rPr>
            <w:rStyle w:val="Hyperlink"/>
          </w:rPr>
          <w:t>www.nationalredress.gov.au</w:t>
        </w:r>
      </w:hyperlink>
      <w:r w:rsidRPr="002F4142">
        <w:t>)</w:t>
      </w:r>
    </w:p>
    <w:p w14:paraId="488E8FD0" w14:textId="48EDAACC" w:rsidR="00007480" w:rsidRDefault="00007480" w:rsidP="00007480">
      <w:pPr>
        <w:pStyle w:val="ListBullet"/>
        <w:rPr>
          <w:rFonts w:ascii="Calibri" w:hAnsi="Calibri"/>
          <w:szCs w:val="22"/>
        </w:rPr>
      </w:pPr>
      <w:proofErr w:type="gramStart"/>
      <w:r>
        <w:t>an</w:t>
      </w:r>
      <w:proofErr w:type="gramEnd"/>
      <w:r>
        <w:t xml:space="preserve"> organisation that has been named by the Workplace Gender Equality Agency as an organisation that has </w:t>
      </w:r>
      <w:hyperlink r:id="rId28" w:history="1">
        <w:r w:rsidRPr="00F657D4">
          <w:rPr>
            <w:rStyle w:val="Hyperlink"/>
          </w:rPr>
          <w:t>not complied</w:t>
        </w:r>
      </w:hyperlink>
      <w:r>
        <w:t xml:space="preserve"> with </w:t>
      </w:r>
      <w:hyperlink r:id="rId29" w:history="1">
        <w:r w:rsidRPr="00F712C4">
          <w:rPr>
            <w:rStyle w:val="Hyperlink"/>
            <w:i/>
          </w:rPr>
          <w:t>Workplace Gender Equality Act 2012</w:t>
        </w:r>
      </w:hyperlink>
      <w:r>
        <w:t>.</w:t>
      </w:r>
    </w:p>
    <w:p w14:paraId="2030019F" w14:textId="77777777" w:rsidR="00E27755" w:rsidRDefault="00F52948" w:rsidP="00B400E6">
      <w:pPr>
        <w:pStyle w:val="Heading2"/>
      </w:pPr>
      <w:bookmarkStart w:id="132" w:name="_Toc80180240"/>
      <w:bookmarkStart w:id="133" w:name="_Toc80185488"/>
      <w:bookmarkStart w:id="134" w:name="_Toc80190303"/>
      <w:bookmarkStart w:id="135" w:name="_Toc80190380"/>
      <w:bookmarkStart w:id="136" w:name="_Toc80870633"/>
      <w:bookmarkStart w:id="137" w:name="_Toc81229216"/>
      <w:bookmarkStart w:id="138" w:name="_Toc83047272"/>
      <w:bookmarkStart w:id="139" w:name="_Toc83722025"/>
      <w:bookmarkStart w:id="140" w:name="_Toc84398440"/>
      <w:r w:rsidRPr="005A61FE">
        <w:t xml:space="preserve">What </w:t>
      </w:r>
      <w:r w:rsidR="00082460">
        <w:t xml:space="preserve">the </w:t>
      </w:r>
      <w:r w:rsidR="00E27755">
        <w:t xml:space="preserve">grant </w:t>
      </w:r>
      <w:r w:rsidR="00082460">
        <w:t xml:space="preserve">money can be used </w:t>
      </w:r>
      <w:r w:rsidRPr="005A61FE">
        <w:t>for</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6CBAE92E" w14:textId="77777777" w:rsidR="000C1A7A" w:rsidRDefault="000C1A7A" w:rsidP="000C1A7A">
      <w:pPr>
        <w:pStyle w:val="Heading3"/>
        <w:ind w:left="0" w:firstLine="0"/>
      </w:pPr>
      <w:bookmarkStart w:id="141" w:name="_Toc530072978"/>
      <w:bookmarkStart w:id="142" w:name="_Toc530072979"/>
      <w:bookmarkStart w:id="143" w:name="_Toc530072980"/>
      <w:bookmarkStart w:id="144" w:name="_Toc530072981"/>
      <w:bookmarkStart w:id="145" w:name="_Toc530072982"/>
      <w:bookmarkStart w:id="146" w:name="_Toc530072983"/>
      <w:bookmarkStart w:id="147" w:name="_Toc530072984"/>
      <w:bookmarkStart w:id="148" w:name="_Toc530072985"/>
      <w:bookmarkStart w:id="149" w:name="_Toc530072986"/>
      <w:bookmarkStart w:id="150" w:name="_Toc530072987"/>
      <w:bookmarkStart w:id="151" w:name="_Toc530072988"/>
      <w:bookmarkStart w:id="152" w:name="_Toc83047273"/>
      <w:bookmarkStart w:id="153" w:name="_Toc83722026"/>
      <w:bookmarkStart w:id="154" w:name="_Toc84398441"/>
      <w:bookmarkStart w:id="155" w:name="_Toc383003258"/>
      <w:bookmarkStart w:id="156" w:name="_Toc164844265"/>
      <w:bookmarkEnd w:id="141"/>
      <w:bookmarkEnd w:id="142"/>
      <w:bookmarkEnd w:id="143"/>
      <w:bookmarkEnd w:id="144"/>
      <w:bookmarkEnd w:id="145"/>
      <w:bookmarkEnd w:id="146"/>
      <w:bookmarkEnd w:id="147"/>
      <w:bookmarkEnd w:id="148"/>
      <w:bookmarkEnd w:id="149"/>
      <w:bookmarkEnd w:id="150"/>
      <w:bookmarkEnd w:id="151"/>
      <w:r>
        <w:t>Eligible activities</w:t>
      </w:r>
      <w:bookmarkEnd w:id="152"/>
      <w:bookmarkEnd w:id="153"/>
      <w:bookmarkEnd w:id="154"/>
    </w:p>
    <w:p w14:paraId="5990814C" w14:textId="77777777" w:rsidR="00492E66" w:rsidRDefault="00F52948" w:rsidP="000C1A7A">
      <w:pPr>
        <w:spacing w:after="80"/>
      </w:pPr>
      <w:r w:rsidRPr="005A61FE">
        <w:t>To</w:t>
      </w:r>
      <w:r w:rsidR="00ED6272">
        <w:t xml:space="preserve"> be eligible your project must:</w:t>
      </w:r>
    </w:p>
    <w:p w14:paraId="17BD168E" w14:textId="6220D7B5" w:rsidR="00F52948" w:rsidRDefault="00F52948" w:rsidP="00ED6272">
      <w:pPr>
        <w:pStyle w:val="ListBullet"/>
      </w:pPr>
      <w:r w:rsidRPr="005A61FE">
        <w:t xml:space="preserve">be aimed at </w:t>
      </w:r>
      <w:r w:rsidR="00CB1783">
        <w:t>r</w:t>
      </w:r>
      <w:r w:rsidR="00EA5878">
        <w:t>educing the risk to</w:t>
      </w:r>
      <w:r w:rsidR="00CB1783">
        <w:t xml:space="preserve"> and/or </w:t>
      </w:r>
      <w:r w:rsidR="00ED6272">
        <w:t xml:space="preserve">improving the resilience of your community against </w:t>
      </w:r>
      <w:r w:rsidR="00F2471A" w:rsidRPr="00F2471A">
        <w:rPr>
          <w:rFonts w:cs="Arial"/>
          <w:szCs w:val="20"/>
        </w:rPr>
        <w:t xml:space="preserve"> </w:t>
      </w:r>
      <w:r w:rsidR="00F2471A">
        <w:rPr>
          <w:rFonts w:cs="Arial"/>
          <w:szCs w:val="20"/>
        </w:rPr>
        <w:t>bushfires, flood and/or tropical cyclone</w:t>
      </w:r>
      <w:r w:rsidR="0073062B">
        <w:rPr>
          <w:rFonts w:cs="Arial"/>
          <w:szCs w:val="20"/>
        </w:rPr>
        <w:t>s</w:t>
      </w:r>
      <w:r w:rsidR="0098307B">
        <w:rPr>
          <w:rFonts w:cs="Arial"/>
          <w:szCs w:val="20"/>
        </w:rPr>
        <w:t xml:space="preserve"> (including cyclone related flooding)</w:t>
      </w:r>
    </w:p>
    <w:p w14:paraId="152978FB" w14:textId="1078C2DB" w:rsidR="005B6824" w:rsidRDefault="00F52948" w:rsidP="00653895">
      <w:pPr>
        <w:pStyle w:val="ListBullet"/>
        <w:spacing w:after="120"/>
      </w:pPr>
      <w:r w:rsidRPr="005A61FE">
        <w:t xml:space="preserve">have at least </w:t>
      </w:r>
      <w:r w:rsidR="00ED6272">
        <w:t>$</w:t>
      </w:r>
      <w:r w:rsidR="0053597D">
        <w:t>20</w:t>
      </w:r>
      <w:r w:rsidR="00C42DE6">
        <w:t>,000</w:t>
      </w:r>
      <w:r w:rsidR="00155C69">
        <w:t xml:space="preserve"> </w:t>
      </w:r>
      <w:r w:rsidRPr="005A61FE">
        <w:t>in eligible expenditure</w:t>
      </w:r>
      <w:r w:rsidR="00363093">
        <w:t xml:space="preserve"> </w:t>
      </w:r>
      <w:r w:rsidR="00ED6272">
        <w:t xml:space="preserve"> </w:t>
      </w:r>
    </w:p>
    <w:p w14:paraId="0ED14D4E" w14:textId="79BC2609" w:rsidR="00C52A3B" w:rsidRDefault="00C52A3B" w:rsidP="00FC442D">
      <w:pPr>
        <w:pStyle w:val="ListBullet"/>
        <w:spacing w:after="120"/>
      </w:pPr>
      <w:bookmarkStart w:id="157" w:name="_Toc531277488"/>
      <w:bookmarkStart w:id="158" w:name="_Toc955298"/>
      <w:r>
        <w:t xml:space="preserve">increase the community’s ability to </w:t>
      </w:r>
      <w:r w:rsidR="001C2D93">
        <w:t xml:space="preserve">mitigate, avoid, </w:t>
      </w:r>
      <w:r>
        <w:t>withstand and</w:t>
      </w:r>
      <w:r w:rsidR="00EA5878">
        <w:t>/or</w:t>
      </w:r>
      <w:r>
        <w:t xml:space="preserve"> recover from the</w:t>
      </w:r>
      <w:r w:rsidR="005C62C3">
        <w:t xml:space="preserve"> increasing</w:t>
      </w:r>
      <w:r>
        <w:t xml:space="preserve"> effects of tropical cyclone, bushfire or flood</w:t>
      </w:r>
      <w:r w:rsidR="005C62C3">
        <w:t xml:space="preserve"> as a result of climate change</w:t>
      </w:r>
      <w:r>
        <w:t xml:space="preserve">, in a timely and efficient manner, through </w:t>
      </w:r>
      <w:r w:rsidR="00EA5878">
        <w:t xml:space="preserve">activities targeting or delivering resilience in </w:t>
      </w:r>
      <w:r>
        <w:t>one or more of the following</w:t>
      </w:r>
      <w:r w:rsidR="00EA5878">
        <w:t xml:space="preserve"> domains</w:t>
      </w:r>
      <w:r>
        <w:t xml:space="preserve">: </w:t>
      </w:r>
    </w:p>
    <w:p w14:paraId="0E8F6C66" w14:textId="429EAEA8" w:rsidR="00C52A3B" w:rsidRDefault="00C52A3B">
      <w:pPr>
        <w:pStyle w:val="ListBullet"/>
        <w:numPr>
          <w:ilvl w:val="1"/>
          <w:numId w:val="10"/>
        </w:numPr>
      </w:pPr>
      <w:proofErr w:type="gramStart"/>
      <w:r>
        <w:t>social</w:t>
      </w:r>
      <w:proofErr w:type="gramEnd"/>
      <w:r>
        <w:t xml:space="preserve"> environment</w:t>
      </w:r>
      <w:r w:rsidR="00386C8F">
        <w:t xml:space="preserve"> -</w:t>
      </w:r>
      <w:r>
        <w:t xml:space="preserve"> </w:t>
      </w:r>
      <w:r w:rsidR="001225AD">
        <w:t xml:space="preserve">increasing the community’s social resilience to relevant natural hazards. This </w:t>
      </w:r>
      <w:r w:rsidR="00030809">
        <w:t>may</w:t>
      </w:r>
      <w:r w:rsidR="001225AD">
        <w:t xml:space="preserve"> </w:t>
      </w:r>
      <w:r w:rsidR="00030809">
        <w:t>include</w:t>
      </w:r>
      <w:r w:rsidR="001225AD" w:rsidDel="00030809">
        <w:t xml:space="preserve"> </w:t>
      </w:r>
      <w:r w:rsidR="001225AD">
        <w:t>projects that strengthen</w:t>
      </w:r>
      <w:r>
        <w:t xml:space="preserve"> social networks </w:t>
      </w:r>
      <w:r w:rsidR="001225AD">
        <w:t xml:space="preserve">or essential services that enable the community to continue functioning in the event of a disaster, or support </w:t>
      </w:r>
      <w:r>
        <w:t>health</w:t>
      </w:r>
      <w:r w:rsidR="001225AD">
        <w:t>, wellbeing and social recovery following an event</w:t>
      </w:r>
      <w:r>
        <w:t xml:space="preserve"> </w:t>
      </w:r>
    </w:p>
    <w:p w14:paraId="2F3E4E56" w14:textId="56ABD68A" w:rsidR="00C52A3B" w:rsidRDefault="00C52A3B">
      <w:pPr>
        <w:pStyle w:val="ListBullet"/>
        <w:numPr>
          <w:ilvl w:val="1"/>
          <w:numId w:val="10"/>
        </w:numPr>
      </w:pPr>
      <w:proofErr w:type="gramStart"/>
      <w:r>
        <w:t>economic</w:t>
      </w:r>
      <w:proofErr w:type="gramEnd"/>
      <w:r>
        <w:t xml:space="preserve"> environment</w:t>
      </w:r>
      <w:r w:rsidR="00386C8F">
        <w:t xml:space="preserve"> -</w:t>
      </w:r>
      <w:r>
        <w:t xml:space="preserve"> </w:t>
      </w:r>
      <w:r w:rsidR="001225AD">
        <w:t xml:space="preserve">improving the ability of the local economy to withstand and recover from relevant natural hazards. This </w:t>
      </w:r>
      <w:r w:rsidR="00030809">
        <w:t>may</w:t>
      </w:r>
      <w:r w:rsidR="001225AD">
        <w:t xml:space="preserve"> </w:t>
      </w:r>
      <w:r w:rsidR="00030809">
        <w:t>include</w:t>
      </w:r>
      <w:r w:rsidR="001225AD" w:rsidDel="00030809">
        <w:t xml:space="preserve"> </w:t>
      </w:r>
      <w:r w:rsidR="001225AD">
        <w:t xml:space="preserve">projects that enable businesses to continue operating in the event </w:t>
      </w:r>
      <w:r w:rsidR="008D52EB">
        <w:t>of a disaster or reduce their vulnerability to the economic shocks associated with particular kinds of hazards</w:t>
      </w:r>
      <w:r>
        <w:t xml:space="preserve"> </w:t>
      </w:r>
    </w:p>
    <w:p w14:paraId="04500573" w14:textId="02D1500A" w:rsidR="00C52A3B" w:rsidRDefault="00C52A3B">
      <w:pPr>
        <w:pStyle w:val="ListBullet"/>
        <w:numPr>
          <w:ilvl w:val="1"/>
          <w:numId w:val="10"/>
        </w:numPr>
      </w:pPr>
      <w:r>
        <w:t>natural environment</w:t>
      </w:r>
      <w:r w:rsidR="00386C8F">
        <w:t xml:space="preserve"> - </w:t>
      </w:r>
      <w:r w:rsidR="008D52EB">
        <w:t xml:space="preserve">increasing the disaster resilience </w:t>
      </w:r>
      <w:r w:rsidR="00426D73">
        <w:t xml:space="preserve">of </w:t>
      </w:r>
      <w:r w:rsidR="008A44FF">
        <w:t>and/or</w:t>
      </w:r>
      <w:r w:rsidR="00426D73">
        <w:t xml:space="preserve"> </w:t>
      </w:r>
      <w:r w:rsidR="008D52EB">
        <w:t>reducing the disaster risk to</w:t>
      </w:r>
      <w:r>
        <w:t xml:space="preserve"> natural assets such as wetlands, rivers, land, forests, oceans, other complex natural ecosystems, agriculture, and water sources</w:t>
      </w:r>
    </w:p>
    <w:p w14:paraId="419F8D82" w14:textId="22FA0F79" w:rsidR="005C62C3" w:rsidRDefault="00C52A3B">
      <w:pPr>
        <w:pStyle w:val="ListBullet"/>
        <w:numPr>
          <w:ilvl w:val="1"/>
          <w:numId w:val="10"/>
        </w:numPr>
      </w:pPr>
      <w:proofErr w:type="gramStart"/>
      <w:r>
        <w:t>built</w:t>
      </w:r>
      <w:proofErr w:type="gramEnd"/>
      <w:r>
        <w:t xml:space="preserve"> environment</w:t>
      </w:r>
      <w:r w:rsidR="00386C8F">
        <w:t xml:space="preserve"> -</w:t>
      </w:r>
      <w:r>
        <w:t xml:space="preserve"> </w:t>
      </w:r>
      <w:r w:rsidR="008D52EB">
        <w:t>increasing the disaster resilience</w:t>
      </w:r>
      <w:r w:rsidR="005C62C3">
        <w:t xml:space="preserve"> of</w:t>
      </w:r>
      <w:r w:rsidR="008D52EB">
        <w:t xml:space="preserve"> </w:t>
      </w:r>
      <w:r w:rsidR="00426D73">
        <w:t xml:space="preserve">and/or </w:t>
      </w:r>
      <w:r w:rsidR="008D52EB">
        <w:t xml:space="preserve">reducing the disaster risk to </w:t>
      </w:r>
      <w:r>
        <w:t>infrastructure assets such as transport, energy and telecommunications, utilities, housing, cultural and commercial precincts, and other assets</w:t>
      </w:r>
      <w:r w:rsidR="00045634">
        <w:t xml:space="preserve">. </w:t>
      </w:r>
      <w:r w:rsidR="00844EDF">
        <w:t>This might involve, for example, projects designed to reduce the risk of local infrastructure sustaining damage in the event of a relevant hazard event, or enable it to continue functioning (or quickly resume functioning) following an event</w:t>
      </w:r>
      <w:r w:rsidR="00296A95">
        <w:t>.</w:t>
      </w:r>
    </w:p>
    <w:p w14:paraId="20E72892" w14:textId="33E8821B" w:rsidR="00C11984" w:rsidRDefault="005C62C3" w:rsidP="002F1926">
      <w:r>
        <w:t>W</w:t>
      </w:r>
      <w:r w:rsidR="00C11984" w:rsidRPr="00141960">
        <w:t xml:space="preserve">here </w:t>
      </w:r>
      <w:r w:rsidR="00752BE1">
        <w:t>you do not own or manage</w:t>
      </w:r>
      <w:r w:rsidR="00C11984" w:rsidRPr="00141960">
        <w:t xml:space="preserve"> the proposed project site/s</w:t>
      </w:r>
      <w:r w:rsidR="00C11984">
        <w:t xml:space="preserve">, </w:t>
      </w:r>
      <w:r w:rsidR="00296A95">
        <w:t xml:space="preserve">you must provide </w:t>
      </w:r>
      <w:r w:rsidR="00C11984" w:rsidRPr="00141960">
        <w:t xml:space="preserve">written consent from the </w:t>
      </w:r>
      <w:r w:rsidR="00C11984">
        <w:t>site</w:t>
      </w:r>
      <w:r w:rsidR="00C11984" w:rsidRPr="00141960">
        <w:t xml:space="preserve"> owner and/or </w:t>
      </w:r>
      <w:r w:rsidR="00C11984">
        <w:t>site</w:t>
      </w:r>
      <w:r w:rsidR="00C11984" w:rsidRPr="00141960">
        <w:t xml:space="preserve"> manager allow</w:t>
      </w:r>
      <w:r w:rsidR="00296A95">
        <w:t>ing</w:t>
      </w:r>
      <w:r w:rsidR="00C11984" w:rsidRPr="00141960">
        <w:t xml:space="preserve"> the propos</w:t>
      </w:r>
      <w:r w:rsidR="00C11984">
        <w:t xml:space="preserve">ed project on each project site for the duration of </w:t>
      </w:r>
      <w:r w:rsidR="00752BE1">
        <w:t xml:space="preserve">the </w:t>
      </w:r>
      <w:r w:rsidR="00C11984">
        <w:t>proposed project term prior to entering into a grant agreement.</w:t>
      </w:r>
    </w:p>
    <w:p w14:paraId="1665C144" w14:textId="77777777" w:rsidR="000C1A7A" w:rsidRDefault="000C1A7A" w:rsidP="000C1A7A">
      <w:pPr>
        <w:pStyle w:val="Heading3"/>
        <w:ind w:left="0" w:firstLine="0"/>
      </w:pPr>
      <w:bookmarkStart w:id="159" w:name="_Toc83047274"/>
      <w:bookmarkStart w:id="160" w:name="_Toc83722027"/>
      <w:bookmarkStart w:id="161" w:name="_Toc84398442"/>
      <w:r>
        <w:t>Eligible activity categories</w:t>
      </w:r>
      <w:bookmarkEnd w:id="159"/>
      <w:bookmarkEnd w:id="160"/>
      <w:bookmarkEnd w:id="161"/>
    </w:p>
    <w:p w14:paraId="58B3FE1B" w14:textId="25D1EB56" w:rsidR="00045634" w:rsidRDefault="00386C8F" w:rsidP="000C1A7A">
      <w:pPr>
        <w:pStyle w:val="ListBullet"/>
        <w:numPr>
          <w:ilvl w:val="0"/>
          <w:numId w:val="0"/>
        </w:numPr>
        <w:spacing w:after="120"/>
      </w:pPr>
      <w:r>
        <w:t>Your project must fall into one of the</w:t>
      </w:r>
      <w:r w:rsidR="005B6824">
        <w:t xml:space="preserve"> three</w:t>
      </w:r>
      <w:r>
        <w:t xml:space="preserve"> categories below</w:t>
      </w:r>
      <w:r w:rsidR="00045634">
        <w:t>:</w:t>
      </w:r>
    </w:p>
    <w:p w14:paraId="0C2838B0" w14:textId="2783C010" w:rsidR="00045634" w:rsidRDefault="00045634" w:rsidP="00045634">
      <w:pPr>
        <w:pStyle w:val="ListBullet"/>
        <w:numPr>
          <w:ilvl w:val="0"/>
          <w:numId w:val="7"/>
        </w:numPr>
        <w:spacing w:after="120"/>
      </w:pPr>
      <w:r w:rsidRPr="00772DE5">
        <w:rPr>
          <w:b/>
        </w:rPr>
        <w:t>Planning</w:t>
      </w:r>
      <w:r>
        <w:t xml:space="preserve"> - assessment of risk, vulnerability, resilience and disaster risk reduction </w:t>
      </w:r>
      <w:r w:rsidR="003B0BCC">
        <w:t>activities</w:t>
      </w:r>
      <w:r>
        <w:t>, investment/business case, or technical feasibility</w:t>
      </w:r>
    </w:p>
    <w:p w14:paraId="7E137A78" w14:textId="70858786" w:rsidR="00045634" w:rsidRDefault="00045634" w:rsidP="00045634">
      <w:pPr>
        <w:pStyle w:val="ListBullet"/>
        <w:numPr>
          <w:ilvl w:val="0"/>
          <w:numId w:val="7"/>
        </w:numPr>
        <w:spacing w:after="120"/>
      </w:pPr>
      <w:r w:rsidRPr="00772DE5">
        <w:rPr>
          <w:b/>
        </w:rPr>
        <w:t>Awareness and capacity</w:t>
      </w:r>
      <w:r>
        <w:t xml:space="preserve"> - increasing disaster risk and resilience awareness and capacity building</w:t>
      </w:r>
      <w:r w:rsidR="003B0BCC">
        <w:t xml:space="preserve"> activities</w:t>
      </w:r>
    </w:p>
    <w:p w14:paraId="4C4E592F" w14:textId="4DAD22E1" w:rsidR="00386C8F" w:rsidRDefault="00045634" w:rsidP="00741F5D">
      <w:pPr>
        <w:pStyle w:val="ListBullet"/>
      </w:pPr>
      <w:r w:rsidRPr="00772DE5">
        <w:rPr>
          <w:b/>
        </w:rPr>
        <w:t>Infrastructure</w:t>
      </w:r>
      <w:r>
        <w:t xml:space="preserve"> - delivery of built and/or natural infrastructure, including new or upgraded infrastructure</w:t>
      </w:r>
      <w:r w:rsidR="003B0BCC">
        <w:t>.</w:t>
      </w:r>
    </w:p>
    <w:p w14:paraId="74C04932" w14:textId="796E3FF1" w:rsidR="007C75A2" w:rsidRDefault="007C75A2" w:rsidP="00806156">
      <w:r>
        <w:t>Your project may have elements of more than one category</w:t>
      </w:r>
      <w:r w:rsidR="00844EDF">
        <w:t>.</w:t>
      </w:r>
      <w:r>
        <w:t xml:space="preserve"> </w:t>
      </w:r>
      <w:r w:rsidR="00844EDF">
        <w:t>H</w:t>
      </w:r>
      <w:r>
        <w:t>owever</w:t>
      </w:r>
      <w:r w:rsidR="00844EDF">
        <w:t>,</w:t>
      </w:r>
      <w:r>
        <w:t xml:space="preserve"> you </w:t>
      </w:r>
      <w:r w:rsidR="00806156">
        <w:t>must</w:t>
      </w:r>
      <w:r>
        <w:t xml:space="preserve"> nominate the most relevant</w:t>
      </w:r>
      <w:r w:rsidR="00752BE1">
        <w:t xml:space="preserve"> category</w:t>
      </w:r>
      <w:r>
        <w:t>.</w:t>
      </w:r>
    </w:p>
    <w:p w14:paraId="0FC4FD4D" w14:textId="77777777" w:rsidR="005C08C1" w:rsidRDefault="00FF0DF6" w:rsidP="001B2787">
      <w:pPr>
        <w:pStyle w:val="Heading4"/>
      </w:pPr>
      <w:bookmarkStart w:id="162" w:name="_Toc83047275"/>
      <w:bookmarkStart w:id="163" w:name="_Toc83722028"/>
      <w:bookmarkStart w:id="164" w:name="_Toc84398443"/>
      <w:bookmarkStart w:id="165" w:name="_Toc80180242"/>
      <w:bookmarkStart w:id="166" w:name="_Toc80185490"/>
      <w:bookmarkStart w:id="167" w:name="_Toc80190305"/>
      <w:bookmarkStart w:id="168" w:name="_Toc80190382"/>
      <w:bookmarkStart w:id="169" w:name="_Toc80870635"/>
      <w:r>
        <w:t>Planning</w:t>
      </w:r>
      <w:bookmarkEnd w:id="162"/>
      <w:bookmarkEnd w:id="163"/>
      <w:bookmarkEnd w:id="164"/>
      <w:r>
        <w:t xml:space="preserve"> </w:t>
      </w:r>
      <w:bookmarkEnd w:id="165"/>
      <w:bookmarkEnd w:id="166"/>
      <w:bookmarkEnd w:id="167"/>
      <w:bookmarkEnd w:id="168"/>
      <w:bookmarkEnd w:id="169"/>
    </w:p>
    <w:p w14:paraId="13362973" w14:textId="27A71D88" w:rsidR="005C08C1" w:rsidRDefault="005C08C1" w:rsidP="005C08C1">
      <w:r>
        <w:t xml:space="preserve">Eligible activities </w:t>
      </w:r>
      <w:r w:rsidR="0040156C">
        <w:t xml:space="preserve">may </w:t>
      </w:r>
      <w:r>
        <w:t>include</w:t>
      </w:r>
      <w:r w:rsidR="00F96CF3">
        <w:t>, but are not limited to</w:t>
      </w:r>
      <w:r w:rsidR="006E3C45">
        <w:t xml:space="preserve"> a</w:t>
      </w:r>
      <w:r>
        <w:t>:</w:t>
      </w:r>
    </w:p>
    <w:p w14:paraId="1FE0D647" w14:textId="77777777" w:rsidR="00FF0DF6" w:rsidRDefault="00FF0DF6" w:rsidP="00FF0DF6">
      <w:pPr>
        <w:pStyle w:val="ListBullet"/>
      </w:pPr>
      <w:bookmarkStart w:id="170" w:name="_Toc80180243"/>
      <w:bookmarkStart w:id="171" w:name="_Toc80185491"/>
      <w:bookmarkStart w:id="172" w:name="_Toc80190306"/>
      <w:bookmarkStart w:id="173" w:name="_Toc80190383"/>
      <w:r w:rsidRPr="00B83CD0">
        <w:t xml:space="preserve">comprehensive scan of </w:t>
      </w:r>
      <w:r w:rsidRPr="00B526A1">
        <w:t xml:space="preserve">strategic disaster risks and </w:t>
      </w:r>
      <w:r w:rsidR="001C2D93">
        <w:t>mitigation</w:t>
      </w:r>
      <w:r w:rsidR="001C2D93" w:rsidRPr="00B526A1">
        <w:t xml:space="preserve"> </w:t>
      </w:r>
      <w:r w:rsidRPr="00B526A1">
        <w:t xml:space="preserve">options to </w:t>
      </w:r>
      <w:r w:rsidR="001C2D93">
        <w:t xml:space="preserve">support the development of a </w:t>
      </w:r>
      <w:r w:rsidR="00F96CF3">
        <w:t xml:space="preserve">community focussed </w:t>
      </w:r>
      <w:r w:rsidR="001C2D93">
        <w:t xml:space="preserve">disaster risk reduction and </w:t>
      </w:r>
      <w:r w:rsidRPr="00B526A1">
        <w:t xml:space="preserve">resilience strategy </w:t>
      </w:r>
      <w:r w:rsidR="00F96CF3">
        <w:t>and/</w:t>
      </w:r>
      <w:r w:rsidR="001C2D93">
        <w:t>or plan</w:t>
      </w:r>
      <w:r w:rsidRPr="00B526A1">
        <w:t xml:space="preserve"> </w:t>
      </w:r>
    </w:p>
    <w:p w14:paraId="0F892FCC" w14:textId="77777777" w:rsidR="00FF0DF6" w:rsidRDefault="00FF0DF6" w:rsidP="00FF0DF6">
      <w:pPr>
        <w:pStyle w:val="ListBullet"/>
      </w:pPr>
      <w:r>
        <w:t>community scale flood risk assessment that provides accurate floor height measurements and tailored flood mitigation plan</w:t>
      </w:r>
      <w:r w:rsidR="00672B81">
        <w:t>s</w:t>
      </w:r>
      <w:r>
        <w:t xml:space="preserve"> for a</w:t>
      </w:r>
      <w:r w:rsidR="00BC438F">
        <w:t>ll houses in a flood prone area</w:t>
      </w:r>
    </w:p>
    <w:p w14:paraId="1CFB5BF6" w14:textId="77777777" w:rsidR="001C2D93" w:rsidRDefault="001C2D93" w:rsidP="00FF0DF6">
      <w:pPr>
        <w:pStyle w:val="ListBullet"/>
      </w:pPr>
      <w:r>
        <w:t>community scale bushfire risk a</w:t>
      </w:r>
      <w:r w:rsidR="00BC438F">
        <w:t>ssessment and mitigation advice</w:t>
      </w:r>
    </w:p>
    <w:p w14:paraId="72039E57" w14:textId="77777777" w:rsidR="00FF0DF6" w:rsidRDefault="00FF0DF6" w:rsidP="00FF0DF6">
      <w:pPr>
        <w:pStyle w:val="ListBullet"/>
      </w:pPr>
      <w:r w:rsidRPr="00F61132">
        <w:t>climate/disaster risk and vulnerability assessment</w:t>
      </w:r>
      <w:r w:rsidR="001C2D93">
        <w:t xml:space="preserve"> of the LGA and/or a strategy or plan to mitigate these risks and vulnerabilities, and build resilience</w:t>
      </w:r>
    </w:p>
    <w:p w14:paraId="0FDE75BB" w14:textId="3B9EC86C" w:rsidR="00FF0DF6" w:rsidRPr="005C08C1" w:rsidRDefault="00FF0DF6" w:rsidP="00FF0DF6">
      <w:pPr>
        <w:pStyle w:val="ListBullet"/>
      </w:pPr>
      <w:proofErr w:type="gramStart"/>
      <w:r>
        <w:t>technical</w:t>
      </w:r>
      <w:proofErr w:type="gramEnd"/>
      <w:r>
        <w:t xml:space="preserve"> assessment of</w:t>
      </w:r>
      <w:r w:rsidRPr="00F61132">
        <w:t xml:space="preserve"> options and pathways </w:t>
      </w:r>
      <w:r>
        <w:t>to inform future</w:t>
      </w:r>
      <w:r w:rsidRPr="00F61132">
        <w:t xml:space="preserve"> investments that miti</w:t>
      </w:r>
      <w:r w:rsidR="00BC438F">
        <w:t>gate risks and build resilience</w:t>
      </w:r>
      <w:r w:rsidR="00276616">
        <w:t>.</w:t>
      </w:r>
    </w:p>
    <w:p w14:paraId="64573FCD" w14:textId="77777777" w:rsidR="00386C8F" w:rsidRDefault="00FF0DF6" w:rsidP="005C08C1">
      <w:pPr>
        <w:pStyle w:val="Heading4"/>
      </w:pPr>
      <w:bookmarkStart w:id="174" w:name="_Toc83047276"/>
      <w:bookmarkStart w:id="175" w:name="_Toc83722029"/>
      <w:bookmarkStart w:id="176" w:name="_Toc84398444"/>
      <w:bookmarkStart w:id="177" w:name="_Toc80180244"/>
      <w:bookmarkStart w:id="178" w:name="_Toc80185492"/>
      <w:bookmarkStart w:id="179" w:name="_Toc80190307"/>
      <w:bookmarkStart w:id="180" w:name="_Toc80190384"/>
      <w:bookmarkStart w:id="181" w:name="_Toc80870637"/>
      <w:bookmarkStart w:id="182" w:name="_Toc81229223"/>
      <w:bookmarkEnd w:id="170"/>
      <w:bookmarkEnd w:id="171"/>
      <w:bookmarkEnd w:id="172"/>
      <w:bookmarkEnd w:id="173"/>
      <w:r>
        <w:t>Awareness</w:t>
      </w:r>
      <w:r w:rsidR="00B8147E">
        <w:t xml:space="preserve"> and capacity</w:t>
      </w:r>
      <w:bookmarkEnd w:id="174"/>
      <w:bookmarkEnd w:id="175"/>
      <w:bookmarkEnd w:id="176"/>
      <w:r w:rsidR="005C08C1">
        <w:t xml:space="preserve"> </w:t>
      </w:r>
      <w:bookmarkEnd w:id="177"/>
      <w:bookmarkEnd w:id="178"/>
      <w:bookmarkEnd w:id="179"/>
      <w:bookmarkEnd w:id="180"/>
      <w:bookmarkEnd w:id="181"/>
      <w:bookmarkEnd w:id="182"/>
    </w:p>
    <w:p w14:paraId="02379682" w14:textId="77777777" w:rsidR="005C08C1" w:rsidRDefault="005C08C1" w:rsidP="005C08C1">
      <w:r>
        <w:t xml:space="preserve">Eligible activities </w:t>
      </w:r>
      <w:r w:rsidR="0040156C">
        <w:t xml:space="preserve">may </w:t>
      </w:r>
      <w:r>
        <w:t>include</w:t>
      </w:r>
      <w:r w:rsidR="00F96CF3">
        <w:t>, but are not limited to,</w:t>
      </w:r>
      <w:r w:rsidR="00E92444">
        <w:t xml:space="preserve"> development and delivery of</w:t>
      </w:r>
      <w:r>
        <w:t>:</w:t>
      </w:r>
    </w:p>
    <w:p w14:paraId="31F45710" w14:textId="77777777" w:rsidR="00844EDF" w:rsidRDefault="00844EDF" w:rsidP="00844EDF">
      <w:pPr>
        <w:pStyle w:val="ListBullet"/>
      </w:pPr>
      <w:r w:rsidRPr="00844EDF">
        <w:t>communications initiatives or training courses that increase the ability of individuals, organisations or communities to prepare for, withstand or recover from the impacts of relevant natural disasters</w:t>
      </w:r>
    </w:p>
    <w:p w14:paraId="67F81664" w14:textId="1804C5AD" w:rsidR="003B0BCC" w:rsidRDefault="003B0BCC" w:rsidP="003B0BCC">
      <w:pPr>
        <w:pStyle w:val="ListBullet"/>
      </w:pPr>
      <w:r>
        <w:t>cultural</w:t>
      </w:r>
      <w:r w:rsidR="004C019F">
        <w:t>, traditional and</w:t>
      </w:r>
      <w:r>
        <w:t xml:space="preserve"> on-country practices, such as cultural burning, by Indigenous communities and organisations that have a disaster risk reduction or community resilience focus</w:t>
      </w:r>
    </w:p>
    <w:p w14:paraId="4E43BCDB" w14:textId="67100A87" w:rsidR="003B0BCC" w:rsidRDefault="003B0BCC" w:rsidP="003B0BCC">
      <w:pPr>
        <w:pStyle w:val="ListBullet"/>
      </w:pPr>
      <w:r>
        <w:t>two-way cultural practice and knowledge sharing between Indigenous organisations or communities and universities, academic institutions and government agencies aiming to achieve a disaster risk reduction or community resilience outcome</w:t>
      </w:r>
    </w:p>
    <w:p w14:paraId="2995B672" w14:textId="49C1FC2E" w:rsidR="00FF0DF6" w:rsidRPr="00635FCE" w:rsidRDefault="00FF0DF6" w:rsidP="00844EDF">
      <w:pPr>
        <w:pStyle w:val="ListBullet"/>
      </w:pPr>
      <w:r w:rsidRPr="00B83CD0">
        <w:t xml:space="preserve">communications </w:t>
      </w:r>
      <w:r w:rsidR="00F96CF3">
        <w:t>initiatives</w:t>
      </w:r>
      <w:r w:rsidR="00F96CF3" w:rsidRPr="00E5029D">
        <w:t xml:space="preserve"> </w:t>
      </w:r>
      <w:r w:rsidRPr="00E5029D">
        <w:t>and training courses that build awareness, understanding, capability, competency and capacity of individuals, organisations, communities</w:t>
      </w:r>
      <w:r w:rsidRPr="00A406FF">
        <w:t xml:space="preserve"> to prepare for</w:t>
      </w:r>
      <w:r w:rsidR="001C2D93">
        <w:t xml:space="preserve"> and mitigate risk of</w:t>
      </w:r>
      <w:r w:rsidRPr="00A406FF">
        <w:t xml:space="preserve"> future disasters </w:t>
      </w:r>
    </w:p>
    <w:p w14:paraId="6F84F640" w14:textId="54636990" w:rsidR="005C08C1" w:rsidRPr="005C08C1" w:rsidRDefault="00FF0DF6" w:rsidP="00FF0DF6">
      <w:pPr>
        <w:pStyle w:val="ListBullet"/>
      </w:pPr>
      <w:proofErr w:type="gramStart"/>
      <w:r w:rsidRPr="00635FCE">
        <w:t>training</w:t>
      </w:r>
      <w:proofErr w:type="gramEnd"/>
      <w:r w:rsidRPr="00635FCE">
        <w:t xml:space="preserve"> materials and courses that build the understanding, capability, competency and capacity of individuals, organisations, and communities to engage with systems thinking, </w:t>
      </w:r>
      <w:r w:rsidR="00F96CF3">
        <w:t xml:space="preserve">disaster </w:t>
      </w:r>
      <w:r w:rsidRPr="00635FCE">
        <w:t>resilience and adaptation planning,</w:t>
      </w:r>
      <w:r w:rsidR="001C2D93">
        <w:t xml:space="preserve"> </w:t>
      </w:r>
      <w:r w:rsidRPr="00635FCE">
        <w:t>systemic risk approaches</w:t>
      </w:r>
      <w:r w:rsidR="003B0BCC">
        <w:t xml:space="preserve"> and cultural, traditional and on-country risk reduction practices</w:t>
      </w:r>
      <w:r w:rsidRPr="00635FCE">
        <w:t>.</w:t>
      </w:r>
    </w:p>
    <w:p w14:paraId="5AE7E6FD" w14:textId="77777777" w:rsidR="005C08C1" w:rsidRDefault="00FF0DF6" w:rsidP="005C08C1">
      <w:pPr>
        <w:pStyle w:val="Heading4"/>
      </w:pPr>
      <w:bookmarkStart w:id="183" w:name="_Toc80180246"/>
      <w:bookmarkStart w:id="184" w:name="_Toc80185494"/>
      <w:bookmarkStart w:id="185" w:name="_Toc80190309"/>
      <w:bookmarkStart w:id="186" w:name="_Toc80190386"/>
      <w:bookmarkStart w:id="187" w:name="_Toc81229229"/>
      <w:bookmarkStart w:id="188" w:name="_Toc83047277"/>
      <w:bookmarkStart w:id="189" w:name="_Toc83722030"/>
      <w:bookmarkStart w:id="190" w:name="_Toc84398445"/>
      <w:bookmarkStart w:id="191" w:name="_Toc80870639"/>
      <w:r>
        <w:t>I</w:t>
      </w:r>
      <w:r w:rsidR="00D5014B">
        <w:t>nfrastructur</w:t>
      </w:r>
      <w:r w:rsidR="00B8147E">
        <w:t>e</w:t>
      </w:r>
      <w:bookmarkEnd w:id="183"/>
      <w:bookmarkEnd w:id="184"/>
      <w:bookmarkEnd w:id="185"/>
      <w:bookmarkEnd w:id="186"/>
      <w:bookmarkEnd w:id="187"/>
      <w:bookmarkEnd w:id="188"/>
      <w:bookmarkEnd w:id="189"/>
      <w:bookmarkEnd w:id="190"/>
    </w:p>
    <w:bookmarkEnd w:id="191"/>
    <w:p w14:paraId="0D956DED" w14:textId="77777777" w:rsidR="005C08C1" w:rsidRDefault="005C08C1" w:rsidP="005C08C1">
      <w:r>
        <w:t>Eligible activities</w:t>
      </w:r>
      <w:r w:rsidR="0040156C">
        <w:t xml:space="preserve"> may</w:t>
      </w:r>
      <w:r>
        <w:t xml:space="preserve"> include</w:t>
      </w:r>
      <w:r w:rsidR="00806156">
        <w:t xml:space="preserve">, but are not limited </w:t>
      </w:r>
      <w:proofErr w:type="gramStart"/>
      <w:r w:rsidR="00806156">
        <w:t>to</w:t>
      </w:r>
      <w:proofErr w:type="gramEnd"/>
      <w:r>
        <w:t>:</w:t>
      </w:r>
    </w:p>
    <w:p w14:paraId="38A6D3CC" w14:textId="40CD69D6" w:rsidR="00FF0DF6" w:rsidRPr="00DA66D7" w:rsidRDefault="00FF0DF6" w:rsidP="00FF0DF6">
      <w:pPr>
        <w:pStyle w:val="ListBullet"/>
      </w:pPr>
      <w:bookmarkStart w:id="192" w:name="_Toc80180247"/>
      <w:bookmarkStart w:id="193" w:name="_Toc80185495"/>
      <w:bookmarkStart w:id="194" w:name="_Toc80190310"/>
      <w:bookmarkStart w:id="195" w:name="_Toc80190387"/>
      <w:r w:rsidRPr="00B526A1">
        <w:t>new or relocated</w:t>
      </w:r>
      <w:r w:rsidR="00CE193D">
        <w:t xml:space="preserve"> asset</w:t>
      </w:r>
      <w:r w:rsidR="00844EDF">
        <w:t>s</w:t>
      </w:r>
      <w:r w:rsidR="00CE193D">
        <w:t xml:space="preserve"> or</w:t>
      </w:r>
      <w:r w:rsidRPr="00B526A1">
        <w:t xml:space="preserve"> infrastructure to mitigate disaster risk</w:t>
      </w:r>
      <w:r w:rsidRPr="00B83CD0">
        <w:t>, including but not limited to levees, sluice gates, retarding basin</w:t>
      </w:r>
      <w:r>
        <w:t>s, bridges or community refuges</w:t>
      </w:r>
    </w:p>
    <w:p w14:paraId="73180383" w14:textId="77777777" w:rsidR="002915A5" w:rsidRPr="00DA66D7" w:rsidRDefault="00FF0DF6" w:rsidP="002915A5">
      <w:pPr>
        <w:pStyle w:val="ListBullet"/>
      </w:pPr>
      <w:r w:rsidRPr="00B83CD0">
        <w:t>upgrading existing</w:t>
      </w:r>
      <w:r w:rsidR="00F96CF3">
        <w:t xml:space="preserve"> public hazard defence infrastructure, such as</w:t>
      </w:r>
      <w:r w:rsidRPr="00B83CD0">
        <w:t xml:space="preserve"> flood defences</w:t>
      </w:r>
      <w:r w:rsidR="00F96CF3">
        <w:t>,</w:t>
      </w:r>
      <w:r w:rsidR="002915A5">
        <w:t xml:space="preserve"> </w:t>
      </w:r>
      <w:r w:rsidR="002915A5" w:rsidRPr="00DA66D7">
        <w:t>to increase resilience or mitigate disaster risk</w:t>
      </w:r>
    </w:p>
    <w:p w14:paraId="7B4BA096" w14:textId="7248BAF5" w:rsidR="00FF0DF6" w:rsidRDefault="004626E4" w:rsidP="00FF0DF6">
      <w:pPr>
        <w:pStyle w:val="ListBullet"/>
      </w:pPr>
      <w:proofErr w:type="gramStart"/>
      <w:r>
        <w:t>refurbishing</w:t>
      </w:r>
      <w:proofErr w:type="gramEnd"/>
      <w:r>
        <w:t xml:space="preserve"> </w:t>
      </w:r>
      <w:r w:rsidR="00FF0DF6" w:rsidRPr="00B83CD0">
        <w:t xml:space="preserve">a community building </w:t>
      </w:r>
      <w:r>
        <w:t xml:space="preserve">to </w:t>
      </w:r>
      <w:r w:rsidR="00FF0DF6" w:rsidRPr="00B83CD0">
        <w:t xml:space="preserve">serve multiple purposes, e.g. </w:t>
      </w:r>
      <w:r>
        <w:t xml:space="preserve">refurbishing </w:t>
      </w:r>
      <w:r w:rsidR="00FF0DF6" w:rsidRPr="00B83CD0">
        <w:t xml:space="preserve">a </w:t>
      </w:r>
      <w:r>
        <w:t xml:space="preserve">community </w:t>
      </w:r>
      <w:r w:rsidR="00FF0DF6" w:rsidRPr="00B83CD0">
        <w:t>hall</w:t>
      </w:r>
      <w:r w:rsidR="00FF0DF6" w:rsidRPr="00E5029D">
        <w:t xml:space="preserve"> </w:t>
      </w:r>
      <w:r>
        <w:t>so it is</w:t>
      </w:r>
      <w:r w:rsidR="00FF0DF6" w:rsidRPr="00E5029D">
        <w:t xml:space="preserve"> </w:t>
      </w:r>
      <w:r w:rsidR="00FF0DF6" w:rsidRPr="00A406FF">
        <w:t>hazard resilient and able to perform as a refuge during bush</w:t>
      </w:r>
      <w:r w:rsidR="00FF0DF6" w:rsidRPr="00635FCE">
        <w:t>fire</w:t>
      </w:r>
      <w:r w:rsidR="00844EDF">
        <w:t>s</w:t>
      </w:r>
      <w:r w:rsidR="00FF0DF6" w:rsidRPr="00635FCE">
        <w:t xml:space="preserve">, tropical cyclones </w:t>
      </w:r>
      <w:r w:rsidR="00844EDF">
        <w:t>or</w:t>
      </w:r>
      <w:r w:rsidR="00FF0DF6" w:rsidRPr="00635FCE">
        <w:t xml:space="preserve"> floods</w:t>
      </w:r>
      <w:r w:rsidR="00FF0DF6" w:rsidRPr="00DA66D7">
        <w:t>.</w:t>
      </w:r>
    </w:p>
    <w:p w14:paraId="1F5C9F31" w14:textId="77777777" w:rsidR="00386C8F" w:rsidRPr="00B83CD0" w:rsidRDefault="00386C8F" w:rsidP="00741F5D">
      <w:r w:rsidRPr="00386C8F">
        <w:t>We may also approve other activities</w:t>
      </w:r>
      <w:r w:rsidR="00D053A2">
        <w:t xml:space="preserve"> that align with the outcomes and objectives of the program</w:t>
      </w:r>
      <w:r w:rsidRPr="00386C8F">
        <w:t xml:space="preserve">. </w:t>
      </w:r>
    </w:p>
    <w:p w14:paraId="3F53E8A7" w14:textId="77777777" w:rsidR="000C1A7A" w:rsidRDefault="000C1A7A" w:rsidP="000C1A7A">
      <w:pPr>
        <w:pStyle w:val="Heading3"/>
        <w:ind w:left="0" w:firstLine="0"/>
      </w:pPr>
      <w:bookmarkStart w:id="196" w:name="_Toc83047278"/>
      <w:bookmarkStart w:id="197" w:name="_Toc83722031"/>
      <w:bookmarkStart w:id="198" w:name="_Toc84398446"/>
      <w:bookmarkStart w:id="199" w:name="_Toc80185496"/>
      <w:bookmarkStart w:id="200" w:name="_Toc80180248"/>
      <w:bookmarkStart w:id="201" w:name="_Toc80190311"/>
      <w:bookmarkStart w:id="202" w:name="_Toc80190388"/>
      <w:bookmarkEnd w:id="192"/>
      <w:bookmarkEnd w:id="193"/>
      <w:bookmarkEnd w:id="194"/>
      <w:bookmarkEnd w:id="195"/>
      <w:r>
        <w:t>What you cannot use the grant for</w:t>
      </w:r>
      <w:bookmarkEnd w:id="196"/>
      <w:bookmarkEnd w:id="197"/>
      <w:bookmarkEnd w:id="198"/>
    </w:p>
    <w:p w14:paraId="11111DF2" w14:textId="61633237" w:rsidR="00587A52" w:rsidRDefault="00587A52" w:rsidP="000C1A7A">
      <w:r>
        <w:t>Ineligible activities include</w:t>
      </w:r>
      <w:r w:rsidR="00954EAC">
        <w:t xml:space="preserve">, but are not limited </w:t>
      </w:r>
      <w:proofErr w:type="gramStart"/>
      <w:r w:rsidR="00954EAC">
        <w:t>to</w:t>
      </w:r>
      <w:proofErr w:type="gramEnd"/>
      <w:r>
        <w:t>:</w:t>
      </w:r>
    </w:p>
    <w:p w14:paraId="58B68722" w14:textId="77777777" w:rsidR="00587A52" w:rsidRDefault="00587A52" w:rsidP="00587A52">
      <w:pPr>
        <w:pStyle w:val="ListBullet"/>
      </w:pPr>
      <w:r>
        <w:t>non</w:t>
      </w:r>
      <w:r w:rsidRPr="00F61132">
        <w:t>-disaster/climate related technical assessments such as traditional commercial advisory, engineering, architects/design, environmental assessments</w:t>
      </w:r>
    </w:p>
    <w:p w14:paraId="6D6B025C" w14:textId="77777777" w:rsidR="00D053A2" w:rsidRDefault="00D053A2" w:rsidP="00587A52">
      <w:pPr>
        <w:pStyle w:val="ListBullet"/>
      </w:pPr>
      <w:r>
        <w:t xml:space="preserve">general planning activities not </w:t>
      </w:r>
      <w:r w:rsidR="00806156">
        <w:t>related</w:t>
      </w:r>
      <w:r>
        <w:t xml:space="preserve"> to the objectives and outcomes of the program</w:t>
      </w:r>
    </w:p>
    <w:p w14:paraId="3D46698D" w14:textId="4D4D605A" w:rsidR="00587A52" w:rsidRPr="004626E4" w:rsidRDefault="00587A52" w:rsidP="00587A52">
      <w:pPr>
        <w:pStyle w:val="ListBullet"/>
        <w:rPr>
          <w:iCs/>
        </w:rPr>
      </w:pPr>
      <w:r>
        <w:t xml:space="preserve">for profit </w:t>
      </w:r>
      <w:r>
        <w:rPr>
          <w:iCs/>
        </w:rPr>
        <w:t>activities that ca</w:t>
      </w:r>
      <w:r w:rsidR="000C7068">
        <w:rPr>
          <w:iCs/>
        </w:rPr>
        <w:t>nnot demonstrate public benefit</w:t>
      </w:r>
    </w:p>
    <w:p w14:paraId="514C0FE0" w14:textId="77777777" w:rsidR="00587A52" w:rsidRDefault="00587A52" w:rsidP="00587A52">
      <w:pPr>
        <w:pStyle w:val="ListBullet"/>
      </w:pPr>
      <w:r w:rsidRPr="00B526A1">
        <w:t xml:space="preserve">ongoing </w:t>
      </w:r>
      <w:r>
        <w:t>delivery and maintenance of a program, campaign or course</w:t>
      </w:r>
    </w:p>
    <w:p w14:paraId="25C1CD80" w14:textId="77777777" w:rsidR="003B0BCC" w:rsidRPr="003B0BCC" w:rsidRDefault="003B0BCC" w:rsidP="00587A52">
      <w:pPr>
        <w:pStyle w:val="ListBullet"/>
        <w:rPr>
          <w:iCs/>
        </w:rPr>
      </w:pPr>
      <w:r>
        <w:t>community social events</w:t>
      </w:r>
    </w:p>
    <w:p w14:paraId="4A82B031" w14:textId="16F56984" w:rsidR="00587A52" w:rsidRDefault="00587A52" w:rsidP="00587A52">
      <w:pPr>
        <w:pStyle w:val="ListBullet"/>
        <w:rPr>
          <w:iCs/>
        </w:rPr>
      </w:pPr>
      <w:r>
        <w:rPr>
          <w:iCs/>
        </w:rPr>
        <w:t>refurbishing or building community infrastructure that does not have a direct link to reducing disaster risk, e.g. new amenities for existing hazard refuges</w:t>
      </w:r>
    </w:p>
    <w:p w14:paraId="12AE13EE" w14:textId="2E9532BB" w:rsidR="00D053A2" w:rsidRDefault="00D053A2" w:rsidP="00587A52">
      <w:pPr>
        <w:pStyle w:val="ListBullet"/>
        <w:numPr>
          <w:ilvl w:val="0"/>
          <w:numId w:val="7"/>
        </w:numPr>
        <w:rPr>
          <w:iCs/>
        </w:rPr>
      </w:pPr>
      <w:r>
        <w:rPr>
          <w:iCs/>
        </w:rPr>
        <w:t>activities that are a legislative or regulatory requirement of the applicant</w:t>
      </w:r>
    </w:p>
    <w:p w14:paraId="3B3F59EB" w14:textId="77777777" w:rsidR="00386C8F" w:rsidRDefault="00587A52" w:rsidP="00587A52">
      <w:pPr>
        <w:pStyle w:val="ListBullet"/>
        <w:numPr>
          <w:ilvl w:val="0"/>
          <w:numId w:val="7"/>
        </w:numPr>
        <w:rPr>
          <w:iCs/>
        </w:rPr>
      </w:pPr>
      <w:proofErr w:type="gramStart"/>
      <w:r>
        <w:rPr>
          <w:iCs/>
        </w:rPr>
        <w:t>activities</w:t>
      </w:r>
      <w:proofErr w:type="gramEnd"/>
      <w:r>
        <w:rPr>
          <w:iCs/>
        </w:rPr>
        <w:t xml:space="preserve"> to build, upgrade or strengthen privately owned infrastructure or assets that cannot demonstrate public benefit.</w:t>
      </w:r>
    </w:p>
    <w:p w14:paraId="198CCD11" w14:textId="77777777" w:rsidR="000C1A7A" w:rsidRDefault="000C1A7A" w:rsidP="000C1A7A">
      <w:pPr>
        <w:pStyle w:val="Heading3"/>
        <w:ind w:left="0" w:firstLine="0"/>
      </w:pPr>
      <w:bookmarkStart w:id="203" w:name="_Toc81229757"/>
      <w:bookmarkStart w:id="204" w:name="_Toc530072991"/>
      <w:bookmarkStart w:id="205" w:name="_Toc530072992"/>
      <w:bookmarkStart w:id="206" w:name="_Toc530072993"/>
      <w:bookmarkStart w:id="207" w:name="_Toc530072995"/>
      <w:bookmarkStart w:id="208" w:name="_Toc83047279"/>
      <w:bookmarkStart w:id="209" w:name="_Toc83722032"/>
      <w:bookmarkStart w:id="210" w:name="_Toc84398447"/>
      <w:bookmarkStart w:id="211" w:name="_Toc496536663"/>
      <w:bookmarkStart w:id="212" w:name="_Toc531277490"/>
      <w:bookmarkStart w:id="213" w:name="_Toc955300"/>
      <w:bookmarkEnd w:id="157"/>
      <w:bookmarkEnd w:id="158"/>
      <w:bookmarkEnd w:id="199"/>
      <w:bookmarkEnd w:id="200"/>
      <w:bookmarkEnd w:id="201"/>
      <w:bookmarkEnd w:id="202"/>
      <w:bookmarkEnd w:id="203"/>
      <w:bookmarkEnd w:id="204"/>
      <w:bookmarkEnd w:id="205"/>
      <w:bookmarkEnd w:id="206"/>
      <w:bookmarkEnd w:id="207"/>
      <w:r>
        <w:t>Eligible expenditure</w:t>
      </w:r>
      <w:bookmarkEnd w:id="208"/>
      <w:bookmarkEnd w:id="209"/>
      <w:bookmarkEnd w:id="210"/>
    </w:p>
    <w:p w14:paraId="49A3B5F4" w14:textId="77777777" w:rsidR="00F22BCD" w:rsidRDefault="00F22BCD" w:rsidP="000C1A7A">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 </w:t>
      </w:r>
    </w:p>
    <w:p w14:paraId="288834FF" w14:textId="77777777" w:rsidR="003A484E" w:rsidRDefault="003A484E" w:rsidP="003A484E">
      <w:pPr>
        <w:spacing w:after="80"/>
      </w:pPr>
      <w:r>
        <w:t>To be eligible, expenditure must:</w:t>
      </w:r>
    </w:p>
    <w:p w14:paraId="0C65EEEF" w14:textId="0E9648C5" w:rsidR="003A484E" w:rsidRDefault="003A484E" w:rsidP="003A484E">
      <w:pPr>
        <w:pStyle w:val="ListBullet"/>
      </w:pPr>
      <w:r>
        <w:t>be a direct cost of the project</w:t>
      </w:r>
    </w:p>
    <w:p w14:paraId="3D8C0790" w14:textId="77777777" w:rsidR="003A484E" w:rsidRDefault="003A484E" w:rsidP="003A484E">
      <w:pPr>
        <w:pStyle w:val="ListBullet"/>
        <w:spacing w:after="120"/>
      </w:pPr>
      <w:proofErr w:type="gramStart"/>
      <w:r>
        <w:t>be</w:t>
      </w:r>
      <w:proofErr w:type="gramEnd"/>
      <w:r>
        <w:t xml:space="preserve"> incurred by you for the required project audit activities </w:t>
      </w:r>
      <w:r w:rsidR="00BD66B8">
        <w:t>(</w:t>
      </w:r>
      <w:r>
        <w:t>refer to section 13.3</w:t>
      </w:r>
      <w:r w:rsidR="00BD66B8">
        <w:t>)</w:t>
      </w:r>
      <w:r>
        <w:t>.</w:t>
      </w:r>
    </w:p>
    <w:p w14:paraId="400AF6C1" w14:textId="59B0582B" w:rsidR="003A484E" w:rsidRDefault="00D54E35" w:rsidP="003A484E">
      <w:pPr>
        <w:pStyle w:val="ListBullet"/>
        <w:numPr>
          <w:ilvl w:val="0"/>
          <w:numId w:val="0"/>
        </w:numPr>
        <w:spacing w:after="120"/>
      </w:pPr>
      <w:r>
        <w:t>T</w:t>
      </w:r>
      <w:r w:rsidR="003A484E">
        <w:t xml:space="preserve">he project </w:t>
      </w:r>
      <w:r>
        <w:t xml:space="preserve">costs must be incurred </w:t>
      </w:r>
      <w:r w:rsidR="003A484E">
        <w:t xml:space="preserve">between the </w:t>
      </w:r>
      <w:proofErr w:type="gramStart"/>
      <w:r w:rsidR="003A484E">
        <w:t>project</w:t>
      </w:r>
      <w:proofErr w:type="gramEnd"/>
      <w:r w:rsidR="003A484E">
        <w:t xml:space="preserve"> start and end date for it to be eligible unless stated otherwise.</w:t>
      </w:r>
    </w:p>
    <w:p w14:paraId="7FA922FA" w14:textId="77777777" w:rsidR="00CA4C1B" w:rsidRDefault="00CA4C1B" w:rsidP="00F22BCD">
      <w:r>
        <w:t>Eligible expenditure items are:</w:t>
      </w:r>
    </w:p>
    <w:p w14:paraId="16AFBAFF" w14:textId="77777777" w:rsidR="00CA4C1B" w:rsidRDefault="00CA4C1B" w:rsidP="00CA4C1B">
      <w:pPr>
        <w:pStyle w:val="ListBullet"/>
      </w:pPr>
      <w:r>
        <w:t xml:space="preserve">For </w:t>
      </w:r>
      <w:r w:rsidRPr="005A61FE">
        <w:t>guidance</w:t>
      </w:r>
      <w:r>
        <w:t xml:space="preserve"> on eligible expenditure, see</w:t>
      </w:r>
      <w:r w:rsidRPr="00E162FF">
        <w:t xml:space="preserve"> </w:t>
      </w:r>
      <w:r w:rsidR="005B10AB">
        <w:t>A</w:t>
      </w:r>
      <w:r w:rsidRPr="00777D23">
        <w:t xml:space="preserve">ppendix </w:t>
      </w:r>
      <w:r>
        <w:t>B.</w:t>
      </w:r>
    </w:p>
    <w:p w14:paraId="6EA58AF2" w14:textId="77777777" w:rsidR="00CA4C1B" w:rsidRDefault="00CA4C1B" w:rsidP="00CA4C1B">
      <w:pPr>
        <w:pStyle w:val="ListBullet"/>
        <w:spacing w:after="120"/>
      </w:pPr>
      <w:r>
        <w:t xml:space="preserve">For </w:t>
      </w:r>
      <w:r w:rsidRPr="005A61FE">
        <w:t>guidance</w:t>
      </w:r>
      <w:r>
        <w:t xml:space="preserve"> on ineligible expenditure, see </w:t>
      </w:r>
      <w:r w:rsidR="005B10AB">
        <w:t>A</w:t>
      </w:r>
      <w:r>
        <w:t>ppendix C.</w:t>
      </w:r>
    </w:p>
    <w:p w14:paraId="5FD05C99" w14:textId="4D5891CA" w:rsidR="00F22BCD" w:rsidRDefault="00F22BCD" w:rsidP="00F22BCD">
      <w:r>
        <w:t xml:space="preserve">We may update the </w:t>
      </w:r>
      <w:r w:rsidRPr="005A61FE">
        <w:t>guidance</w:t>
      </w:r>
      <w:r>
        <w:t xml:space="preserve"> on eligible and ineligible expenditure from time to time</w:t>
      </w:r>
      <w:r w:rsidR="00BD0761">
        <w:t xml:space="preserve"> between funding rounds</w:t>
      </w:r>
      <w:r>
        <w:t>. If your application is successful, the version in place when you submitted your application applies to your project.</w:t>
      </w:r>
    </w:p>
    <w:p w14:paraId="577D4EFE" w14:textId="77777777" w:rsidR="00F22BCD" w:rsidRDefault="00F22BCD" w:rsidP="00F22BCD">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7D4C5850" w14:textId="77777777" w:rsidR="00F22BCD" w:rsidRDefault="00F22BCD" w:rsidP="00F22BCD">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Delegate </w:t>
      </w:r>
      <w:r w:rsidRPr="007E2F74">
        <w:t>(who is a manager within the department with responsibility for the program)</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74E4E06F" w14:textId="77777777" w:rsidR="00F22BCD" w:rsidRDefault="00F22BCD" w:rsidP="00F22BCD">
      <w:r>
        <w:t>You may elect to commence your project from the date we notify you that your application is successful.</w:t>
      </w:r>
      <w:r w:rsidRPr="001F2ED0">
        <w:t xml:space="preserve"> </w:t>
      </w:r>
      <w:r w:rsidRPr="00DF1F02">
        <w:t>We are not responsible for any expenditure</w:t>
      </w:r>
      <w:r>
        <w:t xml:space="preserve"> you </w:t>
      </w:r>
      <w:r w:rsidRPr="00DF1F02">
        <w:t xml:space="preserve">incur </w:t>
      </w:r>
      <w:proofErr w:type="gramStart"/>
      <w:r w:rsidRPr="00DF1F02">
        <w:t>until</w:t>
      </w:r>
      <w:r>
        <w:t xml:space="preserve"> such time as</w:t>
      </w:r>
      <w:proofErr w:type="gramEnd"/>
      <w:r>
        <w:t xml:space="preserve"> a grant agreement is </w:t>
      </w:r>
      <w:r w:rsidRPr="00DF1F02">
        <w:t>executed</w:t>
      </w:r>
      <w:r>
        <w:t xml:space="preserve">. The Commonwealth will not be liable, and </w:t>
      </w:r>
      <w:proofErr w:type="gramStart"/>
      <w:r>
        <w:t>should not be held out</w:t>
      </w:r>
      <w:proofErr w:type="gramEnd"/>
      <w:r>
        <w:t xml:space="preserve"> as being liable, for any activities undertaken before the grant agreement is executed.</w:t>
      </w:r>
    </w:p>
    <w:p w14:paraId="765A5873" w14:textId="77777777" w:rsidR="003B0BCC" w:rsidRDefault="003B0BCC" w:rsidP="003B0BCC">
      <w:r>
        <w:t>You are encouraged to provide opportunities for local procurement of goods, labour and services.</w:t>
      </w:r>
    </w:p>
    <w:p w14:paraId="0B82E768" w14:textId="77777777" w:rsidR="0039610D" w:rsidRPr="00747B26" w:rsidRDefault="0036055C" w:rsidP="00B400E6">
      <w:pPr>
        <w:pStyle w:val="Heading2"/>
      </w:pPr>
      <w:bookmarkStart w:id="214" w:name="_Toc955301"/>
      <w:bookmarkStart w:id="215" w:name="_Toc496536664"/>
      <w:bookmarkStart w:id="216" w:name="_Toc531277491"/>
      <w:bookmarkStart w:id="217" w:name="_Toc80185499"/>
      <w:bookmarkStart w:id="218" w:name="_Toc80180251"/>
      <w:bookmarkStart w:id="219" w:name="_Toc80190313"/>
      <w:bookmarkStart w:id="220" w:name="_Toc80190390"/>
      <w:bookmarkStart w:id="221" w:name="_Toc81229236"/>
      <w:bookmarkStart w:id="222" w:name="_Toc83047280"/>
      <w:bookmarkStart w:id="223" w:name="_Toc83722033"/>
      <w:bookmarkStart w:id="224" w:name="_Toc84398448"/>
      <w:bookmarkStart w:id="225" w:name="_Toc80870643"/>
      <w:bookmarkEnd w:id="211"/>
      <w:bookmarkEnd w:id="212"/>
      <w:bookmarkEnd w:id="213"/>
      <w:r>
        <w:t xml:space="preserve">The </w:t>
      </w:r>
      <w:r w:rsidR="00E93B21">
        <w:t>assessment</w:t>
      </w:r>
      <w:r w:rsidR="0053412C">
        <w:t xml:space="preserve"> </w:t>
      </w:r>
      <w:r>
        <w:t>criteria</w:t>
      </w:r>
      <w:bookmarkEnd w:id="214"/>
      <w:bookmarkEnd w:id="215"/>
      <w:bookmarkEnd w:id="216"/>
      <w:bookmarkEnd w:id="217"/>
      <w:bookmarkEnd w:id="218"/>
      <w:bookmarkEnd w:id="219"/>
      <w:bookmarkEnd w:id="220"/>
      <w:bookmarkEnd w:id="221"/>
      <w:bookmarkEnd w:id="222"/>
      <w:bookmarkEnd w:id="223"/>
      <w:bookmarkEnd w:id="224"/>
    </w:p>
    <w:bookmarkEnd w:id="225"/>
    <w:p w14:paraId="781744B6" w14:textId="6F288D37" w:rsidR="00BA67C9"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2EB95752"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1757C0BB" w14:textId="454EC570" w:rsidR="002D2DC7" w:rsidRDefault="002D2DC7" w:rsidP="0039610D">
      <w:r>
        <w:t xml:space="preserve">We will only </w:t>
      </w:r>
      <w:r w:rsidR="00284DC7">
        <w:t xml:space="preserve">consider funding </w:t>
      </w:r>
      <w:r>
        <w:t xml:space="preserve">applications that score </w:t>
      </w:r>
      <w:r w:rsidR="00284DC7">
        <w:t xml:space="preserve">at least </w:t>
      </w:r>
      <w:r w:rsidR="00D23423" w:rsidRPr="00D5014B">
        <w:t>60</w:t>
      </w:r>
      <w:r w:rsidR="00D23423">
        <w:t xml:space="preserve"> </w:t>
      </w:r>
      <w:r w:rsidR="00284DC7">
        <w:t xml:space="preserve">per cent against </w:t>
      </w:r>
      <w:r w:rsidR="001475D6">
        <w:t>assessment</w:t>
      </w:r>
      <w:r w:rsidR="00284DC7">
        <w:t xml:space="preserve"> criterion</w:t>
      </w:r>
      <w:r w:rsidR="006F7360">
        <w:t xml:space="preserve"> one</w:t>
      </w:r>
      <w:r w:rsidR="004B00A2">
        <w:t>, two and</w:t>
      </w:r>
      <w:r w:rsidR="006F7360">
        <w:t xml:space="preserve"> three</w:t>
      </w:r>
      <w:r w:rsidR="00BD20AF">
        <w:t xml:space="preserve">, as these represent best value for </w:t>
      </w:r>
      <w:r w:rsidR="00BD20AF" w:rsidRPr="004B00A2">
        <w:t>money</w:t>
      </w:r>
      <w:r w:rsidRPr="004B00A2">
        <w:t>.</w:t>
      </w:r>
      <w:r w:rsidR="00211FB3" w:rsidRPr="004B00A2">
        <w:t xml:space="preserve"> There is a maximum </w:t>
      </w:r>
      <w:r w:rsidR="0049519D" w:rsidRPr="004B00A2">
        <w:t>of 1</w:t>
      </w:r>
      <w:r w:rsidR="004C019F" w:rsidRPr="004B00A2">
        <w:t>20</w:t>
      </w:r>
      <w:r w:rsidR="0049519D" w:rsidRPr="004B00A2">
        <w:t xml:space="preserve"> points</w:t>
      </w:r>
      <w:r w:rsidR="004B00A2" w:rsidRPr="004B00A2">
        <w:t>.</w:t>
      </w:r>
    </w:p>
    <w:p w14:paraId="1C89748B" w14:textId="77777777" w:rsidR="000C1A7A" w:rsidRDefault="000C1A7A" w:rsidP="000C1A7A">
      <w:pPr>
        <w:pStyle w:val="Heading3"/>
        <w:ind w:left="0" w:firstLine="0"/>
      </w:pPr>
      <w:bookmarkStart w:id="226" w:name="_Toc83047281"/>
      <w:bookmarkStart w:id="227" w:name="_Toc83722034"/>
      <w:bookmarkStart w:id="228" w:name="_Toc84398449"/>
      <w:r>
        <w:t>Assessment criterion 1</w:t>
      </w:r>
      <w:bookmarkEnd w:id="226"/>
      <w:bookmarkEnd w:id="227"/>
      <w:bookmarkEnd w:id="228"/>
    </w:p>
    <w:p w14:paraId="6048AB39" w14:textId="0FABAF6B" w:rsidR="0039610D" w:rsidRDefault="005574F6" w:rsidP="000C1A7A">
      <w:pPr>
        <w:pStyle w:val="Normalbold"/>
      </w:pPr>
      <w:r w:rsidRPr="005574F6">
        <w:t xml:space="preserve">Project alignment with policy intent (program objectives/ outcomes) </w:t>
      </w:r>
      <w:r w:rsidR="00C60948">
        <w:t>(</w:t>
      </w:r>
      <w:r w:rsidR="004C019F">
        <w:t>50</w:t>
      </w:r>
      <w:r w:rsidR="003A484E">
        <w:t> </w:t>
      </w:r>
      <w:r w:rsidR="00C60948">
        <w:t>points)</w:t>
      </w:r>
    </w:p>
    <w:p w14:paraId="5EDD826C" w14:textId="111D8423" w:rsidR="00882B53" w:rsidRDefault="00882B53" w:rsidP="00882B53">
      <w:r>
        <w:t>You must demonstrate</w:t>
      </w:r>
      <w:r w:rsidR="005574F6">
        <w:t xml:space="preserve"> how your project</w:t>
      </w:r>
      <w:r>
        <w:t xml:space="preserve">: </w:t>
      </w:r>
    </w:p>
    <w:p w14:paraId="7B34C534" w14:textId="1C028781" w:rsidR="00D60288" w:rsidRDefault="00D60288" w:rsidP="005574F6">
      <w:pPr>
        <w:pStyle w:val="ListNumber2"/>
        <w:numPr>
          <w:ilvl w:val="0"/>
          <w:numId w:val="9"/>
        </w:numPr>
      </w:pPr>
      <w:bookmarkStart w:id="229" w:name="_Toc83047282"/>
      <w:bookmarkStart w:id="230" w:name="_Toc496536667"/>
      <w:r>
        <w:t>will support a community that is at increased risk of bushfire, tropical cyclone and/or flood due to climate change</w:t>
      </w:r>
    </w:p>
    <w:p w14:paraId="062B63A6" w14:textId="5A8BE77A" w:rsidR="005574F6" w:rsidRDefault="005574F6" w:rsidP="005574F6">
      <w:pPr>
        <w:pStyle w:val="ListNumber2"/>
        <w:numPr>
          <w:ilvl w:val="0"/>
          <w:numId w:val="9"/>
        </w:numPr>
      </w:pPr>
      <w:r>
        <w:t>reduces the risk</w:t>
      </w:r>
      <w:r w:rsidR="00E849E3">
        <w:t xml:space="preserve"> or increases the long term resilience </w:t>
      </w:r>
      <w:r>
        <w:t>of the community</w:t>
      </w:r>
      <w:r w:rsidR="007A4D87">
        <w:t xml:space="preserve"> </w:t>
      </w:r>
      <w:r w:rsidR="00E849E3">
        <w:t xml:space="preserve">against </w:t>
      </w:r>
      <w:r>
        <w:t>disruption/disaster</w:t>
      </w:r>
      <w:r w:rsidR="00E849E3">
        <w:t xml:space="preserve"> arising</w:t>
      </w:r>
      <w:r w:rsidR="007A4D87">
        <w:t xml:space="preserve"> from bushfire, tropical cyclone and/or flood</w:t>
      </w:r>
    </w:p>
    <w:p w14:paraId="499A7F17" w14:textId="4EA02F51" w:rsidR="005574F6" w:rsidRPr="004B00A2" w:rsidRDefault="005574F6" w:rsidP="005574F6">
      <w:pPr>
        <w:pStyle w:val="ListNumber2"/>
        <w:numPr>
          <w:ilvl w:val="0"/>
          <w:numId w:val="9"/>
        </w:numPr>
      </w:pPr>
      <w:proofErr w:type="gramStart"/>
      <w:r w:rsidRPr="004B00A2">
        <w:t>aligns</w:t>
      </w:r>
      <w:proofErr w:type="gramEnd"/>
      <w:r w:rsidRPr="004B00A2">
        <w:t xml:space="preserve"> with the objectives of the National Disaster Risk Reduction Framework</w:t>
      </w:r>
      <w:r w:rsidR="009C62BA">
        <w:t>.</w:t>
      </w:r>
    </w:p>
    <w:p w14:paraId="27332934" w14:textId="7C2AE5C3" w:rsidR="000C1A7A" w:rsidRDefault="000C1A7A" w:rsidP="005574F6">
      <w:pPr>
        <w:pStyle w:val="Heading3"/>
        <w:ind w:left="0" w:firstLine="0"/>
      </w:pPr>
      <w:bookmarkStart w:id="231" w:name="_Toc83722035"/>
      <w:bookmarkStart w:id="232" w:name="_Toc84398450"/>
      <w:r>
        <w:t>Assessment criterion 2</w:t>
      </w:r>
      <w:bookmarkEnd w:id="229"/>
      <w:bookmarkEnd w:id="231"/>
      <w:bookmarkEnd w:id="232"/>
    </w:p>
    <w:p w14:paraId="70C075CC" w14:textId="77777777" w:rsidR="001844D5" w:rsidRDefault="00C60948" w:rsidP="001844D5">
      <w:pPr>
        <w:pStyle w:val="Normalbold"/>
      </w:pPr>
      <w:r>
        <w:t>Capacity, capability and reso</w:t>
      </w:r>
      <w:r w:rsidR="00A31558">
        <w:t>urces to deliver the project (</w:t>
      </w:r>
      <w:r w:rsidR="00581CB9">
        <w:t xml:space="preserve">30 </w:t>
      </w:r>
      <w:r>
        <w:t>points)</w:t>
      </w:r>
    </w:p>
    <w:p w14:paraId="2273FF02" w14:textId="77777777" w:rsidR="001844D5" w:rsidRDefault="00C60948" w:rsidP="001844D5">
      <w:pPr>
        <w:pStyle w:val="ListNumber2"/>
        <w:numPr>
          <w:ilvl w:val="0"/>
          <w:numId w:val="0"/>
        </w:numPr>
      </w:pPr>
      <w:r>
        <w:t xml:space="preserve">You </w:t>
      </w:r>
      <w:r w:rsidR="009D7729">
        <w:t xml:space="preserve">must </w:t>
      </w:r>
      <w:r>
        <w:t>demonstrate this by:</w:t>
      </w:r>
    </w:p>
    <w:p w14:paraId="570AB8C8" w14:textId="64B92CA1" w:rsidR="00C60948" w:rsidRDefault="00A60702" w:rsidP="004B00A2">
      <w:pPr>
        <w:pStyle w:val="ListNumber2"/>
        <w:numPr>
          <w:ilvl w:val="0"/>
          <w:numId w:val="63"/>
        </w:numPr>
      </w:pPr>
      <w:bookmarkStart w:id="233" w:name="_Toc531277494"/>
      <w:bookmarkStart w:id="234" w:name="_Toc955304"/>
      <w:r>
        <w:t xml:space="preserve">proving </w:t>
      </w:r>
      <w:r w:rsidR="00C60948" w:rsidRPr="005C3F67">
        <w:t>your track record</w:t>
      </w:r>
      <w:r>
        <w:t xml:space="preserve">, and </w:t>
      </w:r>
      <w:r w:rsidR="005574F6">
        <w:t xml:space="preserve">your </w:t>
      </w:r>
      <w:r>
        <w:t>project partner</w:t>
      </w:r>
      <w:r w:rsidR="005574F6">
        <w:t>/s</w:t>
      </w:r>
      <w:r>
        <w:t xml:space="preserve"> track record (if you have project partners), to successfully </w:t>
      </w:r>
      <w:r w:rsidR="00475CF3">
        <w:t xml:space="preserve">manage </w:t>
      </w:r>
      <w:r w:rsidR="005574F6">
        <w:t xml:space="preserve">and deliver </w:t>
      </w:r>
      <w:r>
        <w:t>similar projects</w:t>
      </w:r>
      <w:r w:rsidR="00163334">
        <w:t xml:space="preserve"> (including project budget and scale)</w:t>
      </w:r>
    </w:p>
    <w:p w14:paraId="0D3D2B7C" w14:textId="1CDB388F" w:rsidR="009C324E" w:rsidRDefault="00C17941" w:rsidP="008E3620">
      <w:pPr>
        <w:pStyle w:val="ListNumber2"/>
        <w:numPr>
          <w:ilvl w:val="0"/>
          <w:numId w:val="9"/>
        </w:numPr>
      </w:pPr>
      <w:r>
        <w:t xml:space="preserve">outlining </w:t>
      </w:r>
      <w:r w:rsidR="00CE2A8B" w:rsidRPr="003C51B7">
        <w:t xml:space="preserve">your </w:t>
      </w:r>
      <w:r w:rsidR="007E6091">
        <w:t>plan</w:t>
      </w:r>
      <w:r w:rsidR="0006639A">
        <w:t xml:space="preserve"> for managing the </w:t>
      </w:r>
      <w:r w:rsidR="0006639A" w:rsidRPr="005C3F67">
        <w:t xml:space="preserve">project, </w:t>
      </w:r>
      <w:r w:rsidR="0006639A">
        <w:t>including</w:t>
      </w:r>
      <w:r w:rsidR="0006639A" w:rsidRPr="005C3F67">
        <w:t xml:space="preserve"> implementation met</w:t>
      </w:r>
      <w:r w:rsidR="00920EF0">
        <w:t xml:space="preserve">hodology, timeframes, </w:t>
      </w:r>
      <w:r w:rsidR="0006639A" w:rsidRPr="005C3F67">
        <w:t>risk</w:t>
      </w:r>
      <w:r w:rsidR="0006639A">
        <w:t xml:space="preserve"> management (including mitigation of risks associated with the current COVID-19 pandemic</w:t>
      </w:r>
      <w:r w:rsidR="0088420C">
        <w:t>)</w:t>
      </w:r>
      <w:r w:rsidR="00920EF0">
        <w:t xml:space="preserve">, and </w:t>
      </w:r>
      <w:r w:rsidR="003B51DC">
        <w:t>maintaining the benefits of you</w:t>
      </w:r>
      <w:r w:rsidR="00137421">
        <w:t>r</w:t>
      </w:r>
      <w:r w:rsidR="003B51DC">
        <w:t xml:space="preserve"> project beyond the program funding</w:t>
      </w:r>
    </w:p>
    <w:p w14:paraId="4D1FC26C" w14:textId="10778E12" w:rsidR="0006639A" w:rsidRDefault="007E6091" w:rsidP="009C324E">
      <w:pPr>
        <w:pStyle w:val="ListNumber2"/>
        <w:numPr>
          <w:ilvl w:val="0"/>
          <w:numId w:val="0"/>
        </w:numPr>
        <w:ind w:left="360"/>
      </w:pPr>
      <w:r>
        <w:t>A</w:t>
      </w:r>
      <w:r w:rsidR="0006639A" w:rsidRPr="00564A06">
        <w:t xml:space="preserve"> project plan</w:t>
      </w:r>
      <w:r w:rsidR="0006639A">
        <w:t xml:space="preserve"> </w:t>
      </w:r>
      <w:r w:rsidR="0006639A" w:rsidRPr="00564A06">
        <w:t>must be attached</w:t>
      </w:r>
      <w:r w:rsidR="0006639A">
        <w:t xml:space="preserve"> for projects with a grant amount over $100,000 (refer to 8.1.1 for guidance)</w:t>
      </w:r>
      <w:r w:rsidR="009C62BA">
        <w:t>.</w:t>
      </w:r>
    </w:p>
    <w:p w14:paraId="29419ED3" w14:textId="77777777" w:rsidR="000C1A7A" w:rsidRDefault="000C1A7A" w:rsidP="000C1A7A">
      <w:pPr>
        <w:pStyle w:val="Heading3"/>
        <w:ind w:left="0" w:firstLine="0"/>
      </w:pPr>
      <w:bookmarkStart w:id="235" w:name="_Toc83047283"/>
      <w:bookmarkStart w:id="236" w:name="_Toc83722036"/>
      <w:bookmarkStart w:id="237" w:name="_Toc84398451"/>
      <w:bookmarkEnd w:id="230"/>
      <w:bookmarkEnd w:id="233"/>
      <w:bookmarkEnd w:id="234"/>
      <w:r>
        <w:t>Assessment criterion 3</w:t>
      </w:r>
      <w:bookmarkEnd w:id="235"/>
      <w:bookmarkEnd w:id="236"/>
      <w:bookmarkEnd w:id="237"/>
    </w:p>
    <w:p w14:paraId="5576CA56" w14:textId="46717C59" w:rsidR="001844D5" w:rsidRDefault="00581CB9" w:rsidP="001844D5">
      <w:pPr>
        <w:pStyle w:val="Normalbold"/>
      </w:pPr>
      <w:r>
        <w:t xml:space="preserve">Community support and </w:t>
      </w:r>
      <w:r w:rsidR="00DE3ABB">
        <w:t>broader public benefit</w:t>
      </w:r>
      <w:r w:rsidR="00880D63">
        <w:t xml:space="preserve"> </w:t>
      </w:r>
      <w:r w:rsidR="001844D5">
        <w:t>(</w:t>
      </w:r>
      <w:r w:rsidR="004C019F">
        <w:t>20</w:t>
      </w:r>
      <w:r w:rsidR="001844D5" w:rsidDel="007D667D">
        <w:t xml:space="preserve"> </w:t>
      </w:r>
      <w:r w:rsidR="001844D5">
        <w:t>points)</w:t>
      </w:r>
      <w:r w:rsidR="001844D5" w:rsidRPr="00E162FF">
        <w:t>.</w:t>
      </w:r>
    </w:p>
    <w:p w14:paraId="493D333D" w14:textId="77777777" w:rsidR="001844D5" w:rsidRDefault="00CE2A8B" w:rsidP="001844D5">
      <w:pPr>
        <w:pStyle w:val="ListNumber2"/>
        <w:numPr>
          <w:ilvl w:val="0"/>
          <w:numId w:val="0"/>
        </w:numPr>
      </w:pPr>
      <w:r>
        <w:t xml:space="preserve">You </w:t>
      </w:r>
      <w:r w:rsidR="009D7729">
        <w:t xml:space="preserve">must </w:t>
      </w:r>
      <w:r>
        <w:t>demonstrate this by identifying:</w:t>
      </w:r>
    </w:p>
    <w:p w14:paraId="6F8484C4" w14:textId="273A9FDC" w:rsidR="00920EF0" w:rsidRDefault="00163334" w:rsidP="00920EF0">
      <w:pPr>
        <w:pStyle w:val="ListNumber2"/>
        <w:numPr>
          <w:ilvl w:val="0"/>
          <w:numId w:val="60"/>
        </w:numPr>
      </w:pPr>
      <w:bookmarkStart w:id="238" w:name="_Toc496536669"/>
      <w:bookmarkStart w:id="239" w:name="_Toc531277496"/>
      <w:bookmarkStart w:id="240" w:name="_Toc955306"/>
      <w:bookmarkStart w:id="241" w:name="_Toc80180255"/>
      <w:bookmarkStart w:id="242" w:name="_Toc80185503"/>
      <w:bookmarkStart w:id="243" w:name="_Toc80190317"/>
      <w:bookmarkStart w:id="244" w:name="_Toc80190394"/>
      <w:bookmarkStart w:id="245" w:name="_Toc164844283"/>
      <w:bookmarkStart w:id="246" w:name="_Toc383003272"/>
      <w:bookmarkEnd w:id="155"/>
      <w:bookmarkEnd w:id="156"/>
      <w:r>
        <w:t xml:space="preserve">evidence of </w:t>
      </w:r>
      <w:r w:rsidR="00A9562B" w:rsidRPr="00D5291B">
        <w:t>community support for your project</w:t>
      </w:r>
      <w:r w:rsidR="00210F88">
        <w:t>, including any contributions to the project</w:t>
      </w:r>
    </w:p>
    <w:p w14:paraId="0F904D40" w14:textId="1F8E00A1" w:rsidR="00920EF0" w:rsidRDefault="00920EF0" w:rsidP="00920EF0">
      <w:pPr>
        <w:pStyle w:val="ListNumber2"/>
        <w:numPr>
          <w:ilvl w:val="0"/>
          <w:numId w:val="9"/>
        </w:numPr>
      </w:pPr>
      <w:proofErr w:type="gramStart"/>
      <w:r w:rsidRPr="00920EF0">
        <w:t>the</w:t>
      </w:r>
      <w:proofErr w:type="gramEnd"/>
      <w:r w:rsidRPr="00920EF0">
        <w:t xml:space="preserve"> broade</w:t>
      </w:r>
      <w:r>
        <w:t xml:space="preserve">r public benefits that your </w:t>
      </w:r>
      <w:r w:rsidRPr="00920EF0">
        <w:t xml:space="preserve">project will deliver for </w:t>
      </w:r>
      <w:r w:rsidR="00425B06">
        <w:t xml:space="preserve">the </w:t>
      </w:r>
      <w:r w:rsidRPr="00920EF0">
        <w:t>region and community, including how the project supports the needs of group(s) within communities who are at greater risk</w:t>
      </w:r>
      <w:r w:rsidR="009C62BA">
        <w:t>.</w:t>
      </w:r>
    </w:p>
    <w:p w14:paraId="30C10861" w14:textId="7FD42F3D" w:rsidR="00C34596" w:rsidRDefault="00C34596" w:rsidP="00C34596">
      <w:pPr>
        <w:pStyle w:val="Heading3"/>
        <w:ind w:left="0" w:firstLine="0"/>
      </w:pPr>
      <w:bookmarkStart w:id="247" w:name="_Toc83722037"/>
      <w:bookmarkStart w:id="248" w:name="_Toc84398452"/>
      <w:r>
        <w:t>Assessment criterion 4</w:t>
      </w:r>
      <w:bookmarkEnd w:id="247"/>
      <w:bookmarkEnd w:id="248"/>
    </w:p>
    <w:p w14:paraId="0A252FE0" w14:textId="3086B875" w:rsidR="00C34596" w:rsidRDefault="008101A4" w:rsidP="00C34596">
      <w:pPr>
        <w:pStyle w:val="ListNumber2"/>
        <w:numPr>
          <w:ilvl w:val="0"/>
          <w:numId w:val="0"/>
        </w:numPr>
        <w:rPr>
          <w:b/>
        </w:rPr>
      </w:pPr>
      <w:r>
        <w:rPr>
          <w:b/>
        </w:rPr>
        <w:t>P</w:t>
      </w:r>
      <w:r w:rsidR="00C34596">
        <w:rPr>
          <w:b/>
        </w:rPr>
        <w:t xml:space="preserve">riority </w:t>
      </w:r>
      <w:r w:rsidR="008E3176">
        <w:rPr>
          <w:b/>
        </w:rPr>
        <w:t>locations</w:t>
      </w:r>
      <w:r w:rsidR="00C34596">
        <w:rPr>
          <w:b/>
        </w:rPr>
        <w:t xml:space="preserve"> (</w:t>
      </w:r>
      <w:r w:rsidR="004C019F">
        <w:rPr>
          <w:b/>
        </w:rPr>
        <w:t>20</w:t>
      </w:r>
      <w:r w:rsidR="00C34596">
        <w:rPr>
          <w:b/>
        </w:rPr>
        <w:t xml:space="preserve"> points)</w:t>
      </w:r>
    </w:p>
    <w:p w14:paraId="018C301F" w14:textId="13C92CBB" w:rsidR="00920EF0" w:rsidRPr="00920EF0" w:rsidRDefault="00920EF0" w:rsidP="00C34596">
      <w:pPr>
        <w:pStyle w:val="ListNumber2"/>
        <w:numPr>
          <w:ilvl w:val="0"/>
          <w:numId w:val="0"/>
        </w:numPr>
      </w:pPr>
      <w:r>
        <w:t xml:space="preserve">Applications for projects </w:t>
      </w:r>
      <w:r w:rsidR="00425B06">
        <w:t xml:space="preserve">that address the hazard risks </w:t>
      </w:r>
      <w:r>
        <w:t xml:space="preserve">in </w:t>
      </w:r>
      <w:r w:rsidR="00425B06">
        <w:t>the selected LGAs</w:t>
      </w:r>
      <w:r w:rsidDel="00E966B7">
        <w:t xml:space="preserve"> </w:t>
      </w:r>
      <w:r>
        <w:t>identified in Appendix</w:t>
      </w:r>
      <w:r w:rsidR="00DD7096">
        <w:t> </w:t>
      </w:r>
      <w:r>
        <w:t xml:space="preserve">A </w:t>
      </w:r>
      <w:proofErr w:type="gramStart"/>
      <w:r>
        <w:t>will be awarded</w:t>
      </w:r>
      <w:proofErr w:type="gramEnd"/>
      <w:r>
        <w:t xml:space="preserve"> an additional </w:t>
      </w:r>
      <w:r w:rsidR="004C019F">
        <w:t>20</w:t>
      </w:r>
      <w:r>
        <w:t xml:space="preserve"> points</w:t>
      </w:r>
      <w:r w:rsidR="002B4085">
        <w:t>. You can only receive a maximum of 20 additional points per application</w:t>
      </w:r>
      <w:r>
        <w:t xml:space="preserve">. </w:t>
      </w:r>
    </w:p>
    <w:p w14:paraId="5EDE702D" w14:textId="77777777" w:rsidR="00A71134" w:rsidRPr="00F77C1C" w:rsidRDefault="00A71134" w:rsidP="00B400E6">
      <w:pPr>
        <w:pStyle w:val="Heading2"/>
      </w:pPr>
      <w:bookmarkStart w:id="249" w:name="_Toc80870647"/>
      <w:bookmarkStart w:id="250" w:name="_Toc81229240"/>
      <w:bookmarkStart w:id="251" w:name="_Toc83047284"/>
      <w:bookmarkStart w:id="252" w:name="_Toc83722038"/>
      <w:bookmarkStart w:id="253" w:name="_Toc84398453"/>
      <w:r>
        <w:t>How to apply</w:t>
      </w:r>
      <w:bookmarkEnd w:id="238"/>
      <w:bookmarkEnd w:id="239"/>
      <w:bookmarkEnd w:id="240"/>
      <w:bookmarkEnd w:id="241"/>
      <w:bookmarkEnd w:id="242"/>
      <w:bookmarkEnd w:id="243"/>
      <w:bookmarkEnd w:id="244"/>
      <w:bookmarkEnd w:id="249"/>
      <w:bookmarkEnd w:id="250"/>
      <w:bookmarkEnd w:id="251"/>
      <w:bookmarkEnd w:id="252"/>
      <w:bookmarkEnd w:id="253"/>
    </w:p>
    <w:p w14:paraId="16825527" w14:textId="051DC745"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30" w:anchor="key-documents" w:history="1">
        <w:r w:rsidRPr="00DF6CC3">
          <w:rPr>
            <w:rStyle w:val="Hyperlink"/>
          </w:rPr>
          <w:t>application form</w:t>
        </w:r>
      </w:hyperlink>
      <w:r>
        <w:t xml:space="preserve"> and the </w:t>
      </w:r>
      <w:r w:rsidR="00F27C1B">
        <w:t xml:space="preserve">sample </w:t>
      </w:r>
      <w:hyperlink r:id="rId31" w:anchor="key-documents" w:history="1">
        <w:r w:rsidRPr="00DF6CC3">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p>
    <w:p w14:paraId="210974BD" w14:textId="77777777" w:rsidR="00247D27" w:rsidRPr="00B72EE8" w:rsidRDefault="00A71134" w:rsidP="00247D27">
      <w:r>
        <w:t>You can only submit an application during a</w:t>
      </w:r>
      <w:r w:rsidRPr="00E162FF">
        <w:t xml:space="preserve"> funding round</w:t>
      </w:r>
      <w:r w:rsidR="00C65E74">
        <w:t>.</w:t>
      </w:r>
    </w:p>
    <w:p w14:paraId="02D039A6" w14:textId="77777777" w:rsidR="00A71134" w:rsidRDefault="00B20351" w:rsidP="00760D2E">
      <w:pPr>
        <w:keepNext/>
        <w:spacing w:after="80"/>
      </w:pPr>
      <w:r>
        <w:t>To apply, you must</w:t>
      </w:r>
      <w:r w:rsidR="00B6306B">
        <w:t>:</w:t>
      </w:r>
    </w:p>
    <w:p w14:paraId="0940579F" w14:textId="4DE57C34" w:rsidR="00A71134" w:rsidRDefault="00A71134" w:rsidP="00A71134">
      <w:pPr>
        <w:pStyle w:val="ListBullet"/>
      </w:pPr>
      <w:r>
        <w:t>complete</w:t>
      </w:r>
      <w:r w:rsidRPr="00E162FF">
        <w:t xml:space="preserve"> the </w:t>
      </w:r>
      <w:r>
        <w:t xml:space="preserve">online </w:t>
      </w:r>
      <w:hyperlink r:id="rId32" w:anchor="key-documents" w:history="1">
        <w:r w:rsidR="00284DC7">
          <w:rPr>
            <w:rStyle w:val="Hyperlink"/>
          </w:rPr>
          <w:t>application form</w:t>
        </w:r>
      </w:hyperlink>
      <w:r w:rsidRPr="00E162FF">
        <w:t xml:space="preserve"> </w:t>
      </w:r>
      <w:r w:rsidR="001475D6">
        <w:t xml:space="preserve">via </w:t>
      </w:r>
      <w:r w:rsidRPr="00FD7B9F">
        <w:t>business.gov.au</w:t>
      </w:r>
    </w:p>
    <w:p w14:paraId="046E18BA" w14:textId="77777777" w:rsidR="00A71134" w:rsidRDefault="00A71134" w:rsidP="00A71134">
      <w:pPr>
        <w:pStyle w:val="ListBullet"/>
      </w:pPr>
      <w:r>
        <w:t>provide all the</w:t>
      </w:r>
      <w:r w:rsidRPr="00E162FF">
        <w:t xml:space="preserve"> information </w:t>
      </w:r>
      <w:r w:rsidR="00A50607">
        <w:t>requested</w:t>
      </w:r>
      <w:r>
        <w:t xml:space="preserve"> </w:t>
      </w:r>
    </w:p>
    <w:p w14:paraId="0EB75741" w14:textId="77777777" w:rsidR="00A71134" w:rsidRDefault="00A71134" w:rsidP="00A71134">
      <w:pPr>
        <w:pStyle w:val="ListBullet"/>
      </w:pPr>
      <w:r>
        <w:t xml:space="preserve">address all eligibility and </w:t>
      </w:r>
      <w:r w:rsidR="001475D6">
        <w:t>assessment</w:t>
      </w:r>
      <w:r>
        <w:t xml:space="preserve"> criteria </w:t>
      </w:r>
    </w:p>
    <w:p w14:paraId="2A9B0BF8" w14:textId="5033446D"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276616">
        <w:t>.</w:t>
      </w:r>
    </w:p>
    <w:p w14:paraId="1926F440" w14:textId="77777777" w:rsidR="00A71134" w:rsidRDefault="001475D6" w:rsidP="00A71134">
      <w:r>
        <w:t>You can view and print a copy of your submitted application on the portal for your own records.</w:t>
      </w:r>
    </w:p>
    <w:p w14:paraId="0674F5D9"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50083AF5"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66CA9A86"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596F880" w14:textId="77777777" w:rsidR="000C1A7A" w:rsidRDefault="000C1A7A" w:rsidP="000C1A7A">
      <w:pPr>
        <w:pStyle w:val="Heading3"/>
        <w:ind w:left="0" w:firstLine="0"/>
      </w:pPr>
      <w:bookmarkStart w:id="254" w:name="_Toc83047285"/>
      <w:bookmarkStart w:id="255" w:name="_Toc83722039"/>
      <w:bookmarkStart w:id="256" w:name="_Toc84398454"/>
      <w:r>
        <w:t>Project plan</w:t>
      </w:r>
      <w:bookmarkEnd w:id="254"/>
      <w:bookmarkEnd w:id="255"/>
      <w:bookmarkEnd w:id="256"/>
    </w:p>
    <w:p w14:paraId="0BC7F69C" w14:textId="6D10BF58" w:rsidR="00443D4F" w:rsidRDefault="00AD109D" w:rsidP="00443D4F">
      <w:r>
        <w:t>A p</w:t>
      </w:r>
      <w:r w:rsidR="00443D4F">
        <w:t xml:space="preserve">roject plan is </w:t>
      </w:r>
      <w:r w:rsidR="00E966B7">
        <w:t xml:space="preserve">mandatory </w:t>
      </w:r>
      <w:r w:rsidR="00443D4F">
        <w:t>for</w:t>
      </w:r>
      <w:r w:rsidR="00094ED4">
        <w:t xml:space="preserve"> </w:t>
      </w:r>
      <w:r w:rsidR="00443D4F">
        <w:t xml:space="preserve">applications </w:t>
      </w:r>
      <w:r>
        <w:t xml:space="preserve">seeking </w:t>
      </w:r>
      <w:r w:rsidR="00443D4F">
        <w:t xml:space="preserve">a </w:t>
      </w:r>
      <w:r w:rsidR="00443D4F" w:rsidRPr="006A42E1">
        <w:t>grant amount over $100,000.</w:t>
      </w:r>
    </w:p>
    <w:p w14:paraId="2854D223" w14:textId="33A6041A" w:rsidR="0059249F" w:rsidRPr="005E2159" w:rsidRDefault="0059249F" w:rsidP="00443D4F">
      <w:r>
        <w:t>The amount of detail and supporting evidence you provide in your project plan 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p>
    <w:p w14:paraId="114C6351" w14:textId="442F80DD" w:rsidR="00443D4F" w:rsidRDefault="00443D4F" w:rsidP="00443D4F">
      <w:r>
        <w:t>Your project plan should contain the following in order to be competitive:</w:t>
      </w:r>
    </w:p>
    <w:p w14:paraId="3A8AC715" w14:textId="77777777" w:rsidR="00443D4F" w:rsidRPr="001E6D5A" w:rsidRDefault="00443D4F" w:rsidP="00443D4F">
      <w:pPr>
        <w:pStyle w:val="ListBullet"/>
      </w:pPr>
      <w:r w:rsidRPr="005B7D15">
        <w:t xml:space="preserve">a summary of your project including key objectives and outcomes </w:t>
      </w:r>
    </w:p>
    <w:p w14:paraId="7904545B" w14:textId="77777777" w:rsidR="00443D4F" w:rsidRPr="001E6D5A" w:rsidRDefault="00443D4F" w:rsidP="00443D4F">
      <w:pPr>
        <w:pStyle w:val="ListBullet"/>
      </w:pPr>
      <w:r w:rsidRPr="005B7D15">
        <w:t>a background of your organisation and your key management staff</w:t>
      </w:r>
      <w:r w:rsidR="00AD109D">
        <w:t xml:space="preserve"> </w:t>
      </w:r>
    </w:p>
    <w:p w14:paraId="36251E32" w14:textId="77777777" w:rsidR="00443D4F" w:rsidRPr="001E6D5A" w:rsidRDefault="00443D4F" w:rsidP="00443D4F">
      <w:pPr>
        <w:pStyle w:val="ListBullet"/>
      </w:pPr>
      <w:r w:rsidRPr="005B7D15">
        <w:t xml:space="preserve">scope of the project and overview of project activities, including milestones </w:t>
      </w:r>
    </w:p>
    <w:p w14:paraId="490436CF" w14:textId="77777777" w:rsidR="00443D4F" w:rsidRPr="001E6D5A" w:rsidRDefault="00443D4F" w:rsidP="00443D4F">
      <w:pPr>
        <w:pStyle w:val="ListBullet"/>
      </w:pPr>
      <w:r w:rsidRPr="005B7D15">
        <w:t>proj</w:t>
      </w:r>
      <w:r w:rsidRPr="00D3796A">
        <w:t xml:space="preserve">ect timeline </w:t>
      </w:r>
    </w:p>
    <w:p w14:paraId="41B78A73" w14:textId="77777777" w:rsidR="00443D4F" w:rsidRPr="001E6D5A" w:rsidRDefault="00443D4F" w:rsidP="00443D4F">
      <w:pPr>
        <w:pStyle w:val="ListBullet"/>
      </w:pPr>
      <w:r w:rsidRPr="005B7D15">
        <w:t xml:space="preserve">a breakdown of roles and responsibilities </w:t>
      </w:r>
    </w:p>
    <w:p w14:paraId="39474328" w14:textId="77777777" w:rsidR="00443D4F" w:rsidRDefault="00443D4F" w:rsidP="00443D4F">
      <w:pPr>
        <w:pStyle w:val="ListBullet"/>
      </w:pPr>
      <w:r w:rsidRPr="005B7D15">
        <w:t>a communication plan identifying key stakeholders</w:t>
      </w:r>
    </w:p>
    <w:p w14:paraId="7DE82627" w14:textId="77777777" w:rsidR="00443D4F" w:rsidRPr="00443D4F" w:rsidRDefault="00443D4F" w:rsidP="00ED0B9D">
      <w:pPr>
        <w:pStyle w:val="ListBullet"/>
      </w:pPr>
      <w:proofErr w:type="gramStart"/>
      <w:r w:rsidRPr="001E6D5A">
        <w:rPr>
          <w:iCs/>
        </w:rPr>
        <w:t>a</w:t>
      </w:r>
      <w:proofErr w:type="gramEnd"/>
      <w:r w:rsidRPr="001E6D5A">
        <w:rPr>
          <w:iCs/>
        </w:rPr>
        <w:t xml:space="preserve"> risk management framework identifying risks, impact</w:t>
      </w:r>
      <w:r>
        <w:rPr>
          <w:iCs/>
        </w:rPr>
        <w:t>s</w:t>
      </w:r>
      <w:r w:rsidRPr="001E6D5A">
        <w:rPr>
          <w:iCs/>
        </w:rPr>
        <w:t xml:space="preserve"> and mitigation strategies</w:t>
      </w:r>
      <w:r w:rsidRPr="00D3796A">
        <w:t>.</w:t>
      </w:r>
      <w:r w:rsidRPr="005A5D74">
        <w:t xml:space="preserve"> </w:t>
      </w:r>
    </w:p>
    <w:p w14:paraId="4E0C9117" w14:textId="77777777" w:rsidR="000C1A7A" w:rsidRDefault="000C1A7A" w:rsidP="000C1A7A">
      <w:pPr>
        <w:pStyle w:val="Heading3"/>
        <w:ind w:left="0" w:firstLine="0"/>
      </w:pPr>
      <w:bookmarkStart w:id="257" w:name="_Toc83047286"/>
      <w:bookmarkStart w:id="258" w:name="_Toc83722040"/>
      <w:bookmarkStart w:id="259" w:name="_Toc84398455"/>
      <w:r>
        <w:t>Attachments to the application</w:t>
      </w:r>
      <w:bookmarkEnd w:id="257"/>
      <w:bookmarkEnd w:id="258"/>
      <w:bookmarkEnd w:id="259"/>
    </w:p>
    <w:p w14:paraId="532700FC"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D6F6610" w14:textId="77777777" w:rsidR="00A71134" w:rsidRDefault="00A71134" w:rsidP="00A71134">
      <w:pPr>
        <w:pStyle w:val="ListBullet"/>
        <w:numPr>
          <w:ilvl w:val="0"/>
          <w:numId w:val="7"/>
        </w:numPr>
      </w:pPr>
      <w:r>
        <w:t>project plan</w:t>
      </w:r>
      <w:r w:rsidR="005963CE">
        <w:t xml:space="preserve"> to support assessment criterion 2</w:t>
      </w:r>
      <w:r w:rsidR="005E2159">
        <w:t xml:space="preserve"> (projects with a grant amount over $100,000)</w:t>
      </w:r>
    </w:p>
    <w:p w14:paraId="7BD5BEA9" w14:textId="77777777" w:rsidR="005963CE" w:rsidRDefault="005963CE" w:rsidP="00A31558">
      <w:pPr>
        <w:pStyle w:val="ListBullet"/>
      </w:pPr>
      <w:r>
        <w:t>for joint applications, a letter of support from each of the project partners</w:t>
      </w:r>
    </w:p>
    <w:p w14:paraId="72F88EA3" w14:textId="77777777" w:rsidR="006B3294" w:rsidRPr="00B50AF6" w:rsidRDefault="006B3294" w:rsidP="006B3294">
      <w:pPr>
        <w:pStyle w:val="ListBullet"/>
        <w:rPr>
          <w:b/>
          <w:color w:val="4F6228" w:themeColor="accent3" w:themeShade="80"/>
        </w:rPr>
      </w:pPr>
      <w:r>
        <w:t xml:space="preserve">evidence of how you will provide your share of project costs: </w:t>
      </w:r>
    </w:p>
    <w:p w14:paraId="4484EE10" w14:textId="40E4BCC3" w:rsidR="006B3294" w:rsidRPr="00F536D3" w:rsidRDefault="006B3294" w:rsidP="00F536D3">
      <w:pPr>
        <w:pStyle w:val="ListBullet"/>
        <w:numPr>
          <w:ilvl w:val="1"/>
          <w:numId w:val="10"/>
        </w:numPr>
      </w:pPr>
      <w:proofErr w:type="gramStart"/>
      <w:r w:rsidRPr="00F536D3">
        <w:t>if</w:t>
      </w:r>
      <w:proofErr w:type="gramEnd"/>
      <w:r w:rsidRPr="00F536D3">
        <w:t xml:space="preserve"> you will be making a cash</w:t>
      </w:r>
      <w:r w:rsidR="00207131">
        <w:t>/in-kind</w:t>
      </w:r>
      <w:r w:rsidRPr="00F536D3">
        <w:t xml:space="preserve"> contribution to the project you must use the Accountant Declaration form available on </w:t>
      </w:r>
      <w:hyperlink r:id="rId34" w:history="1">
        <w:r w:rsidRPr="00F536D3">
          <w:rPr>
            <w:rStyle w:val="Hyperlink"/>
            <w:color w:val="auto"/>
            <w:u w:val="none"/>
          </w:rPr>
          <w:t>business.gov.au</w:t>
        </w:r>
      </w:hyperlink>
      <w:r w:rsidRPr="00F536D3">
        <w:t xml:space="preserve"> and </w:t>
      </w:r>
      <w:proofErr w:type="spellStart"/>
      <w:r w:rsidRPr="00F536D3">
        <w:t>GrantConnect</w:t>
      </w:r>
      <w:proofErr w:type="spellEnd"/>
      <w:r w:rsidRPr="00F536D3">
        <w:t>. If you do not use this template, you must include equivalent information and the declaration in your own document</w:t>
      </w:r>
    </w:p>
    <w:p w14:paraId="3AADB68D" w14:textId="4BA598A5" w:rsidR="006B3294" w:rsidRPr="00F536D3" w:rsidRDefault="006B3294" w:rsidP="00F536D3">
      <w:pPr>
        <w:pStyle w:val="ListBullet"/>
        <w:numPr>
          <w:ilvl w:val="1"/>
          <w:numId w:val="10"/>
        </w:numPr>
      </w:pPr>
      <w:r w:rsidRPr="00F536D3">
        <w:t>if your project will receive cash</w:t>
      </w:r>
      <w:r w:rsidR="00207131">
        <w:t>/in-kind</w:t>
      </w:r>
      <w:r w:rsidRPr="00F536D3">
        <w:t xml:space="preserve"> contributions from other sources, you must provide formal documentation confirming the cash</w:t>
      </w:r>
      <w:r w:rsidR="001A01C0">
        <w:t>/in-kind</w:t>
      </w:r>
      <w:r w:rsidRPr="00F536D3">
        <w:t xml:space="preserve"> contributions from those sources (e.g. state government) such as a commercial finance agreement or letter of offer with your application</w:t>
      </w:r>
    </w:p>
    <w:p w14:paraId="354117CA" w14:textId="5513E003" w:rsidR="00A71134" w:rsidRDefault="00195532" w:rsidP="00007E4B">
      <w:pPr>
        <w:pStyle w:val="ListBullet"/>
        <w:spacing w:after="120"/>
      </w:pPr>
      <w:r>
        <w:t>if applying as an incorporated association or not for profit organisation and you do not have an active state or territory incorporated association registration or ACNC registration at the time of application, you must provide Constitutional documents and/or Articles of Association that demonstrate the character of the organisation</w:t>
      </w:r>
      <w:r w:rsidR="00731574">
        <w:t xml:space="preserve"> (where applicable)</w:t>
      </w:r>
      <w:r w:rsidR="005A61FE" w:rsidRPr="005A61FE">
        <w:t>.</w:t>
      </w:r>
    </w:p>
    <w:p w14:paraId="1D3A6EAF"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5B5024B" w14:textId="77777777" w:rsidR="000C1A7A" w:rsidRDefault="000C1A7A" w:rsidP="000C1A7A">
      <w:pPr>
        <w:pStyle w:val="Heading3"/>
        <w:ind w:left="0" w:firstLine="0"/>
      </w:pPr>
      <w:bookmarkStart w:id="260" w:name="_Toc83047287"/>
      <w:bookmarkStart w:id="261" w:name="_Toc83722041"/>
      <w:bookmarkStart w:id="262" w:name="_Toc84398456"/>
      <w:bookmarkStart w:id="263" w:name="_Toc489952689"/>
      <w:bookmarkStart w:id="264" w:name="_Toc496536671"/>
      <w:bookmarkStart w:id="265" w:name="_Ref482605332"/>
      <w:r>
        <w:t>Joint applications</w:t>
      </w:r>
      <w:bookmarkEnd w:id="260"/>
      <w:bookmarkEnd w:id="261"/>
      <w:bookmarkEnd w:id="262"/>
    </w:p>
    <w:p w14:paraId="6C25E577" w14:textId="77777777" w:rsidR="00A71134" w:rsidRDefault="00A71134" w:rsidP="00760D2E">
      <w:pPr>
        <w:spacing w:after="80"/>
      </w:pPr>
      <w:r>
        <w:t xml:space="preserve">We recognise that some organisations may want to join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04E0E77E" w14:textId="77777777" w:rsidR="00A71134" w:rsidRDefault="00A71134" w:rsidP="00653895">
      <w:pPr>
        <w:pStyle w:val="ListBullet"/>
      </w:pPr>
      <w:r>
        <w:t xml:space="preserve">details of the </w:t>
      </w:r>
      <w:r w:rsidR="002866EB">
        <w:t xml:space="preserve">project </w:t>
      </w:r>
      <w:r w:rsidR="0014016C">
        <w:t>partner</w:t>
      </w:r>
    </w:p>
    <w:p w14:paraId="431D778F"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5C8077EC"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478583CF"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681E6554" w14:textId="77777777"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71222C24" w14:textId="4025D108" w:rsidR="007F7294" w:rsidRPr="005A61FE" w:rsidRDefault="00DF1A74" w:rsidP="007F7294">
      <w:r>
        <w:t>You must have a formal arrangement in place with all parties</w:t>
      </w:r>
      <w:r w:rsidR="007F7294" w:rsidRPr="005A61FE">
        <w:t xml:space="preserve"> prior to execution of the grant </w:t>
      </w:r>
      <w:r w:rsidR="00094ED4" w:rsidRPr="005A61FE">
        <w:t>agreement</w:t>
      </w:r>
      <w:r w:rsidR="0049519D">
        <w:t>.</w:t>
      </w:r>
    </w:p>
    <w:p w14:paraId="0DB2D32C" w14:textId="1F2DC4FF" w:rsidR="00247D27" w:rsidRDefault="00247D27" w:rsidP="000765F5">
      <w:pPr>
        <w:pStyle w:val="Heading3"/>
        <w:ind w:left="0" w:firstLine="0"/>
      </w:pPr>
      <w:bookmarkStart w:id="266" w:name="_Toc83047288"/>
      <w:bookmarkStart w:id="267" w:name="_Toc83722042"/>
      <w:bookmarkStart w:id="268" w:name="_Toc84398457"/>
      <w:r>
        <w:t>Timing of grant opportunity</w:t>
      </w:r>
      <w:bookmarkEnd w:id="263"/>
      <w:bookmarkEnd w:id="264"/>
      <w:bookmarkEnd w:id="266"/>
      <w:bookmarkEnd w:id="267"/>
      <w:bookmarkEnd w:id="268"/>
    </w:p>
    <w:p w14:paraId="0DC17CBB" w14:textId="77777777" w:rsidR="00A16446" w:rsidRDefault="00247D27" w:rsidP="00A16446">
      <w:r>
        <w:t>You can only submit an application between the published opening and closing dates. We cannot accept late applications.</w:t>
      </w:r>
      <w:r w:rsidR="008E5C07" w:rsidRPr="005A61FE" w:rsidDel="008E5C07">
        <w:t xml:space="preserve"> </w:t>
      </w:r>
    </w:p>
    <w:p w14:paraId="52DAD751" w14:textId="2FA01BEA" w:rsidR="00247D27" w:rsidRDefault="00247D27" w:rsidP="00A16446">
      <w:r>
        <w:t>If you are successful</w:t>
      </w:r>
      <w:r w:rsidR="00AD109D">
        <w:t>,</w:t>
      </w:r>
      <w:r>
        <w:t xml:space="preserve"> we expect you will be able to commence your </w:t>
      </w:r>
      <w:r w:rsidRPr="00D5014B">
        <w:t xml:space="preserve">project around </w:t>
      </w:r>
      <w:r w:rsidR="007E6091">
        <w:t xml:space="preserve">May </w:t>
      </w:r>
      <w:r w:rsidR="004A0559" w:rsidRPr="00D5014B">
        <w:t>2022</w:t>
      </w:r>
      <w:r w:rsidRPr="00D5014B">
        <w:t>.</w:t>
      </w:r>
    </w:p>
    <w:p w14:paraId="30831FE9" w14:textId="77777777" w:rsidR="00247D27" w:rsidRDefault="00247D27" w:rsidP="00680B92">
      <w:pPr>
        <w:pStyle w:val="Caption"/>
        <w:keepNext/>
      </w:pPr>
      <w:bookmarkStart w:id="269" w:name="_Toc467773968"/>
      <w:r w:rsidRPr="0054078D">
        <w:rPr>
          <w:bCs/>
        </w:rPr>
        <w:t>Table 1: Expected timing for this grant opportunity</w:t>
      </w:r>
      <w:bookmarkEnd w:id="26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3425C99D" w14:textId="77777777" w:rsidTr="001432F9">
        <w:trPr>
          <w:cantSplit/>
          <w:tblHeader/>
        </w:trPr>
        <w:tc>
          <w:tcPr>
            <w:tcW w:w="4815" w:type="dxa"/>
            <w:shd w:val="clear" w:color="auto" w:fill="264F90"/>
          </w:tcPr>
          <w:p w14:paraId="316BED2F"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476FF1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41F036A4" w14:textId="77777777" w:rsidTr="001432F9">
        <w:trPr>
          <w:cantSplit/>
        </w:trPr>
        <w:tc>
          <w:tcPr>
            <w:tcW w:w="4815" w:type="dxa"/>
          </w:tcPr>
          <w:p w14:paraId="28B449DA" w14:textId="77777777" w:rsidR="00247D27" w:rsidRPr="00B16B54" w:rsidRDefault="00247D27" w:rsidP="00680B92">
            <w:pPr>
              <w:pStyle w:val="TableText"/>
              <w:keepNext/>
            </w:pPr>
            <w:r w:rsidRPr="00B16B54">
              <w:t>Assessment of applications</w:t>
            </w:r>
          </w:p>
        </w:tc>
        <w:tc>
          <w:tcPr>
            <w:tcW w:w="3974" w:type="dxa"/>
          </w:tcPr>
          <w:p w14:paraId="2782046B" w14:textId="0B46EC76" w:rsidR="00247D27" w:rsidRPr="00B16B54" w:rsidRDefault="007E6091" w:rsidP="00F11991">
            <w:pPr>
              <w:pStyle w:val="TableText"/>
              <w:keepNext/>
            </w:pPr>
            <w:r>
              <w:t>6</w:t>
            </w:r>
            <w:r w:rsidR="00247D27" w:rsidRPr="00B16B54">
              <w:t xml:space="preserve"> weeks </w:t>
            </w:r>
          </w:p>
        </w:tc>
      </w:tr>
      <w:tr w:rsidR="00247D27" w14:paraId="6009065F" w14:textId="77777777" w:rsidTr="001432F9">
        <w:trPr>
          <w:cantSplit/>
        </w:trPr>
        <w:tc>
          <w:tcPr>
            <w:tcW w:w="4815" w:type="dxa"/>
          </w:tcPr>
          <w:p w14:paraId="376D0D24" w14:textId="77777777" w:rsidR="00247D27" w:rsidRPr="00B16B54" w:rsidRDefault="00247D27" w:rsidP="00680B92">
            <w:pPr>
              <w:pStyle w:val="TableText"/>
              <w:keepNext/>
            </w:pPr>
            <w:r w:rsidRPr="00B16B54">
              <w:t>Approval of outcomes of selection process</w:t>
            </w:r>
          </w:p>
        </w:tc>
        <w:tc>
          <w:tcPr>
            <w:tcW w:w="3974" w:type="dxa"/>
          </w:tcPr>
          <w:p w14:paraId="6D9DF691" w14:textId="3D8E99A5" w:rsidR="00247D27" w:rsidRPr="00B16B54" w:rsidRDefault="007E6091" w:rsidP="00F11991">
            <w:pPr>
              <w:pStyle w:val="TableText"/>
              <w:keepNext/>
            </w:pPr>
            <w:r>
              <w:t>2</w:t>
            </w:r>
            <w:r w:rsidR="00247D27" w:rsidRPr="00B16B54">
              <w:t xml:space="preserve"> weeks </w:t>
            </w:r>
          </w:p>
        </w:tc>
      </w:tr>
      <w:tr w:rsidR="00247D27" w14:paraId="309C1DEA" w14:textId="77777777" w:rsidTr="001432F9">
        <w:trPr>
          <w:cantSplit/>
        </w:trPr>
        <w:tc>
          <w:tcPr>
            <w:tcW w:w="4815" w:type="dxa"/>
          </w:tcPr>
          <w:p w14:paraId="5546415A" w14:textId="77777777" w:rsidR="00247D27" w:rsidRPr="00B16B54" w:rsidRDefault="00247D27" w:rsidP="00680B92">
            <w:pPr>
              <w:pStyle w:val="TableText"/>
              <w:keepNext/>
            </w:pPr>
            <w:r w:rsidRPr="00B16B54">
              <w:t>Negotiations and award of grant agreements</w:t>
            </w:r>
          </w:p>
        </w:tc>
        <w:tc>
          <w:tcPr>
            <w:tcW w:w="3974" w:type="dxa"/>
          </w:tcPr>
          <w:p w14:paraId="0346078B" w14:textId="77777777" w:rsidR="00247D27" w:rsidRPr="00B16B54" w:rsidRDefault="00247D27" w:rsidP="00F11991">
            <w:pPr>
              <w:pStyle w:val="TableText"/>
              <w:keepNext/>
            </w:pPr>
            <w:r w:rsidRPr="00B16B54">
              <w:t xml:space="preserve">1-3 weeks </w:t>
            </w:r>
          </w:p>
        </w:tc>
      </w:tr>
      <w:tr w:rsidR="00247D27" w14:paraId="6C3F5883" w14:textId="77777777" w:rsidTr="001432F9">
        <w:trPr>
          <w:cantSplit/>
        </w:trPr>
        <w:tc>
          <w:tcPr>
            <w:tcW w:w="4815" w:type="dxa"/>
          </w:tcPr>
          <w:p w14:paraId="7034593F" w14:textId="77777777" w:rsidR="00247D27" w:rsidRPr="00B16B54" w:rsidRDefault="00247D27" w:rsidP="00680B92">
            <w:pPr>
              <w:pStyle w:val="TableText"/>
              <w:keepNext/>
            </w:pPr>
            <w:r w:rsidRPr="00B16B54">
              <w:t>Notification to unsuccessful applicants</w:t>
            </w:r>
          </w:p>
        </w:tc>
        <w:tc>
          <w:tcPr>
            <w:tcW w:w="3974" w:type="dxa"/>
          </w:tcPr>
          <w:p w14:paraId="2350C26B" w14:textId="77777777" w:rsidR="00247D27" w:rsidRPr="00B16B54" w:rsidRDefault="00247D27" w:rsidP="00F11991">
            <w:pPr>
              <w:pStyle w:val="TableText"/>
              <w:keepNext/>
            </w:pPr>
            <w:r w:rsidRPr="00B16B54">
              <w:t>2 weeks</w:t>
            </w:r>
            <w:r>
              <w:t xml:space="preserve"> </w:t>
            </w:r>
          </w:p>
        </w:tc>
      </w:tr>
      <w:tr w:rsidR="00247D27" w14:paraId="2D2E6F8B" w14:textId="77777777" w:rsidTr="001432F9">
        <w:trPr>
          <w:cantSplit/>
        </w:trPr>
        <w:tc>
          <w:tcPr>
            <w:tcW w:w="4815" w:type="dxa"/>
          </w:tcPr>
          <w:p w14:paraId="55338B08" w14:textId="77777777" w:rsidR="00247D27" w:rsidRPr="00B16B54" w:rsidRDefault="00247D27" w:rsidP="00680B92">
            <w:pPr>
              <w:pStyle w:val="TableText"/>
              <w:keepNext/>
            </w:pPr>
            <w:r>
              <w:t>Earliest start date of project</w:t>
            </w:r>
          </w:p>
        </w:tc>
        <w:tc>
          <w:tcPr>
            <w:tcW w:w="3974" w:type="dxa"/>
          </w:tcPr>
          <w:p w14:paraId="35698C0C" w14:textId="5DFA2FB8" w:rsidR="00247D27" w:rsidRPr="00B16B54" w:rsidRDefault="007E6091" w:rsidP="00680B92">
            <w:pPr>
              <w:pStyle w:val="TableText"/>
              <w:keepNext/>
            </w:pPr>
            <w:r>
              <w:t xml:space="preserve">May </w:t>
            </w:r>
            <w:r w:rsidR="004A0559">
              <w:t>2022</w:t>
            </w:r>
          </w:p>
        </w:tc>
      </w:tr>
      <w:tr w:rsidR="00247D27" w:rsidRPr="007B3784" w14:paraId="0C9C9C1C" w14:textId="77777777" w:rsidTr="001432F9">
        <w:trPr>
          <w:cantSplit/>
        </w:trPr>
        <w:tc>
          <w:tcPr>
            <w:tcW w:w="4815" w:type="dxa"/>
          </w:tcPr>
          <w:p w14:paraId="6979F066" w14:textId="77777777" w:rsidR="00247D27" w:rsidRPr="007B3784" w:rsidRDefault="00247D27" w:rsidP="00680B92">
            <w:pPr>
              <w:pStyle w:val="TableText"/>
              <w:keepNext/>
            </w:pPr>
            <w:r w:rsidRPr="007B3784">
              <w:t xml:space="preserve">End date of grant commitment </w:t>
            </w:r>
          </w:p>
        </w:tc>
        <w:tc>
          <w:tcPr>
            <w:tcW w:w="3974" w:type="dxa"/>
          </w:tcPr>
          <w:p w14:paraId="06086F25" w14:textId="05D0FBEC" w:rsidR="00247D27" w:rsidRPr="007B3784" w:rsidRDefault="004A0559" w:rsidP="00680B92">
            <w:pPr>
              <w:pStyle w:val="TableText"/>
              <w:keepNext/>
            </w:pPr>
            <w:r>
              <w:t>30 June</w:t>
            </w:r>
            <w:r w:rsidR="00094ED4">
              <w:t xml:space="preserve"> 2025</w:t>
            </w:r>
          </w:p>
        </w:tc>
      </w:tr>
    </w:tbl>
    <w:p w14:paraId="6F1DA474" w14:textId="3F589A4B" w:rsidR="00247D27" w:rsidRPr="00AD742E" w:rsidRDefault="00247D27" w:rsidP="00B400E6">
      <w:pPr>
        <w:pStyle w:val="Heading2"/>
      </w:pPr>
      <w:bookmarkStart w:id="270" w:name="_Toc496536673"/>
      <w:bookmarkStart w:id="271" w:name="_Toc531277500"/>
      <w:bookmarkStart w:id="272" w:name="_Toc955310"/>
      <w:bookmarkStart w:id="273" w:name="_Toc80180260"/>
      <w:bookmarkStart w:id="274" w:name="_Toc80185508"/>
      <w:bookmarkStart w:id="275" w:name="_Toc80190322"/>
      <w:bookmarkStart w:id="276" w:name="_Toc80190399"/>
      <w:bookmarkStart w:id="277" w:name="_Toc80870652"/>
      <w:bookmarkStart w:id="278" w:name="_Toc81229245"/>
      <w:bookmarkStart w:id="279" w:name="_Toc83047289"/>
      <w:bookmarkStart w:id="280" w:name="_Toc83722043"/>
      <w:bookmarkStart w:id="281" w:name="_Toc84398458"/>
      <w:bookmarkEnd w:id="265"/>
      <w:r>
        <w:t xml:space="preserve">The </w:t>
      </w:r>
      <w:r w:rsidR="00E93B21">
        <w:t xml:space="preserve">grant </w:t>
      </w:r>
      <w:r>
        <w:t>selection process</w:t>
      </w:r>
      <w:bookmarkEnd w:id="270"/>
      <w:bookmarkEnd w:id="271"/>
      <w:bookmarkEnd w:id="272"/>
      <w:bookmarkEnd w:id="273"/>
      <w:bookmarkEnd w:id="274"/>
      <w:bookmarkEnd w:id="275"/>
      <w:bookmarkEnd w:id="276"/>
      <w:bookmarkEnd w:id="277"/>
      <w:bookmarkEnd w:id="278"/>
      <w:bookmarkEnd w:id="279"/>
      <w:bookmarkEnd w:id="280"/>
      <w:bookmarkEnd w:id="281"/>
    </w:p>
    <w:p w14:paraId="5FDFB485" w14:textId="77777777" w:rsidR="00094ED4" w:rsidRDefault="00094ED4" w:rsidP="00094ED4">
      <w:bookmarkStart w:id="282" w:name="_Toc83047290"/>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w:t>
      </w:r>
      <w:r>
        <w:t xml:space="preserve"> </w:t>
      </w:r>
      <w:r w:rsidRPr="005A61FE">
        <w:t>If eligible, we will</w:t>
      </w:r>
      <w:r>
        <w:t xml:space="preserve"> then </w:t>
      </w:r>
      <w:r w:rsidRPr="005A61FE">
        <w:t xml:space="preserve">assess it </w:t>
      </w:r>
      <w:r>
        <w:t>against the assessment criteria. Only eligible applications will proceed to the assessment stage.</w:t>
      </w:r>
    </w:p>
    <w:p w14:paraId="241D2A22" w14:textId="77777777" w:rsidR="00094ED4" w:rsidRPr="005A61FE" w:rsidRDefault="00094ED4" w:rsidP="00094ED4">
      <w:r w:rsidRPr="005A61FE">
        <w:t>We consider your application on its merits, based on:</w:t>
      </w:r>
    </w:p>
    <w:p w14:paraId="0DE62FB3" w14:textId="77777777" w:rsidR="00094ED4" w:rsidRPr="005A61FE" w:rsidRDefault="00094ED4" w:rsidP="0049519D">
      <w:pPr>
        <w:pStyle w:val="ListBullet"/>
        <w:numPr>
          <w:ilvl w:val="0"/>
          <w:numId w:val="7"/>
        </w:numPr>
      </w:pPr>
      <w:r w:rsidRPr="005A61FE">
        <w:t xml:space="preserve">how well it meets the criteria </w:t>
      </w:r>
    </w:p>
    <w:p w14:paraId="52C0953B" w14:textId="77777777" w:rsidR="00094ED4" w:rsidRPr="005A61FE" w:rsidRDefault="00094ED4" w:rsidP="0049519D">
      <w:pPr>
        <w:pStyle w:val="ListBullet"/>
        <w:numPr>
          <w:ilvl w:val="0"/>
          <w:numId w:val="7"/>
        </w:numPr>
      </w:pPr>
      <w:r w:rsidRPr="005A61FE">
        <w:t>how it compares to other applications</w:t>
      </w:r>
    </w:p>
    <w:p w14:paraId="4129E2E8" w14:textId="77777777" w:rsidR="00094ED4" w:rsidRPr="005A61FE" w:rsidRDefault="00094ED4" w:rsidP="0049519D">
      <w:pPr>
        <w:pStyle w:val="ListBullet"/>
        <w:numPr>
          <w:ilvl w:val="0"/>
          <w:numId w:val="7"/>
        </w:numPr>
        <w:spacing w:after="120"/>
      </w:pPr>
      <w:proofErr w:type="gramStart"/>
      <w:r w:rsidRPr="005A61FE">
        <w:t>whether</w:t>
      </w:r>
      <w:proofErr w:type="gramEnd"/>
      <w:r w:rsidRPr="005A61FE">
        <w:t xml:space="preserve"> it provides value with relevant money.</w:t>
      </w:r>
    </w:p>
    <w:p w14:paraId="7EF2BC63" w14:textId="77777777" w:rsidR="00094ED4" w:rsidRPr="005A61FE" w:rsidRDefault="00094ED4" w:rsidP="00094ED4">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41322790" w14:textId="77777777" w:rsidR="00094ED4" w:rsidRPr="005A61FE" w:rsidRDefault="00094ED4" w:rsidP="0049519D">
      <w:pPr>
        <w:pStyle w:val="ListBullet"/>
        <w:numPr>
          <w:ilvl w:val="0"/>
          <w:numId w:val="7"/>
        </w:numPr>
      </w:pPr>
      <w:r w:rsidRPr="005A61FE">
        <w:t>the overall objectives of the grant opportunity</w:t>
      </w:r>
    </w:p>
    <w:p w14:paraId="3C24940F" w14:textId="77777777" w:rsidR="00094ED4" w:rsidRPr="005A61FE" w:rsidRDefault="00094ED4" w:rsidP="0049519D">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4574719F" w14:textId="40987D4F" w:rsidR="004D20DC" w:rsidRDefault="00094ED4" w:rsidP="00EB7BCE">
      <w:pPr>
        <w:pStyle w:val="ListBullet"/>
        <w:numPr>
          <w:ilvl w:val="0"/>
          <w:numId w:val="7"/>
        </w:numPr>
        <w:spacing w:after="120"/>
      </w:pPr>
      <w:proofErr w:type="gramStart"/>
      <w:r w:rsidRPr="005A61FE">
        <w:t>the</w:t>
      </w:r>
      <w:proofErr w:type="gramEnd"/>
      <w:r w:rsidRPr="005A61FE">
        <w:t xml:space="preserve"> relative value of the grant sought</w:t>
      </w:r>
      <w:r>
        <w:t>.</w:t>
      </w:r>
    </w:p>
    <w:p w14:paraId="61ACA4CD" w14:textId="77777777" w:rsidR="00EB7BCE" w:rsidRDefault="00EB7BCE" w:rsidP="00EB7BCE">
      <w:r>
        <w:t xml:space="preserve">We will establish a committee, chaired by the Coordinator-General of the National Recovery and Resilience Agency and including </w:t>
      </w:r>
      <w:r w:rsidRPr="004400A6">
        <w:t xml:space="preserve">representatives from </w:t>
      </w:r>
      <w:r>
        <w:t>relevant Commonwealth departments and agencies, to assess applications. The committee may also seek additional advice from independent technical experts, including the Australian Climate Service, as well as local knowledge through the engagement network of the National Recovery and Resilience Agency.</w:t>
      </w:r>
    </w:p>
    <w:p w14:paraId="265E8F9F" w14:textId="350C6B7F" w:rsidR="00EB7BCE" w:rsidRDefault="00EB7BCE" w:rsidP="00EB7BCE">
      <w:r>
        <w:t>The committee will assess your application against the assessment criteria, compare it</w:t>
      </w:r>
      <w:r w:rsidRPr="006126D0">
        <w:t xml:space="preserve"> to other </w:t>
      </w:r>
      <w:r>
        <w:t xml:space="preserve">eligible </w:t>
      </w:r>
      <w:r w:rsidRPr="006126D0">
        <w:t>applica</w:t>
      </w:r>
      <w:r>
        <w:t xml:space="preserve">tions in a funding round, and have regard to </w:t>
      </w:r>
      <w:r w:rsidR="006F7360">
        <w:t xml:space="preserve">State and Territory Government priorities for disaster risk reduction, </w:t>
      </w:r>
      <w:r>
        <w:t>the geographical spread of proposed projects</w:t>
      </w:r>
      <w:r w:rsidR="006F7360">
        <w:t xml:space="preserve"> </w:t>
      </w:r>
      <w:r>
        <w:t>and the selected LGAs listed at Appendix A before recommending which projects to fund</w:t>
      </w:r>
      <w:r w:rsidRPr="00E162FF">
        <w:t>.</w:t>
      </w:r>
    </w:p>
    <w:p w14:paraId="26E060E4" w14:textId="0BA1C091" w:rsidR="00764F85" w:rsidRDefault="00764F85" w:rsidP="004C4EAA">
      <w:pPr>
        <w:pStyle w:val="ListBullet"/>
        <w:numPr>
          <w:ilvl w:val="0"/>
          <w:numId w:val="0"/>
        </w:numPr>
      </w:pPr>
      <w:r>
        <w:rPr>
          <w:rFonts w:cs="Arial"/>
          <w:szCs w:val="20"/>
        </w:rPr>
        <w:t>The committee may engage</w:t>
      </w:r>
      <w:r w:rsidRPr="009C4CFB">
        <w:rPr>
          <w:rFonts w:cs="Arial"/>
          <w:szCs w:val="20"/>
        </w:rPr>
        <w:t xml:space="preserve"> external </w:t>
      </w:r>
      <w:r>
        <w:rPr>
          <w:rFonts w:cs="Arial"/>
          <w:szCs w:val="20"/>
        </w:rPr>
        <w:t>experts/</w:t>
      </w:r>
      <w:r w:rsidRPr="009C4CFB">
        <w:rPr>
          <w:rFonts w:cs="Arial"/>
          <w:szCs w:val="20"/>
        </w:rPr>
        <w:t>advisors to inform the assessment process</w:t>
      </w:r>
      <w:r>
        <w:rPr>
          <w:rFonts w:cs="Arial"/>
          <w:szCs w:val="20"/>
        </w:rPr>
        <w:t>, including technical experts in State</w:t>
      </w:r>
      <w:r w:rsidR="00CC7922">
        <w:rPr>
          <w:rFonts w:cs="Arial"/>
          <w:szCs w:val="20"/>
        </w:rPr>
        <w:t xml:space="preserve">, </w:t>
      </w:r>
      <w:r>
        <w:rPr>
          <w:rFonts w:cs="Arial"/>
          <w:szCs w:val="20"/>
        </w:rPr>
        <w:t>Territory</w:t>
      </w:r>
      <w:r w:rsidR="00CC7922">
        <w:rPr>
          <w:rFonts w:cs="Arial"/>
          <w:szCs w:val="20"/>
        </w:rPr>
        <w:t xml:space="preserve"> and Commonwealth government </w:t>
      </w:r>
      <w:r>
        <w:rPr>
          <w:rFonts w:cs="Arial"/>
          <w:szCs w:val="20"/>
        </w:rPr>
        <w:t>agencies</w:t>
      </w:r>
      <w:r w:rsidR="00CC7922">
        <w:rPr>
          <w:rFonts w:cs="Arial"/>
          <w:szCs w:val="20"/>
        </w:rPr>
        <w:t>.</w:t>
      </w:r>
      <w:r>
        <w:rPr>
          <w:rFonts w:cs="Arial"/>
          <w:szCs w:val="20"/>
        </w:rPr>
        <w:t xml:space="preserve"> </w:t>
      </w:r>
    </w:p>
    <w:p w14:paraId="3B95A28D" w14:textId="77777777" w:rsidR="00094ED4" w:rsidRDefault="00094ED4" w:rsidP="00094ED4">
      <w:r>
        <w:t>You cannot make any material alteration or addition to your application, but if the selection process identifies unintentional errors in your application, we may contact you to correct or clarify the errors.</w:t>
      </w:r>
    </w:p>
    <w:p w14:paraId="58F40EF3" w14:textId="77777777" w:rsidR="000C1A7A" w:rsidRDefault="000C1A7A" w:rsidP="000C1A7A">
      <w:pPr>
        <w:pStyle w:val="Heading3"/>
        <w:ind w:left="0" w:firstLine="0"/>
      </w:pPr>
      <w:bookmarkStart w:id="283" w:name="_Toc83722044"/>
      <w:bookmarkStart w:id="284" w:name="_Toc84398459"/>
      <w:r>
        <w:t>Who will approve grants?</w:t>
      </w:r>
      <w:bookmarkEnd w:id="282"/>
      <w:bookmarkEnd w:id="283"/>
      <w:bookmarkEnd w:id="284"/>
    </w:p>
    <w:p w14:paraId="25EE53D3" w14:textId="1C7E625E" w:rsidR="00247D27" w:rsidRDefault="00247D27" w:rsidP="00247D27">
      <w:r>
        <w:t xml:space="preserve">The </w:t>
      </w:r>
      <w:r w:rsidR="00145514" w:rsidRPr="001F3701">
        <w:rPr>
          <w:color w:val="000000"/>
          <w:w w:val="0"/>
          <w:szCs w:val="20"/>
        </w:rPr>
        <w:t>Minister for Emergency Management</w:t>
      </w:r>
      <w:r w:rsidR="00EE7953">
        <w:rPr>
          <w:color w:val="000000"/>
          <w:w w:val="0"/>
          <w:szCs w:val="20"/>
        </w:rPr>
        <w:t xml:space="preserve"> and National Recovery and Resilience</w:t>
      </w:r>
      <w:r w:rsidR="00145514">
        <w:t xml:space="preserve"> </w:t>
      </w:r>
      <w:r w:rsidR="00DD6317">
        <w:t xml:space="preserve">(the Minister) </w:t>
      </w:r>
      <w:r>
        <w:t>decides which grants to approve taking into account the recommendations</w:t>
      </w:r>
      <w:r w:rsidR="00094ED4">
        <w:t xml:space="preserve"> of the </w:t>
      </w:r>
      <w:r w:rsidR="000038A2">
        <w:t>committee</w:t>
      </w:r>
      <w:r>
        <w:t xml:space="preserve"> and the availability of grant funds.</w:t>
      </w:r>
    </w:p>
    <w:p w14:paraId="43128D6F" w14:textId="77777777" w:rsidR="00564DF1" w:rsidRDefault="00564DF1" w:rsidP="00564DF1">
      <w:pPr>
        <w:spacing w:after="80"/>
      </w:pPr>
      <w:bookmarkStart w:id="285" w:name="_Toc489952696"/>
      <w:r w:rsidRPr="00E162FF">
        <w:t>The</w:t>
      </w:r>
      <w:r>
        <w:t xml:space="preserve"> </w:t>
      </w:r>
      <w:r w:rsidRPr="00E162FF">
        <w:t xml:space="preserve">Minister’s decision is final in all matters, </w:t>
      </w:r>
      <w:r>
        <w:t>including</w:t>
      </w:r>
      <w:r w:rsidR="00825941">
        <w:t>:</w:t>
      </w:r>
    </w:p>
    <w:p w14:paraId="39C8B59D" w14:textId="77777777" w:rsidR="00564DF1" w:rsidRDefault="00564DF1" w:rsidP="00564DF1">
      <w:pPr>
        <w:pStyle w:val="ListBullet"/>
      </w:pPr>
      <w:r>
        <w:t xml:space="preserve">the </w:t>
      </w:r>
      <w:r w:rsidR="00AA73C5" w:rsidRPr="005A61FE">
        <w:t xml:space="preserve">grant </w:t>
      </w:r>
      <w:r>
        <w:t>approval</w:t>
      </w:r>
    </w:p>
    <w:p w14:paraId="63EC1D27"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74274831" w14:textId="745FAD16" w:rsidR="00300E4A" w:rsidRDefault="00D4078F" w:rsidP="00564DF1">
      <w:pPr>
        <w:pStyle w:val="ListBullet"/>
        <w:spacing w:after="120"/>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276616">
        <w:t>.</w:t>
      </w:r>
    </w:p>
    <w:p w14:paraId="220976A4" w14:textId="77777777" w:rsidR="00564DF1" w:rsidRPr="00E162FF" w:rsidRDefault="00564DF1" w:rsidP="00564DF1">
      <w:r>
        <w:t>We cannot review decisions about the merits of your application</w:t>
      </w:r>
      <w:r w:rsidRPr="00E162FF">
        <w:t>.</w:t>
      </w:r>
    </w:p>
    <w:p w14:paraId="60192859" w14:textId="77777777"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402DD611" w14:textId="77777777" w:rsidR="00564DF1" w:rsidRDefault="00564DF1" w:rsidP="00B400E6">
      <w:pPr>
        <w:pStyle w:val="Heading2"/>
      </w:pPr>
      <w:bookmarkStart w:id="286" w:name="_Toc496536675"/>
      <w:bookmarkStart w:id="287" w:name="_Toc531277502"/>
      <w:bookmarkStart w:id="288" w:name="_Toc955312"/>
      <w:bookmarkStart w:id="289" w:name="_Toc80180262"/>
      <w:bookmarkStart w:id="290" w:name="_Toc80185510"/>
      <w:bookmarkStart w:id="291" w:name="_Toc80190324"/>
      <w:bookmarkStart w:id="292" w:name="_Toc80190401"/>
      <w:bookmarkStart w:id="293" w:name="_Toc80870654"/>
      <w:bookmarkStart w:id="294" w:name="_Toc81229247"/>
      <w:bookmarkStart w:id="295" w:name="_Toc83047291"/>
      <w:bookmarkStart w:id="296" w:name="_Toc83722045"/>
      <w:bookmarkStart w:id="297" w:name="_Toc84398460"/>
      <w:r>
        <w:t>Notification of application outcomes</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397A2E0E"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F45ADCC" w14:textId="77777777"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rsidR="004C7ECA">
        <w:t>we may refuse to consider it</w:t>
      </w:r>
      <w:r>
        <w:t>.</w:t>
      </w:r>
    </w:p>
    <w:p w14:paraId="4F29355D" w14:textId="77777777" w:rsidR="000C07C6" w:rsidRDefault="00E93B21" w:rsidP="00B400E6">
      <w:pPr>
        <w:pStyle w:val="Heading2"/>
      </w:pPr>
      <w:bookmarkStart w:id="298" w:name="_Toc955313"/>
      <w:bookmarkStart w:id="299" w:name="_Toc496536676"/>
      <w:bookmarkStart w:id="300" w:name="_Toc531277503"/>
      <w:bookmarkStart w:id="301" w:name="_Toc80180263"/>
      <w:bookmarkStart w:id="302" w:name="_Toc80185511"/>
      <w:bookmarkStart w:id="303" w:name="_Toc80190325"/>
      <w:bookmarkStart w:id="304" w:name="_Toc80190402"/>
      <w:bookmarkStart w:id="305" w:name="_Toc80870655"/>
      <w:bookmarkStart w:id="306" w:name="_Toc81229248"/>
      <w:bookmarkStart w:id="307" w:name="_Toc83047292"/>
      <w:bookmarkStart w:id="308" w:name="_Toc83722046"/>
      <w:bookmarkStart w:id="309" w:name="_Toc84398461"/>
      <w:r w:rsidRPr="005A61FE">
        <w:t>Successful</w:t>
      </w:r>
      <w:r>
        <w:t xml:space="preserve"> grant applications</w:t>
      </w:r>
      <w:bookmarkEnd w:id="298"/>
      <w:bookmarkEnd w:id="299"/>
      <w:bookmarkEnd w:id="300"/>
      <w:bookmarkEnd w:id="301"/>
      <w:bookmarkEnd w:id="302"/>
      <w:bookmarkEnd w:id="303"/>
      <w:bookmarkEnd w:id="304"/>
      <w:bookmarkEnd w:id="305"/>
      <w:bookmarkEnd w:id="306"/>
      <w:bookmarkEnd w:id="307"/>
      <w:bookmarkEnd w:id="308"/>
      <w:bookmarkEnd w:id="309"/>
    </w:p>
    <w:p w14:paraId="7AF10AD8" w14:textId="77777777" w:rsidR="000C1A7A" w:rsidRDefault="000C1A7A" w:rsidP="000C1A7A">
      <w:pPr>
        <w:pStyle w:val="Heading3"/>
        <w:ind w:left="0" w:firstLine="0"/>
      </w:pPr>
      <w:bookmarkStart w:id="310" w:name="_Toc83047293"/>
      <w:bookmarkStart w:id="311" w:name="_Toc83722047"/>
      <w:bookmarkStart w:id="312" w:name="_Toc84398462"/>
      <w:bookmarkEnd w:id="245"/>
      <w:bookmarkEnd w:id="246"/>
      <w:r>
        <w:t>Grant agreement</w:t>
      </w:r>
      <w:bookmarkEnd w:id="310"/>
      <w:bookmarkEnd w:id="311"/>
      <w:bookmarkEnd w:id="312"/>
    </w:p>
    <w:p w14:paraId="5F92D7FE" w14:textId="41CA98D9" w:rsidR="00CC2C14" w:rsidRDefault="00D057B9" w:rsidP="00CC2C14">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DF6CC3">
          <w:rPr>
            <w:rStyle w:val="Hyperlink"/>
          </w:rPr>
          <w:t>grant agreement</w:t>
        </w:r>
      </w:hyperlink>
      <w:r w:rsidR="000C3B35">
        <w:t xml:space="preserve"> is available on business.gov.au</w:t>
      </w:r>
      <w:r w:rsidR="005624ED">
        <w:t xml:space="preserve"> and </w:t>
      </w:r>
      <w:proofErr w:type="spellStart"/>
      <w:r w:rsidR="005624ED">
        <w:t>GrantConnect</w:t>
      </w:r>
      <w:proofErr w:type="spellEnd"/>
      <w:r w:rsidR="000F18DD" w:rsidRPr="005A61FE">
        <w:t>.</w:t>
      </w:r>
    </w:p>
    <w:p w14:paraId="0C3A0D6A" w14:textId="1A428F2B" w:rsidR="00D057B9" w:rsidRPr="0062411B" w:rsidRDefault="00CC2C14" w:rsidP="00D057B9">
      <w:r>
        <w:t>W</w:t>
      </w:r>
      <w:r w:rsidRPr="00141960">
        <w:t xml:space="preserve">here </w:t>
      </w:r>
      <w:r w:rsidR="005423E6">
        <w:t>you do not own or manage</w:t>
      </w:r>
      <w:r w:rsidRPr="00141960">
        <w:t xml:space="preserve"> the proposed project site/s</w:t>
      </w:r>
      <w:r>
        <w:t xml:space="preserve">, </w:t>
      </w:r>
      <w:r w:rsidRPr="00141960">
        <w:t xml:space="preserve">written consent from the </w:t>
      </w:r>
      <w:r>
        <w:t>site</w:t>
      </w:r>
      <w:r w:rsidRPr="00141960">
        <w:t xml:space="preserve"> owner and/or </w:t>
      </w:r>
      <w:r>
        <w:t>site</w:t>
      </w:r>
      <w:r w:rsidRPr="00141960">
        <w:t xml:space="preserve"> manager that allows for the implementation of the propos</w:t>
      </w:r>
      <w:r>
        <w:t xml:space="preserve">ed project on each project site for the duration of </w:t>
      </w:r>
      <w:r w:rsidR="005423E6">
        <w:t xml:space="preserve">the </w:t>
      </w:r>
      <w:r>
        <w:t xml:space="preserve">proposed project term </w:t>
      </w:r>
      <w:proofErr w:type="gramStart"/>
      <w:r w:rsidR="005423E6">
        <w:t xml:space="preserve">must </w:t>
      </w:r>
      <w:r>
        <w:t>be provided</w:t>
      </w:r>
      <w:proofErr w:type="gramEnd"/>
      <w:r>
        <w:t xml:space="preserve"> prior to entering into a grant agreement.</w:t>
      </w:r>
    </w:p>
    <w:p w14:paraId="2A21423F" w14:textId="7198B052"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C11984">
        <w:t>.</w:t>
      </w:r>
      <w:r w:rsidR="007E744A">
        <w:t xml:space="preserve"> </w:t>
      </w:r>
    </w:p>
    <w:p w14:paraId="75C715B5" w14:textId="3D5F4C51" w:rsidR="007E744A" w:rsidRDefault="007E744A" w:rsidP="00E95D50">
      <w:r>
        <w:t xml:space="preserve">A Commonwealth standard grant agreement </w:t>
      </w:r>
      <w:proofErr w:type="gramStart"/>
      <w:r>
        <w:t>will be used</w:t>
      </w:r>
      <w:proofErr w:type="gramEnd"/>
      <w:r>
        <w:t xml:space="preserve"> for all grant recipients. </w:t>
      </w:r>
    </w:p>
    <w:p w14:paraId="58F74134"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208D4B53" w14:textId="77777777" w:rsidR="00D057B9" w:rsidRDefault="00D057B9" w:rsidP="00D057B9">
      <w:r>
        <w:t xml:space="preserve">If you enter an agreement under the </w:t>
      </w:r>
      <w:r w:rsidR="007C446A">
        <w:t>Preparing Australian Communities</w:t>
      </w:r>
      <w:r w:rsidR="00EC0E5C">
        <w:t xml:space="preserve"> Program</w:t>
      </w:r>
      <w:r w:rsidR="007C446A">
        <w:t xml:space="preserve"> – </w:t>
      </w:r>
      <w:r w:rsidR="00C51637">
        <w:t>Local Stream</w:t>
      </w:r>
      <w:r>
        <w:t xml:space="preserve">, you cannot receive other grants </w:t>
      </w:r>
      <w:r w:rsidR="00E95D50">
        <w:t>for the same activities</w:t>
      </w:r>
      <w:r>
        <w:t xml:space="preserve"> from other Commonwealth, </w:t>
      </w:r>
      <w:r w:rsidR="009A52BE">
        <w:t>State</w:t>
      </w:r>
      <w:r>
        <w:t xml:space="preserve"> or </w:t>
      </w:r>
      <w:r w:rsidR="009A52BE">
        <w:t xml:space="preserve">Territory </w:t>
      </w:r>
      <w:r>
        <w:t>granting programs.</w:t>
      </w:r>
    </w:p>
    <w:p w14:paraId="678F640D" w14:textId="77777777" w:rsidR="00D057B9" w:rsidRDefault="00D057B9" w:rsidP="00D057B9">
      <w:r w:rsidRPr="0062411B">
        <w:t>The Commonwealth may reco</w:t>
      </w:r>
      <w:r>
        <w:t>ver grant funds if there is a breach of the grant agreement.</w:t>
      </w:r>
    </w:p>
    <w:p w14:paraId="02FE29B5" w14:textId="77777777"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6B92B634"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511BDD">
        <w:t>Minister</w:t>
      </w:r>
      <w:r w:rsidR="00EF53D9">
        <w:t>.</w:t>
      </w:r>
    </w:p>
    <w:p w14:paraId="7664E499" w14:textId="77777777" w:rsidR="00BD3A35" w:rsidRDefault="000C1A7A" w:rsidP="005E4068">
      <w:pPr>
        <w:pStyle w:val="Heading3"/>
        <w:ind w:left="0" w:firstLine="0"/>
      </w:pPr>
      <w:bookmarkStart w:id="313" w:name="_Toc489952704"/>
      <w:bookmarkStart w:id="314" w:name="_Toc496536682"/>
      <w:bookmarkStart w:id="315" w:name="_Toc531277509"/>
      <w:bookmarkStart w:id="316" w:name="_Toc955319"/>
      <w:bookmarkStart w:id="317" w:name="_Toc80180265"/>
      <w:bookmarkStart w:id="318" w:name="_Toc80185513"/>
      <w:bookmarkStart w:id="319" w:name="_Toc80190327"/>
      <w:bookmarkStart w:id="320" w:name="_Toc80190404"/>
      <w:bookmarkStart w:id="321" w:name="_Toc80870657"/>
      <w:bookmarkStart w:id="322" w:name="_Toc81229250"/>
      <w:bookmarkStart w:id="323" w:name="_Toc83047294"/>
      <w:bookmarkStart w:id="324" w:name="_Toc83722048"/>
      <w:bookmarkStart w:id="325" w:name="_Toc84398463"/>
      <w:bookmarkStart w:id="326" w:name="_Ref465245613"/>
      <w:bookmarkStart w:id="327" w:name="_Toc467165693"/>
      <w:bookmarkStart w:id="328" w:name="_Toc164844284"/>
      <w:r>
        <w:t>Pr</w:t>
      </w:r>
      <w:r w:rsidR="008D4474">
        <w:t>oject</w:t>
      </w:r>
      <w:r w:rsidR="00BD3A35" w:rsidRPr="00CB5DC6">
        <w:t xml:space="preserve"> specific legislation, </w:t>
      </w:r>
      <w:r w:rsidR="00BD3A35">
        <w:t>policies and industry standards</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17A2AE28" w14:textId="77777777" w:rsidR="00B77747" w:rsidRPr="00B77747" w:rsidRDefault="00F11991" w:rsidP="00EE7953">
      <w:bookmarkStart w:id="329" w:name="_Toc531277511"/>
      <w:bookmarkStart w:id="330" w:name="_Toc955321"/>
      <w:r>
        <w:t xml:space="preserve">You </w:t>
      </w:r>
      <w:r w:rsidRPr="005A61FE">
        <w:t>must comply</w:t>
      </w:r>
      <w:r>
        <w:t xml:space="preserve"> with all relevant laws and regulations</w:t>
      </w:r>
      <w:r w:rsidRPr="005A61FE">
        <w:t xml:space="preserve"> in </w:t>
      </w:r>
      <w:r w:rsidRPr="005A61FE" w:rsidDel="004F15AC">
        <w:t>undertaking</w:t>
      </w:r>
      <w:r w:rsidRPr="005A61FE">
        <w:t xml:space="preserve"> your project. You must also </w:t>
      </w:r>
      <w:r w:rsidRPr="005A61FE" w:rsidDel="004F15AC">
        <w:t>compl</w:t>
      </w:r>
      <w:r w:rsidRPr="005A61FE">
        <w:t>y with the specific legislation/policies/industry standards that follow. It is a condition of the grant funding that you meet these requirements. We will include these requirements in your grant agreement.</w:t>
      </w:r>
      <w:bookmarkStart w:id="331" w:name="_Toc24530331"/>
      <w:bookmarkStart w:id="332" w:name="_Toc57294245"/>
      <w:bookmarkStart w:id="333" w:name="_Toc58916042"/>
      <w:bookmarkStart w:id="334" w:name="_Toc73016053"/>
      <w:bookmarkStart w:id="335" w:name="_Toc75938742"/>
      <w:bookmarkStart w:id="336" w:name="_Toc80180266"/>
      <w:bookmarkStart w:id="337" w:name="_Toc80185514"/>
      <w:bookmarkStart w:id="338" w:name="_Toc80190328"/>
      <w:bookmarkStart w:id="339" w:name="_Toc80190405"/>
    </w:p>
    <w:p w14:paraId="56FFEFA6" w14:textId="77777777" w:rsidR="00F11991" w:rsidRPr="005A61FE" w:rsidRDefault="00F11991" w:rsidP="00F11991">
      <w:pPr>
        <w:pStyle w:val="Heading4"/>
        <w:ind w:left="0" w:firstLine="0"/>
      </w:pPr>
      <w:bookmarkStart w:id="340" w:name="_Toc80870658"/>
      <w:bookmarkStart w:id="341" w:name="_Toc81229251"/>
      <w:bookmarkStart w:id="342" w:name="_Toc83047295"/>
      <w:bookmarkStart w:id="343" w:name="_Toc83722049"/>
      <w:bookmarkStart w:id="344" w:name="_Toc84398464"/>
      <w:r w:rsidRPr="005A61FE">
        <w:t>Child Safety Requirements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3999935" w14:textId="77777777" w:rsidR="00F11991" w:rsidRPr="005A61FE" w:rsidRDefault="00F11991" w:rsidP="00F11991">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2697614B" w14:textId="77777777" w:rsidR="00F11991" w:rsidRPr="00FA48F8" w:rsidRDefault="00F11991" w:rsidP="00F11991">
      <w:r w:rsidRPr="005A61FE">
        <w:t xml:space="preserve">You must implement the </w:t>
      </w:r>
      <w:hyperlink r:id="rId36"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72EF55F7" w14:textId="77777777" w:rsidR="00F11991" w:rsidRPr="005A61FE" w:rsidRDefault="00F11991" w:rsidP="00F11991">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62C1DF50" w14:textId="77777777" w:rsidR="00F11991" w:rsidRPr="005A61FE" w:rsidRDefault="00F11991" w:rsidP="00F11991">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42A0E032" w14:textId="77777777" w:rsidR="00F11991" w:rsidRDefault="00F11991" w:rsidP="00F11991">
      <w:r w:rsidRPr="005A61FE">
        <w:t>You will be required to provide an annual statement of compliance with these requirements in relation to working with children.</w:t>
      </w:r>
    </w:p>
    <w:p w14:paraId="30C5B9BA" w14:textId="77777777" w:rsidR="005A4513" w:rsidRPr="005A61FE" w:rsidRDefault="005A4513" w:rsidP="006F6212">
      <w:pPr>
        <w:pStyle w:val="Heading4"/>
      </w:pPr>
      <w:bookmarkStart w:id="345" w:name="_Toc80180267"/>
      <w:bookmarkStart w:id="346" w:name="_Toc80185515"/>
      <w:bookmarkStart w:id="347" w:name="_Toc80190329"/>
      <w:bookmarkStart w:id="348" w:name="_Toc80190406"/>
      <w:bookmarkStart w:id="349" w:name="_Toc80870659"/>
      <w:bookmarkStart w:id="350" w:name="_Toc81229252"/>
      <w:bookmarkStart w:id="351" w:name="_Toc83047296"/>
      <w:bookmarkStart w:id="352" w:name="_Toc83722050"/>
      <w:bookmarkStart w:id="353" w:name="_Toc84398465"/>
      <w:r w:rsidRPr="005A61FE">
        <w:t xml:space="preserve">Building and </w:t>
      </w:r>
      <w:r w:rsidR="009E1D7E" w:rsidRPr="005A61FE">
        <w:t>construction requirements</w:t>
      </w:r>
      <w:bookmarkEnd w:id="329"/>
      <w:bookmarkEnd w:id="330"/>
      <w:bookmarkEnd w:id="345"/>
      <w:bookmarkEnd w:id="346"/>
      <w:bookmarkEnd w:id="347"/>
      <w:bookmarkEnd w:id="348"/>
      <w:bookmarkEnd w:id="349"/>
      <w:bookmarkEnd w:id="350"/>
      <w:bookmarkEnd w:id="351"/>
      <w:bookmarkEnd w:id="352"/>
      <w:bookmarkEnd w:id="353"/>
    </w:p>
    <w:p w14:paraId="2C72ED10" w14:textId="77777777" w:rsidR="0071709C" w:rsidRDefault="0071709C" w:rsidP="0071709C">
      <w:bookmarkStart w:id="354" w:name="_Toc530073031"/>
      <w:bookmarkStart w:id="355" w:name="_Toc489952705"/>
      <w:bookmarkStart w:id="356" w:name="_Toc496536683"/>
      <w:bookmarkStart w:id="357" w:name="_Toc531277512"/>
      <w:bookmarkStart w:id="358" w:name="_Toc955322"/>
      <w:bookmarkEnd w:id="354"/>
      <w:r>
        <w:t xml:space="preserve">Wherever the </w:t>
      </w:r>
      <w:r w:rsidR="00553ABC">
        <w:t>Australian G</w:t>
      </w:r>
      <w:r>
        <w:t>overnment funds building and construction activities, the following special regulatory requirements apply.</w:t>
      </w:r>
    </w:p>
    <w:p w14:paraId="4FFD4625" w14:textId="77777777" w:rsidR="0071709C" w:rsidRDefault="0071709C" w:rsidP="0071709C">
      <w:pPr>
        <w:pStyle w:val="ListBullet"/>
      </w:pPr>
      <w:r>
        <w:rPr>
          <w:i/>
        </w:rPr>
        <w:t>Code for the Tendering and Performance of Building Work 2016</w:t>
      </w:r>
      <w:r>
        <w:rPr>
          <w:rFonts w:cs="Arial"/>
        </w:rPr>
        <w:t xml:space="preserve"> </w:t>
      </w:r>
      <w:r>
        <w:t>(</w:t>
      </w:r>
      <w:hyperlink r:id="rId37"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6"/>
      </w:r>
    </w:p>
    <w:p w14:paraId="2FDB4801" w14:textId="77777777" w:rsidR="0071709C" w:rsidRPr="000D72A7" w:rsidRDefault="0071709C" w:rsidP="0071709C">
      <w:pPr>
        <w:pStyle w:val="ListBullet"/>
      </w:pPr>
      <w:r>
        <w:rPr>
          <w:rFonts w:cs="Arial"/>
        </w:rPr>
        <w:t>Australian Government Building and Construction WHS Accreditation Scheme (</w:t>
      </w:r>
      <w:hyperlink r:id="rId38"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7"/>
      </w:r>
    </w:p>
    <w:p w14:paraId="080513E6" w14:textId="77777777" w:rsidR="0071709C" w:rsidRDefault="0071709C" w:rsidP="0071709C">
      <w:r>
        <w:t xml:space="preserve">These regulations are subject to the level of funding you receive as outlined </w:t>
      </w:r>
      <w:proofErr w:type="gramStart"/>
      <w:r>
        <w:t>below</w:t>
      </w:r>
      <w:proofErr w:type="gramEnd"/>
      <w:r w:rsidRPr="005A61FE">
        <w:t>.</w:t>
      </w:r>
    </w:p>
    <w:p w14:paraId="45D91DB8" w14:textId="77777777" w:rsidR="00BD3A35" w:rsidRDefault="00BD3A35" w:rsidP="006F6212">
      <w:pPr>
        <w:pStyle w:val="Heading5"/>
      </w:pPr>
      <w:bookmarkStart w:id="359" w:name="_Toc80180268"/>
      <w:bookmarkStart w:id="360" w:name="_Toc80185516"/>
      <w:bookmarkStart w:id="361" w:name="_Toc80190330"/>
      <w:bookmarkStart w:id="362" w:name="_Toc80190407"/>
      <w:bookmarkStart w:id="363" w:name="_Toc80870660"/>
      <w:bookmarkStart w:id="364" w:name="_Toc81229253"/>
      <w:bookmarkStart w:id="365" w:name="_Toc83047297"/>
      <w:bookmarkStart w:id="366" w:name="_Toc83722051"/>
      <w:bookmarkStart w:id="367" w:name="_Toc84398466"/>
      <w:r>
        <w:t>Building Code</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3555FA67" w14:textId="77777777" w:rsidR="0071709C" w:rsidRDefault="0071709C" w:rsidP="0071709C">
      <w:bookmarkStart w:id="368" w:name="_Toc489952706"/>
      <w:bookmarkStart w:id="369" w:name="_Toc496536684"/>
      <w:bookmarkStart w:id="370" w:name="_Toc531277513"/>
      <w:bookmarkStart w:id="371" w:name="_Toc955323"/>
      <w:r>
        <w:t xml:space="preserve">The Building Code </w:t>
      </w:r>
      <w:proofErr w:type="gramStart"/>
      <w:r>
        <w:t>is administered</w:t>
      </w:r>
      <w:proofErr w:type="gramEnd"/>
      <w:r>
        <w:t xml:space="preserve"> by relevant State and Territory administrations under relevant State or Territory legislation on behalf of the </w:t>
      </w:r>
      <w:hyperlink r:id="rId39" w:history="1">
        <w:r w:rsidRPr="00FA48F8">
          <w:rPr>
            <w:rStyle w:val="Hyperlink"/>
          </w:rPr>
          <w:t>Australian Building and Construction Commission</w:t>
        </w:r>
      </w:hyperlink>
      <w:r>
        <w:t>.</w:t>
      </w:r>
      <w:r>
        <w:rPr>
          <w:rStyle w:val="FootnoteReference"/>
        </w:rPr>
        <w:footnoteReference w:id="8"/>
      </w:r>
    </w:p>
    <w:p w14:paraId="0899B564" w14:textId="77777777" w:rsidR="0071709C" w:rsidRDefault="0071709C" w:rsidP="0071709C">
      <w:pPr>
        <w:spacing w:after="80"/>
      </w:pPr>
      <w:r>
        <w:t xml:space="preserve">The Building Code applies to all construction projects funded by the Australian </w:t>
      </w:r>
      <w:r w:rsidR="00553ABC">
        <w:t>G</w:t>
      </w:r>
      <w:r>
        <w:t>overnment through grants and other programs where:</w:t>
      </w:r>
    </w:p>
    <w:p w14:paraId="0BD07CCC" w14:textId="77777777" w:rsidR="0071709C" w:rsidRDefault="0071709C" w:rsidP="0071709C">
      <w:pPr>
        <w:pStyle w:val="ListBullet"/>
      </w:pPr>
      <w:r>
        <w:t>the value of Australian Government contribution to a project is at least $5 million and represents at least 50 per cent of the total construction project value; or</w:t>
      </w:r>
    </w:p>
    <w:p w14:paraId="58504BD1" w14:textId="77777777" w:rsidR="0071709C" w:rsidRDefault="0071709C" w:rsidP="0071709C">
      <w:pPr>
        <w:pStyle w:val="ListBullet"/>
        <w:spacing w:after="120"/>
      </w:pPr>
      <w:proofErr w:type="gramStart"/>
      <w:r>
        <w:t>regardless</w:t>
      </w:r>
      <w:proofErr w:type="gramEnd"/>
      <w:r>
        <w:t xml:space="preserve"> of the proportion of Australian Government funding, where the Australian Government contribution to a project is $10 million or more.</w:t>
      </w:r>
    </w:p>
    <w:p w14:paraId="1B796320" w14:textId="77777777" w:rsidR="00BD3A35" w:rsidRDefault="00BD3A35" w:rsidP="006F6212">
      <w:pPr>
        <w:pStyle w:val="Heading5"/>
      </w:pPr>
      <w:bookmarkStart w:id="372" w:name="_Toc80180269"/>
      <w:bookmarkStart w:id="373" w:name="_Toc80185517"/>
      <w:bookmarkStart w:id="374" w:name="_Toc80190331"/>
      <w:bookmarkStart w:id="375" w:name="_Toc80190408"/>
      <w:bookmarkStart w:id="376" w:name="_Toc80870661"/>
      <w:bookmarkStart w:id="377" w:name="_Toc81229254"/>
      <w:bookmarkStart w:id="378" w:name="_Toc83047298"/>
      <w:bookmarkStart w:id="379" w:name="_Toc83722052"/>
      <w:bookmarkStart w:id="380" w:name="_Toc84398467"/>
      <w:r>
        <w:t>WHS Scheme</w:t>
      </w:r>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 </w:t>
      </w:r>
    </w:p>
    <w:p w14:paraId="1ADC8012" w14:textId="77777777" w:rsidR="00843FB0" w:rsidRDefault="00843FB0" w:rsidP="00760D2E">
      <w:pPr>
        <w:spacing w:after="80"/>
      </w:pPr>
      <w:r>
        <w:t xml:space="preserve">The </w:t>
      </w:r>
      <w:proofErr w:type="gramStart"/>
      <w:r>
        <w:t xml:space="preserve">WHS Scheme is administered by the </w:t>
      </w:r>
      <w:hyperlink r:id="rId40" w:history="1">
        <w:r w:rsidRPr="00FA48F8">
          <w:rPr>
            <w:rStyle w:val="Hyperlink"/>
          </w:rPr>
          <w:t>Office of the Federal Safety Commissioner</w:t>
        </w:r>
        <w:proofErr w:type="gramEnd"/>
      </w:hyperlink>
      <w:r>
        <w:rPr>
          <w:rStyle w:val="FootnoteReference"/>
        </w:rPr>
        <w:footnoteReference w:id="9"/>
      </w:r>
      <w:r>
        <w:t xml:space="preserve">. </w:t>
      </w:r>
    </w:p>
    <w:p w14:paraId="1A197CC0" w14:textId="77777777" w:rsidR="00BD3A35" w:rsidRDefault="00BD3A35" w:rsidP="00760D2E">
      <w:pPr>
        <w:spacing w:after="80"/>
      </w:pPr>
      <w:r>
        <w:t xml:space="preserve">The Scheme applies to projects that </w:t>
      </w:r>
      <w:proofErr w:type="gramStart"/>
      <w:r>
        <w:t>are directly or indirectly funded</w:t>
      </w:r>
      <w:proofErr w:type="gramEnd"/>
      <w:r>
        <w:t xml:space="preserve"> by the Australian Government where</w:t>
      </w:r>
      <w:r w:rsidR="000E2F8E">
        <w:t>:</w:t>
      </w:r>
    </w:p>
    <w:p w14:paraId="5ED38513"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3A513FF"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1EFD25A2" w14:textId="77777777" w:rsidR="00BD3A35" w:rsidRDefault="00BD3A35" w:rsidP="00946D8E">
      <w:pPr>
        <w:pStyle w:val="ListBullet"/>
        <w:spacing w:after="120"/>
      </w:pPr>
      <w:proofErr w:type="gramStart"/>
      <w:r>
        <w:t>a</w:t>
      </w:r>
      <w:proofErr w:type="gramEnd"/>
      <w:r>
        <w:t xml:space="preserve"> head contract under the project includes building work of $4 million or more (GST </w:t>
      </w:r>
      <w:r w:rsidR="00553ABC">
        <w:t>inclusive</w:t>
      </w:r>
      <w:r>
        <w:t>).</w:t>
      </w:r>
    </w:p>
    <w:p w14:paraId="70998566" w14:textId="77777777" w:rsidR="00CE1A20" w:rsidRDefault="002E3A5A" w:rsidP="001844D5">
      <w:pPr>
        <w:pStyle w:val="Heading3"/>
      </w:pPr>
      <w:bookmarkStart w:id="381" w:name="_Toc489952707"/>
      <w:bookmarkStart w:id="382" w:name="_Toc496536685"/>
      <w:bookmarkStart w:id="383" w:name="_Toc531277729"/>
      <w:bookmarkStart w:id="384" w:name="_Toc463350780"/>
      <w:bookmarkStart w:id="385" w:name="_Toc467165695"/>
      <w:bookmarkStart w:id="386" w:name="_Toc530073035"/>
      <w:bookmarkStart w:id="387" w:name="_Toc496536686"/>
      <w:bookmarkStart w:id="388" w:name="_Toc531277514"/>
      <w:bookmarkStart w:id="389" w:name="_Toc955324"/>
      <w:bookmarkStart w:id="390" w:name="_Toc80180270"/>
      <w:bookmarkStart w:id="391" w:name="_Toc80185518"/>
      <w:bookmarkStart w:id="392" w:name="_Toc80190332"/>
      <w:bookmarkStart w:id="393" w:name="_Toc80190409"/>
      <w:bookmarkStart w:id="394" w:name="_Toc80870662"/>
      <w:bookmarkStart w:id="395" w:name="_Toc81229255"/>
      <w:bookmarkStart w:id="396" w:name="_Toc83047299"/>
      <w:bookmarkStart w:id="397" w:name="_Toc83722053"/>
      <w:bookmarkStart w:id="398" w:name="_Toc84398468"/>
      <w:bookmarkEnd w:id="326"/>
      <w:bookmarkEnd w:id="327"/>
      <w:bookmarkEnd w:id="381"/>
      <w:bookmarkEnd w:id="382"/>
      <w:bookmarkEnd w:id="383"/>
      <w:bookmarkEnd w:id="384"/>
      <w:bookmarkEnd w:id="385"/>
      <w:bookmarkEnd w:id="386"/>
      <w:r>
        <w:t xml:space="preserve">How </w:t>
      </w:r>
      <w:r w:rsidR="00387369">
        <w:t>we pay the grant</w:t>
      </w:r>
      <w:bookmarkEnd w:id="387"/>
      <w:bookmarkEnd w:id="388"/>
      <w:bookmarkEnd w:id="389"/>
      <w:bookmarkEnd w:id="390"/>
      <w:bookmarkEnd w:id="391"/>
      <w:bookmarkEnd w:id="392"/>
      <w:bookmarkEnd w:id="393"/>
      <w:bookmarkEnd w:id="394"/>
      <w:bookmarkEnd w:id="395"/>
      <w:bookmarkEnd w:id="396"/>
      <w:bookmarkEnd w:id="397"/>
      <w:bookmarkEnd w:id="398"/>
    </w:p>
    <w:p w14:paraId="4C9F9A2E"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1EAC7EE" w14:textId="77777777" w:rsidR="00F316C0" w:rsidRDefault="002C0A35" w:rsidP="00F34E3C">
      <w:pPr>
        <w:pStyle w:val="ListBullet"/>
      </w:pPr>
      <w:r>
        <w:t xml:space="preserve">maximum grant amount </w:t>
      </w:r>
      <w:r w:rsidR="00387369">
        <w:t>we will pay</w:t>
      </w:r>
    </w:p>
    <w:p w14:paraId="4704BA8B"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B755278" w14:textId="777777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7EE9959D" w14:textId="77777777" w:rsidR="00060AAB" w:rsidRDefault="00060AAB" w:rsidP="00060AAB">
      <w:bookmarkStart w:id="399" w:name="_Toc531277515"/>
      <w:bookmarkStart w:id="400" w:name="_Toc955325"/>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621DA7F0" w14:textId="77777777" w:rsidR="004A0559" w:rsidRPr="002C5FE4" w:rsidRDefault="004A0559" w:rsidP="004A0559">
      <w:r>
        <w:t>We will make</w:t>
      </w:r>
      <w:r w:rsidR="00976279">
        <w:t xml:space="preserve"> an initial payment on execution of the grant agreement. We will make </w:t>
      </w:r>
      <w:r w:rsidR="00C14DE8">
        <w:t xml:space="preserve">subsequent payments six monthly in advance based on your forecast eligible expenditure and adjusted for unspent amounts from previous payments. Payments are subject to satisfactory progress on the project. </w:t>
      </w:r>
    </w:p>
    <w:p w14:paraId="26C07E6D" w14:textId="77777777" w:rsidR="004A0559" w:rsidRDefault="004A0559" w:rsidP="00060AAB">
      <w:r>
        <w:t>Payments are subject to satisfactory progress on the project.</w:t>
      </w:r>
    </w:p>
    <w:p w14:paraId="41BEE614" w14:textId="77777777" w:rsidR="00060AAB" w:rsidRPr="00157428" w:rsidRDefault="00060AAB" w:rsidP="00060AAB">
      <w:r w:rsidRPr="00157428">
        <w:t>We set aside at least 10 per cent of the total grant funding for the final payment. We will pay this when you submit a satisfactory end of project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538D55DF" w14:textId="77777777" w:rsidR="000C1A7A" w:rsidRDefault="000C1A7A" w:rsidP="000C1A7A">
      <w:pPr>
        <w:pStyle w:val="Heading3"/>
        <w:ind w:left="0" w:firstLine="0"/>
      </w:pPr>
      <w:bookmarkStart w:id="401" w:name="_Toc83047300"/>
      <w:bookmarkStart w:id="402" w:name="_Toc83722054"/>
      <w:bookmarkStart w:id="403" w:name="_Toc84398469"/>
      <w:bookmarkStart w:id="404" w:name="_Toc496536687"/>
      <w:bookmarkEnd w:id="328"/>
      <w:bookmarkEnd w:id="399"/>
      <w:bookmarkEnd w:id="400"/>
      <w:r>
        <w:t>Tax obligations</w:t>
      </w:r>
      <w:bookmarkEnd w:id="401"/>
      <w:bookmarkEnd w:id="402"/>
      <w:bookmarkEnd w:id="403"/>
    </w:p>
    <w:p w14:paraId="70242639"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0"/>
      </w:r>
      <w:r w:rsidRPr="005A61FE">
        <w:t>.</w:t>
      </w:r>
    </w:p>
    <w:p w14:paraId="392E4891"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FA2B9BE" w14:textId="77777777" w:rsidR="00170249" w:rsidRPr="005A61FE" w:rsidRDefault="00170249" w:rsidP="00653895">
      <w:pPr>
        <w:pStyle w:val="Heading2"/>
      </w:pPr>
      <w:bookmarkStart w:id="405" w:name="_Toc531277516"/>
      <w:bookmarkStart w:id="406" w:name="_Toc955326"/>
      <w:bookmarkStart w:id="407" w:name="_Toc80180272"/>
      <w:bookmarkStart w:id="408" w:name="_Toc80185520"/>
      <w:bookmarkStart w:id="409" w:name="_Toc80190334"/>
      <w:bookmarkStart w:id="410" w:name="_Toc80190411"/>
      <w:bookmarkStart w:id="411" w:name="_Toc80870664"/>
      <w:bookmarkStart w:id="412" w:name="_Toc81229257"/>
      <w:bookmarkStart w:id="413" w:name="_Toc83047301"/>
      <w:bookmarkStart w:id="414" w:name="_Toc83722055"/>
      <w:bookmarkStart w:id="415" w:name="_Toc84398470"/>
      <w:r w:rsidRPr="005A61FE">
        <w:t>Announcement of grants</w:t>
      </w:r>
      <w:bookmarkEnd w:id="405"/>
      <w:bookmarkEnd w:id="406"/>
      <w:bookmarkEnd w:id="407"/>
      <w:bookmarkEnd w:id="408"/>
      <w:bookmarkEnd w:id="409"/>
      <w:bookmarkEnd w:id="410"/>
      <w:bookmarkEnd w:id="411"/>
      <w:bookmarkEnd w:id="412"/>
      <w:bookmarkEnd w:id="413"/>
      <w:bookmarkEnd w:id="414"/>
      <w:bookmarkEnd w:id="415"/>
    </w:p>
    <w:p w14:paraId="60BC8A69" w14:textId="77777777"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42"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3C16B68F" w14:textId="77777777" w:rsidR="004D2CBD" w:rsidRPr="00E62F87" w:rsidRDefault="004D2CBD" w:rsidP="00653895">
      <w:pPr>
        <w:pStyle w:val="ListBullet"/>
      </w:pPr>
      <w:r w:rsidRPr="00E62F87">
        <w:t xml:space="preserve">name of your </w:t>
      </w:r>
      <w:r w:rsidR="00A6379E" w:rsidRPr="00E62F87">
        <w:t>organisation</w:t>
      </w:r>
    </w:p>
    <w:p w14:paraId="4E6672AD" w14:textId="77777777" w:rsidR="004D2CBD" w:rsidRPr="00E62F87" w:rsidRDefault="004D2CBD" w:rsidP="00653895">
      <w:pPr>
        <w:pStyle w:val="ListBullet"/>
      </w:pPr>
      <w:r w:rsidRPr="00E62F87">
        <w:t>title of the project</w:t>
      </w:r>
    </w:p>
    <w:p w14:paraId="4B4A31CF" w14:textId="77777777" w:rsidR="004D2CBD" w:rsidRPr="00E62F87" w:rsidRDefault="004D2CBD" w:rsidP="00653895">
      <w:pPr>
        <w:pStyle w:val="ListBullet"/>
      </w:pPr>
      <w:r w:rsidRPr="00E62F87">
        <w:t>description of the project and its aims</w:t>
      </w:r>
    </w:p>
    <w:p w14:paraId="7865BFAB" w14:textId="77777777" w:rsidR="004D2CBD" w:rsidRPr="00E62F87" w:rsidRDefault="004D2CBD" w:rsidP="00653895">
      <w:pPr>
        <w:pStyle w:val="ListBullet"/>
      </w:pPr>
      <w:r w:rsidRPr="00E62F87">
        <w:t>amount of grant funding awarded</w:t>
      </w:r>
    </w:p>
    <w:p w14:paraId="7276EB6B" w14:textId="77777777" w:rsidR="00B321C1" w:rsidRPr="00E62F87" w:rsidRDefault="00B321C1" w:rsidP="00653895">
      <w:pPr>
        <w:pStyle w:val="ListBullet"/>
      </w:pPr>
      <w:r w:rsidRPr="00E62F87">
        <w:t>Australian Business Number</w:t>
      </w:r>
    </w:p>
    <w:p w14:paraId="57326214" w14:textId="77777777" w:rsidR="00B321C1" w:rsidRPr="00E62F87" w:rsidRDefault="00B321C1" w:rsidP="00653895">
      <w:pPr>
        <w:pStyle w:val="ListBullet"/>
      </w:pPr>
      <w:r w:rsidRPr="00E62F87">
        <w:t>business location</w:t>
      </w:r>
    </w:p>
    <w:p w14:paraId="42E97CFF"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126D136A" w14:textId="77777777" w:rsidR="002C00A0" w:rsidRDefault="00B617C2" w:rsidP="00007E4B">
      <w:pPr>
        <w:pStyle w:val="Heading2"/>
      </w:pPr>
      <w:bookmarkStart w:id="416" w:name="_Toc530073040"/>
      <w:bookmarkStart w:id="417" w:name="_Toc531277517"/>
      <w:bookmarkStart w:id="418" w:name="_Toc955327"/>
      <w:bookmarkStart w:id="419" w:name="_Toc80180273"/>
      <w:bookmarkStart w:id="420" w:name="_Toc80185521"/>
      <w:bookmarkStart w:id="421" w:name="_Toc80190335"/>
      <w:bookmarkStart w:id="422" w:name="_Toc80190412"/>
      <w:bookmarkStart w:id="423" w:name="_Toc80870665"/>
      <w:bookmarkStart w:id="424" w:name="_Toc81229258"/>
      <w:bookmarkStart w:id="425" w:name="_Toc83047302"/>
      <w:bookmarkStart w:id="426" w:name="_Toc83722056"/>
      <w:bookmarkStart w:id="427" w:name="_Toc84398471"/>
      <w:bookmarkEnd w:id="416"/>
      <w:r>
        <w:t xml:space="preserve">How we monitor your </w:t>
      </w:r>
      <w:bookmarkEnd w:id="404"/>
      <w:bookmarkEnd w:id="417"/>
      <w:bookmarkEnd w:id="418"/>
      <w:r w:rsidR="00082460">
        <w:t>grant activity</w:t>
      </w:r>
      <w:bookmarkEnd w:id="419"/>
      <w:bookmarkEnd w:id="420"/>
      <w:bookmarkEnd w:id="421"/>
      <w:bookmarkEnd w:id="422"/>
      <w:bookmarkEnd w:id="423"/>
      <w:bookmarkEnd w:id="424"/>
      <w:bookmarkEnd w:id="425"/>
      <w:bookmarkEnd w:id="426"/>
      <w:bookmarkEnd w:id="427"/>
    </w:p>
    <w:p w14:paraId="7D8E75A3" w14:textId="77777777" w:rsidR="0094135B" w:rsidRDefault="000C1A7A" w:rsidP="005E4068">
      <w:pPr>
        <w:pStyle w:val="Heading3"/>
        <w:ind w:left="0" w:firstLine="0"/>
      </w:pPr>
      <w:bookmarkStart w:id="428" w:name="_Toc531277518"/>
      <w:bookmarkStart w:id="429" w:name="_Toc955328"/>
      <w:bookmarkStart w:id="430" w:name="_Toc80180274"/>
      <w:bookmarkStart w:id="431" w:name="_Toc80185522"/>
      <w:bookmarkStart w:id="432" w:name="_Toc80190336"/>
      <w:bookmarkStart w:id="433" w:name="_Toc80190413"/>
      <w:bookmarkStart w:id="434" w:name="_Toc80870666"/>
      <w:bookmarkStart w:id="435" w:name="_Toc81229259"/>
      <w:bookmarkStart w:id="436" w:name="_Toc83047303"/>
      <w:bookmarkStart w:id="437" w:name="_Toc83722057"/>
      <w:bookmarkStart w:id="438" w:name="_Toc84398472"/>
      <w:r>
        <w:t>Keeping us informed</w:t>
      </w:r>
      <w:bookmarkEnd w:id="428"/>
      <w:bookmarkEnd w:id="429"/>
      <w:bookmarkEnd w:id="430"/>
      <w:bookmarkEnd w:id="431"/>
      <w:bookmarkEnd w:id="432"/>
      <w:bookmarkEnd w:id="433"/>
      <w:bookmarkEnd w:id="434"/>
      <w:bookmarkEnd w:id="435"/>
      <w:bookmarkEnd w:id="436"/>
      <w:bookmarkEnd w:id="437"/>
      <w:bookmarkEnd w:id="438"/>
    </w:p>
    <w:p w14:paraId="5D43EDE4" w14:textId="77777777" w:rsidR="0091685B" w:rsidRDefault="00511003" w:rsidP="0094135B">
      <w:r>
        <w:t xml:space="preserve">You </w:t>
      </w:r>
      <w:r w:rsidR="00553ABC">
        <w:t xml:space="preserve">must </w:t>
      </w:r>
      <w:r w:rsidR="00797720">
        <w:t xml:space="preserve">let us know </w:t>
      </w:r>
      <w:r w:rsidR="00553ABC">
        <w:t xml:space="preserve">as soon as possible </w:t>
      </w:r>
      <w:r w:rsidR="00797720">
        <w:t>if</w:t>
      </w:r>
      <w:r>
        <w:t xml:space="preserve"> anything </w:t>
      </w:r>
      <w:r w:rsidR="00797720">
        <w:t>is</w:t>
      </w:r>
      <w:r>
        <w:t xml:space="preserve"> likely to affect your project or organisation. </w:t>
      </w:r>
    </w:p>
    <w:p w14:paraId="120A3174"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2C17D8A7" w14:textId="77777777" w:rsidR="0094135B" w:rsidRDefault="0091685B" w:rsidP="00760D2E">
      <w:pPr>
        <w:spacing w:after="80"/>
      </w:pPr>
      <w:r>
        <w:t>You must also inform us of any changes to your</w:t>
      </w:r>
      <w:r w:rsidR="00414A64">
        <w:t>:</w:t>
      </w:r>
    </w:p>
    <w:p w14:paraId="29DF4A46" w14:textId="77777777" w:rsidR="0091685B" w:rsidRDefault="0091685B" w:rsidP="00653895">
      <w:pPr>
        <w:pStyle w:val="ListBullet"/>
      </w:pPr>
      <w:r>
        <w:t>name</w:t>
      </w:r>
    </w:p>
    <w:p w14:paraId="76311D78" w14:textId="77777777" w:rsidR="0091685B" w:rsidRDefault="0091685B" w:rsidP="00653895">
      <w:pPr>
        <w:pStyle w:val="ListBullet"/>
      </w:pPr>
      <w:r>
        <w:t>addresses</w:t>
      </w:r>
    </w:p>
    <w:p w14:paraId="55446DB8" w14:textId="77777777" w:rsidR="0091685B" w:rsidRDefault="0091685B" w:rsidP="00653895">
      <w:pPr>
        <w:pStyle w:val="ListBullet"/>
      </w:pPr>
      <w:r>
        <w:t>nominated contact details</w:t>
      </w:r>
    </w:p>
    <w:p w14:paraId="3D31FFB0" w14:textId="77777777" w:rsidR="0091685B" w:rsidRDefault="0091685B" w:rsidP="00653895">
      <w:pPr>
        <w:pStyle w:val="ListBullet"/>
        <w:spacing w:after="120"/>
      </w:pPr>
      <w:proofErr w:type="gramStart"/>
      <w:r>
        <w:t>bank</w:t>
      </w:r>
      <w:proofErr w:type="gramEnd"/>
      <w:r>
        <w:t xml:space="preserve"> account details. </w:t>
      </w:r>
    </w:p>
    <w:p w14:paraId="422AE698"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02DD1F07"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7FBFFCB" w14:textId="77777777" w:rsidR="000C1A7A" w:rsidRDefault="000C1A7A" w:rsidP="000C1A7A">
      <w:pPr>
        <w:pStyle w:val="Heading3"/>
        <w:ind w:left="0" w:firstLine="0"/>
      </w:pPr>
      <w:bookmarkStart w:id="439" w:name="_Toc83047304"/>
      <w:bookmarkStart w:id="440" w:name="_Toc83722058"/>
      <w:bookmarkStart w:id="441" w:name="_Toc84398473"/>
      <w:r>
        <w:t>Reporting</w:t>
      </w:r>
      <w:bookmarkEnd w:id="439"/>
      <w:bookmarkEnd w:id="440"/>
      <w:bookmarkEnd w:id="441"/>
    </w:p>
    <w:p w14:paraId="19910E0E"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6CD4EA80" w14:textId="77777777" w:rsidR="0015405F" w:rsidRDefault="003B18C7" w:rsidP="00A8754E">
      <w:pPr>
        <w:pStyle w:val="ListBullet"/>
      </w:pPr>
      <w:r>
        <w:t>progress against agreed project milestones</w:t>
      </w:r>
    </w:p>
    <w:p w14:paraId="3F353247" w14:textId="77777777" w:rsidR="0015405F" w:rsidRDefault="00A506FB" w:rsidP="00A8754E">
      <w:pPr>
        <w:pStyle w:val="ListBullet"/>
      </w:pPr>
      <w:r>
        <w:t>project expenditure, including expenditure</w:t>
      </w:r>
      <w:r w:rsidR="00FB2CBF">
        <w:t xml:space="preserve"> of grant funds</w:t>
      </w:r>
    </w:p>
    <w:p w14:paraId="76D69858" w14:textId="77777777" w:rsidR="00FB2CBF" w:rsidRDefault="00FB2CBF" w:rsidP="00FB2CBF">
      <w:pPr>
        <w:pStyle w:val="ListBullet"/>
        <w:spacing w:after="120"/>
      </w:pPr>
      <w:proofErr w:type="gramStart"/>
      <w:r>
        <w:t>contributions</w:t>
      </w:r>
      <w:proofErr w:type="gramEnd"/>
      <w:r>
        <w:t xml:space="preserve"> of participants directly related to the project.</w:t>
      </w:r>
    </w:p>
    <w:p w14:paraId="219F5DE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79E26385"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7D10E823" w14:textId="77777777" w:rsidR="006132DF" w:rsidRDefault="006132DF" w:rsidP="006F6212">
      <w:pPr>
        <w:pStyle w:val="Heading4"/>
      </w:pPr>
      <w:bookmarkStart w:id="442" w:name="_Toc496536688"/>
      <w:bookmarkStart w:id="443" w:name="_Toc531277520"/>
      <w:bookmarkStart w:id="444" w:name="_Toc955330"/>
      <w:bookmarkStart w:id="445" w:name="_Toc80180276"/>
      <w:bookmarkStart w:id="446" w:name="_Toc80185524"/>
      <w:bookmarkStart w:id="447" w:name="_Toc80190338"/>
      <w:bookmarkStart w:id="448" w:name="_Toc80190415"/>
      <w:bookmarkStart w:id="449" w:name="_Toc80870668"/>
      <w:bookmarkStart w:id="450" w:name="_Toc81229261"/>
      <w:bookmarkStart w:id="451" w:name="_Toc83047305"/>
      <w:bookmarkStart w:id="452" w:name="_Toc83722059"/>
      <w:bookmarkStart w:id="453" w:name="_Toc84398474"/>
      <w:r>
        <w:t>Progress report</w:t>
      </w:r>
      <w:r w:rsidR="00CE056C">
        <w:t>s</w:t>
      </w:r>
      <w:bookmarkEnd w:id="442"/>
      <w:bookmarkEnd w:id="443"/>
      <w:bookmarkEnd w:id="444"/>
      <w:bookmarkEnd w:id="445"/>
      <w:bookmarkEnd w:id="446"/>
      <w:bookmarkEnd w:id="447"/>
      <w:bookmarkEnd w:id="448"/>
      <w:bookmarkEnd w:id="449"/>
      <w:bookmarkEnd w:id="450"/>
      <w:bookmarkEnd w:id="451"/>
      <w:bookmarkEnd w:id="452"/>
      <w:bookmarkEnd w:id="453"/>
    </w:p>
    <w:p w14:paraId="0CA68C9D" w14:textId="77777777" w:rsidR="006132DF" w:rsidRDefault="006132DF" w:rsidP="00760D2E">
      <w:pPr>
        <w:spacing w:after="80"/>
      </w:pPr>
      <w:r>
        <w:t>Progress</w:t>
      </w:r>
      <w:r w:rsidRPr="00E162FF">
        <w:t xml:space="preserve"> reports must</w:t>
      </w:r>
      <w:r w:rsidR="00825941">
        <w:t>:</w:t>
      </w:r>
    </w:p>
    <w:p w14:paraId="6C6D2D49" w14:textId="77777777"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36F49F3" w14:textId="77777777"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4F74AFA4" w14:textId="77777777" w:rsidR="00E50F98" w:rsidRDefault="00E50F98" w:rsidP="006132DF">
      <w:pPr>
        <w:pStyle w:val="ListBullet"/>
        <w:spacing w:before="60" w:after="60"/>
        <w:ind w:left="357" w:hanging="357"/>
      </w:pPr>
      <w:r>
        <w:t>include evidence of expenditure</w:t>
      </w:r>
    </w:p>
    <w:p w14:paraId="4A83018A" w14:textId="77777777" w:rsidR="006132DF" w:rsidRDefault="006132DF" w:rsidP="00C72FE9">
      <w:pPr>
        <w:pStyle w:val="ListBullet"/>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EDEF89B"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AF4143E" w14:textId="77777777" w:rsidR="006132DF" w:rsidRDefault="006132DF" w:rsidP="006132DF">
      <w:r>
        <w:t xml:space="preserve">You must discuss any project or milestone reporting delays with </w:t>
      </w:r>
      <w:r w:rsidR="00D77D54">
        <w:t>us</w:t>
      </w:r>
      <w:r>
        <w:t xml:space="preserve"> as soon as you become aware of them. </w:t>
      </w:r>
    </w:p>
    <w:p w14:paraId="30B988BC" w14:textId="77777777" w:rsidR="006132DF" w:rsidRDefault="002810E7" w:rsidP="006F6212">
      <w:pPr>
        <w:pStyle w:val="Heading4"/>
      </w:pPr>
      <w:bookmarkStart w:id="454" w:name="_Toc496536689"/>
      <w:bookmarkStart w:id="455" w:name="_Toc531277521"/>
      <w:bookmarkStart w:id="456" w:name="_Toc955331"/>
      <w:bookmarkStart w:id="457" w:name="_Toc80180277"/>
      <w:bookmarkStart w:id="458" w:name="_Toc80185525"/>
      <w:bookmarkStart w:id="459" w:name="_Toc80190339"/>
      <w:bookmarkStart w:id="460" w:name="_Toc80190416"/>
      <w:bookmarkStart w:id="461" w:name="_Toc80870669"/>
      <w:bookmarkStart w:id="462" w:name="_Toc81229262"/>
      <w:bookmarkStart w:id="463" w:name="_Toc83047306"/>
      <w:bookmarkStart w:id="464" w:name="_Toc83722060"/>
      <w:bookmarkStart w:id="465" w:name="_Toc84398475"/>
      <w:r w:rsidRPr="005A61FE">
        <w:t>End of project</w:t>
      </w:r>
      <w:r w:rsidR="006132DF">
        <w:t xml:space="preserve"> report</w:t>
      </w:r>
      <w:bookmarkEnd w:id="454"/>
      <w:bookmarkEnd w:id="455"/>
      <w:bookmarkEnd w:id="456"/>
      <w:bookmarkEnd w:id="457"/>
      <w:bookmarkEnd w:id="458"/>
      <w:bookmarkEnd w:id="459"/>
      <w:bookmarkEnd w:id="460"/>
      <w:bookmarkEnd w:id="461"/>
      <w:bookmarkEnd w:id="462"/>
      <w:bookmarkEnd w:id="463"/>
      <w:bookmarkEnd w:id="464"/>
      <w:bookmarkEnd w:id="465"/>
    </w:p>
    <w:p w14:paraId="58BF51A9"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3EACB788" w14:textId="77777777" w:rsidR="006132DF" w:rsidRDefault="002810E7" w:rsidP="00760D2E">
      <w:pPr>
        <w:spacing w:after="80"/>
      </w:pPr>
      <w:r w:rsidRPr="005A61FE">
        <w:t>End of project</w:t>
      </w:r>
      <w:r w:rsidR="0091403C">
        <w:t xml:space="preserve"> reports must</w:t>
      </w:r>
      <w:r w:rsidR="00825941">
        <w:t>:</w:t>
      </w:r>
    </w:p>
    <w:p w14:paraId="0309AEE8"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2587AD3C"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610D9E0E" w14:textId="77777777"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627565F6" w14:textId="77777777" w:rsidR="006132DF" w:rsidRDefault="006132DF" w:rsidP="00613C48">
      <w:pPr>
        <w:pStyle w:val="ListBullet"/>
        <w:spacing w:before="60" w:after="60"/>
        <w:ind w:left="357" w:hanging="357"/>
      </w:pPr>
      <w:proofErr w:type="gramStart"/>
      <w:r>
        <w:t>be</w:t>
      </w:r>
      <w:proofErr w:type="gramEnd"/>
      <w:r>
        <w:t xml:space="preserve"> submitted </w:t>
      </w:r>
      <w:r w:rsidR="00C92BE0">
        <w:t>by the report due date</w:t>
      </w:r>
      <w:r w:rsidR="007F013E">
        <w:t>.</w:t>
      </w:r>
    </w:p>
    <w:p w14:paraId="4CD57744" w14:textId="77777777" w:rsidR="006132DF" w:rsidRDefault="006132DF" w:rsidP="006F6212">
      <w:pPr>
        <w:pStyle w:val="Heading4"/>
      </w:pPr>
      <w:bookmarkStart w:id="466" w:name="_Toc496536690"/>
      <w:bookmarkStart w:id="467" w:name="_Toc531277522"/>
      <w:bookmarkStart w:id="468" w:name="_Toc955332"/>
      <w:bookmarkStart w:id="469" w:name="_Toc80180278"/>
      <w:bookmarkStart w:id="470" w:name="_Toc80185526"/>
      <w:bookmarkStart w:id="471" w:name="_Toc80190340"/>
      <w:bookmarkStart w:id="472" w:name="_Toc80190417"/>
      <w:bookmarkStart w:id="473" w:name="_Toc80870670"/>
      <w:bookmarkStart w:id="474" w:name="_Toc81229263"/>
      <w:bookmarkStart w:id="475" w:name="_Toc83047307"/>
      <w:bookmarkStart w:id="476" w:name="_Toc83722061"/>
      <w:bookmarkStart w:id="477" w:name="_Toc84398476"/>
      <w:r>
        <w:t>Ad</w:t>
      </w:r>
      <w:r w:rsidR="007F013E">
        <w:t>-</w:t>
      </w:r>
      <w:r>
        <w:t>hoc report</w:t>
      </w:r>
      <w:bookmarkEnd w:id="466"/>
      <w:bookmarkEnd w:id="467"/>
      <w:bookmarkEnd w:id="468"/>
      <w:r w:rsidR="009E1D7E">
        <w:t>s</w:t>
      </w:r>
      <w:bookmarkEnd w:id="469"/>
      <w:bookmarkEnd w:id="470"/>
      <w:bookmarkEnd w:id="471"/>
      <w:bookmarkEnd w:id="472"/>
      <w:bookmarkEnd w:id="473"/>
      <w:bookmarkEnd w:id="474"/>
      <w:bookmarkEnd w:id="475"/>
      <w:bookmarkEnd w:id="476"/>
      <w:bookmarkEnd w:id="477"/>
    </w:p>
    <w:p w14:paraId="344D50EF"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526A383" w14:textId="77777777" w:rsidR="000C1A7A" w:rsidRDefault="000C1A7A" w:rsidP="000C1A7A">
      <w:pPr>
        <w:pStyle w:val="Heading3"/>
        <w:ind w:left="0" w:firstLine="0"/>
      </w:pPr>
      <w:bookmarkStart w:id="478" w:name="_Toc83047308"/>
      <w:bookmarkStart w:id="479" w:name="_Toc83722062"/>
      <w:bookmarkStart w:id="480" w:name="_Toc84398477"/>
      <w:r>
        <w:t>Independent audits</w:t>
      </w:r>
      <w:bookmarkEnd w:id="478"/>
      <w:bookmarkEnd w:id="479"/>
      <w:bookmarkEnd w:id="480"/>
    </w:p>
    <w:p w14:paraId="065BA565" w14:textId="77777777" w:rsidR="00006C53" w:rsidRDefault="00006C53" w:rsidP="00006C53">
      <w:bookmarkStart w:id="481" w:name="_Toc383003276"/>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 xml:space="preserve">available on business.gov.au and </w:t>
      </w:r>
      <w:proofErr w:type="spellStart"/>
      <w:r>
        <w:t>GrantConnect</w:t>
      </w:r>
      <w:proofErr w:type="spellEnd"/>
      <w:r>
        <w:t>.</w:t>
      </w:r>
    </w:p>
    <w:p w14:paraId="04E4CE24" w14:textId="77777777" w:rsidR="000C1A7A" w:rsidRDefault="000C1A7A" w:rsidP="000C1A7A">
      <w:pPr>
        <w:pStyle w:val="Heading3"/>
        <w:ind w:left="0" w:firstLine="0"/>
      </w:pPr>
      <w:bookmarkStart w:id="482" w:name="_Toc83047309"/>
      <w:bookmarkStart w:id="483" w:name="_Toc83722063"/>
      <w:bookmarkStart w:id="484" w:name="_Toc84398478"/>
      <w:r>
        <w:t>Compliance visits</w:t>
      </w:r>
      <w:bookmarkEnd w:id="482"/>
      <w:bookmarkEnd w:id="483"/>
      <w:bookmarkEnd w:id="484"/>
    </w:p>
    <w:p w14:paraId="58C4E24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rsidR="00242901">
        <w:t xml:space="preserve">, </w:t>
      </w:r>
      <w:r>
        <w:t xml:space="preserve">to review your compliance with the grant agreement. We may also inspect the records you are required to keep under the grant agreement. </w:t>
      </w:r>
      <w:r w:rsidR="00DD05FF">
        <w:t>W</w:t>
      </w:r>
      <w:r w:rsidR="00146445">
        <w:t xml:space="preserve">e may </w:t>
      </w:r>
      <w:r w:rsidR="00DD05FF">
        <w:t xml:space="preserve">also </w:t>
      </w:r>
      <w:r w:rsidR="00146445">
        <w:t>visit you</w:t>
      </w:r>
      <w:r>
        <w:t xml:space="preserve"> after </w:t>
      </w:r>
      <w:r w:rsidR="00146445">
        <w:t>you finish</w:t>
      </w:r>
      <w:r>
        <w:t xml:space="preserve"> your project. We will provide you with reasonable notice of any compliance visit.</w:t>
      </w:r>
    </w:p>
    <w:p w14:paraId="14292478" w14:textId="77777777" w:rsidR="00CE1A20" w:rsidRPr="009E7919" w:rsidRDefault="000C1A7A" w:rsidP="000C1A7A">
      <w:pPr>
        <w:pStyle w:val="Heading3"/>
        <w:ind w:left="0" w:firstLine="0"/>
      </w:pPr>
      <w:bookmarkStart w:id="485" w:name="_Toc83047310"/>
      <w:bookmarkStart w:id="486" w:name="_Toc83722064"/>
      <w:bookmarkStart w:id="487" w:name="_Toc84398479"/>
      <w:bookmarkEnd w:id="481"/>
      <w:r>
        <w:t>Grant agreement variations</w:t>
      </w:r>
      <w:bookmarkEnd w:id="485"/>
      <w:bookmarkEnd w:id="486"/>
      <w:bookmarkEnd w:id="487"/>
    </w:p>
    <w:p w14:paraId="0968DA4D"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68B731F" w14:textId="77777777" w:rsidR="00D100A1" w:rsidRDefault="00CE1A20" w:rsidP="00F34E3C">
      <w:pPr>
        <w:pStyle w:val="ListBullet"/>
      </w:pPr>
      <w:r w:rsidRPr="00E162FF">
        <w:t>chang</w:t>
      </w:r>
      <w:r w:rsidR="00D100A1">
        <w:t xml:space="preserve">ing </w:t>
      </w:r>
      <w:r w:rsidRPr="00E162FF">
        <w:t>project milestones</w:t>
      </w:r>
    </w:p>
    <w:p w14:paraId="7ECC3A1C" w14:textId="492F6686"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242901">
        <w:t xml:space="preserve">up to </w:t>
      </w:r>
      <w:r w:rsidR="00F23F1D">
        <w:t>31 March 2025</w:t>
      </w:r>
    </w:p>
    <w:p w14:paraId="7BDE39CE" w14:textId="77777777" w:rsidR="00EE50C7" w:rsidRDefault="00EE50C7" w:rsidP="00F34E3C">
      <w:pPr>
        <w:pStyle w:val="ListBullet"/>
      </w:pPr>
      <w:r>
        <w:t>changing project activities</w:t>
      </w:r>
    </w:p>
    <w:p w14:paraId="175C9AEF"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56B0897B" w14:textId="77777777"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4D971889"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38952C57"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4DD2E703"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EF53D06"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132EE58"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9EE4D4E" w14:textId="77777777" w:rsidR="0091403C" w:rsidRDefault="0091403C" w:rsidP="00F34E3C">
      <w:pPr>
        <w:pStyle w:val="ListBullet"/>
      </w:pPr>
      <w:r>
        <w:t>changes to the timing of grant payments</w:t>
      </w:r>
    </w:p>
    <w:p w14:paraId="76189109"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780EF19" w14:textId="77777777" w:rsidR="000C1A7A" w:rsidRDefault="000C1A7A" w:rsidP="000C1A7A">
      <w:pPr>
        <w:pStyle w:val="Heading3"/>
        <w:ind w:left="0" w:firstLine="0"/>
      </w:pPr>
      <w:bookmarkStart w:id="488" w:name="_Toc83047311"/>
      <w:bookmarkStart w:id="489" w:name="_Toc83722065"/>
      <w:bookmarkStart w:id="490" w:name="_Toc84398480"/>
      <w:r>
        <w:t>Evaluation</w:t>
      </w:r>
      <w:bookmarkEnd w:id="488"/>
      <w:bookmarkEnd w:id="489"/>
      <w:bookmarkEnd w:id="490"/>
    </w:p>
    <w:p w14:paraId="18614A0E" w14:textId="77777777" w:rsidR="000B5218" w:rsidRPr="005A61FE" w:rsidRDefault="00242901" w:rsidP="00F54561">
      <w:r>
        <w:t>The National Recovery and Re</w:t>
      </w:r>
      <w:r w:rsidR="006110D1">
        <w:t>silience</w:t>
      </w:r>
      <w:r>
        <w:t xml:space="preserve"> Agency (NRRA)</w:t>
      </w:r>
      <w:r w:rsidR="00011AA7">
        <w:t xml:space="preserve"> </w:t>
      </w:r>
      <w:r w:rsidR="00670C9E">
        <w:t>will</w:t>
      </w:r>
      <w:r w:rsidR="00011AA7">
        <w:t xml:space="preserve"> evaluat</w:t>
      </w:r>
      <w:r w:rsidR="000E11A2">
        <w:t>e</w:t>
      </w:r>
      <w:r w:rsidR="00011AA7">
        <w:t xml:space="preserve"> the </w:t>
      </w:r>
      <w:r w:rsidR="000B5218" w:rsidRPr="005A61FE">
        <w:t xml:space="preserve">grant </w:t>
      </w:r>
      <w:r w:rsidR="00262481">
        <w:t>program</w:t>
      </w:r>
      <w:r>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proofErr w:type="gramStart"/>
      <w:r w:rsidR="000B5218" w:rsidRPr="005A61FE">
        <w:t>have been achieved</w:t>
      </w:r>
      <w:proofErr w:type="gramEnd"/>
      <w:r w:rsidR="00011AA7" w:rsidRPr="005A61FE">
        <w:t>.</w:t>
      </w:r>
      <w:r w:rsidR="00011AA7">
        <w:t xml:space="preserve"> We may use information from your application and project reports</w:t>
      </w:r>
      <w:r w:rsidR="00453537">
        <w:t xml:space="preserve"> for this purpose</w:t>
      </w:r>
      <w:r w:rsidR="00011AA7">
        <w:t xml:space="preserve">. </w:t>
      </w:r>
      <w:r w:rsidR="00BC1074">
        <w:t xml:space="preserve">The </w:t>
      </w:r>
      <w:r>
        <w:t>NRRA</w:t>
      </w:r>
      <w:r w:rsidR="00011AA7">
        <w:t xml:space="preserve"> may also interview you, or ask you for more information to help </w:t>
      </w:r>
      <w:r>
        <w:t>them</w:t>
      </w:r>
      <w:r w:rsidR="00011AA7">
        <w:t xml:space="preserve"> understand how the grant </w:t>
      </w:r>
      <w:proofErr w:type="gramStart"/>
      <w:r w:rsidR="00011AA7">
        <w:t>impacted</w:t>
      </w:r>
      <w:proofErr w:type="gramEnd"/>
      <w:r w:rsidR="00011AA7">
        <w:t xml:space="preserve"> </w:t>
      </w:r>
      <w:r w:rsidR="00FF231B">
        <w:t>you</w:t>
      </w:r>
      <w:r w:rsidR="00011AA7">
        <w:t xml:space="preserve"> and to evaluate how effective the </w:t>
      </w:r>
      <w:r w:rsidR="00262481">
        <w:t>program</w:t>
      </w:r>
      <w:r w:rsidR="00011AA7">
        <w:t xml:space="preserve"> was in achieving its outcomes.</w:t>
      </w:r>
      <w:r w:rsidR="00BC1074">
        <w:t xml:space="preserve"> The NRRA may establish case studies </w:t>
      </w:r>
      <w:r w:rsidR="003B3904">
        <w:t>of</w:t>
      </w:r>
      <w:r w:rsidR="00BC1074">
        <w:t xml:space="preserve"> </w:t>
      </w:r>
      <w:r w:rsidR="003B3904">
        <w:t xml:space="preserve">successful </w:t>
      </w:r>
      <w:r w:rsidR="00BC1074">
        <w:t>project</w:t>
      </w:r>
      <w:r w:rsidR="003B3904">
        <w:t>s</w:t>
      </w:r>
      <w:r w:rsidR="00BC1074">
        <w:t xml:space="preserve"> in consultation with </w:t>
      </w:r>
      <w:r w:rsidR="003B3904">
        <w:t>grantees</w:t>
      </w:r>
      <w:r w:rsidR="00BC1074">
        <w:t>.</w:t>
      </w:r>
    </w:p>
    <w:p w14:paraId="6762C8DC" w14:textId="77777777" w:rsidR="00011AA7" w:rsidRPr="00F54561" w:rsidRDefault="007129CA" w:rsidP="00F54561">
      <w:r>
        <w:t xml:space="preserve">The </w:t>
      </w:r>
      <w:r w:rsidR="006D0CC4">
        <w:t xml:space="preserve">NRRA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3C08E97" w14:textId="77777777" w:rsidR="000C1A7A" w:rsidRDefault="000C1A7A" w:rsidP="000C1A7A">
      <w:pPr>
        <w:pStyle w:val="Heading3"/>
        <w:ind w:left="0" w:firstLine="0"/>
      </w:pPr>
      <w:bookmarkStart w:id="491" w:name="_Toc83047312"/>
      <w:bookmarkStart w:id="492" w:name="_Toc83722066"/>
      <w:bookmarkStart w:id="493" w:name="_Toc84398481"/>
      <w:bookmarkStart w:id="494" w:name="_Toc164844290"/>
      <w:bookmarkStart w:id="495" w:name="_Toc383003280"/>
      <w:r>
        <w:t>Grant acknowledgement</w:t>
      </w:r>
      <w:bookmarkEnd w:id="491"/>
      <w:bookmarkEnd w:id="492"/>
      <w:bookmarkEnd w:id="493"/>
    </w:p>
    <w:p w14:paraId="1D2B1B90"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CD1B96" w14:textId="77777777" w:rsidR="00564DF1" w:rsidRDefault="00564DF1" w:rsidP="00564DF1">
      <w:r>
        <w:t>‘This project received grant funding from the Australian Government.’</w:t>
      </w:r>
    </w:p>
    <w:p w14:paraId="6CA80CC7" w14:textId="77777777" w:rsidR="00564DF1" w:rsidRDefault="00564DF1" w:rsidP="00564DF1">
      <w:r>
        <w:t xml:space="preserve">If you erect signage in relation to the project, the signage must </w:t>
      </w:r>
      <w:r w:rsidR="00263B2F">
        <w:t xml:space="preserve">also </w:t>
      </w:r>
      <w:r>
        <w:t>contain an acknowledgement of the grant</w:t>
      </w:r>
      <w:r w:rsidR="00242901">
        <w:t>.</w:t>
      </w:r>
    </w:p>
    <w:p w14:paraId="05FF0C7B" w14:textId="77777777" w:rsidR="000B5218" w:rsidRPr="005A61FE" w:rsidRDefault="000B5218" w:rsidP="00992F8E">
      <w:pPr>
        <w:pStyle w:val="Heading2"/>
      </w:pPr>
      <w:bookmarkStart w:id="496" w:name="_Toc531277528"/>
      <w:bookmarkStart w:id="497" w:name="_Toc955338"/>
      <w:bookmarkStart w:id="498" w:name="_Toc80180284"/>
      <w:bookmarkStart w:id="499" w:name="_Toc80185532"/>
      <w:bookmarkStart w:id="500" w:name="_Toc80190346"/>
      <w:bookmarkStart w:id="501" w:name="_Toc80190423"/>
      <w:bookmarkStart w:id="502" w:name="_Toc80870676"/>
      <w:bookmarkStart w:id="503" w:name="_Toc81229269"/>
      <w:bookmarkStart w:id="504" w:name="_Toc83047313"/>
      <w:bookmarkStart w:id="505" w:name="_Toc83722067"/>
      <w:bookmarkStart w:id="506" w:name="_Toc84398482"/>
      <w:bookmarkStart w:id="507" w:name="_Toc496536698"/>
      <w:r w:rsidRPr="005A61FE">
        <w:t>Probity</w:t>
      </w:r>
      <w:bookmarkEnd w:id="496"/>
      <w:bookmarkEnd w:id="497"/>
      <w:bookmarkEnd w:id="498"/>
      <w:bookmarkEnd w:id="499"/>
      <w:bookmarkEnd w:id="500"/>
      <w:bookmarkEnd w:id="501"/>
      <w:bookmarkEnd w:id="502"/>
      <w:bookmarkEnd w:id="503"/>
      <w:bookmarkEnd w:id="504"/>
      <w:bookmarkEnd w:id="505"/>
      <w:bookmarkEnd w:id="506"/>
    </w:p>
    <w:p w14:paraId="248E8A99"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B67E71A" w14:textId="77777777" w:rsidR="000C1A7A" w:rsidRDefault="000C1A7A" w:rsidP="000C1A7A">
      <w:pPr>
        <w:pStyle w:val="Heading3"/>
        <w:ind w:left="0" w:firstLine="0"/>
      </w:pPr>
      <w:bookmarkStart w:id="508" w:name="_Toc83047314"/>
      <w:bookmarkStart w:id="509" w:name="_Toc83722068"/>
      <w:bookmarkStart w:id="510" w:name="_Toc84398483"/>
      <w:bookmarkStart w:id="511" w:name="_Toc496536699"/>
      <w:bookmarkEnd w:id="507"/>
      <w:r>
        <w:t>Conflicts of interest</w:t>
      </w:r>
      <w:bookmarkEnd w:id="508"/>
      <w:bookmarkEnd w:id="509"/>
      <w:bookmarkEnd w:id="510"/>
    </w:p>
    <w:p w14:paraId="2C1989EB" w14:textId="77777777" w:rsidR="002662F6" w:rsidRDefault="000B5218" w:rsidP="00007E4B">
      <w:r w:rsidRPr="005A61FE">
        <w:t>Any conflicts</w:t>
      </w:r>
      <w:r w:rsidR="002662F6">
        <w:t xml:space="preserve"> of interest </w:t>
      </w:r>
      <w:bookmarkEnd w:id="511"/>
      <w:r w:rsidR="002662F6">
        <w:t>could affect the performance</w:t>
      </w:r>
      <w:r w:rsidR="00263B2F">
        <w:t xml:space="preserve"> and integrity</w:t>
      </w:r>
      <w:r w:rsidR="002662F6">
        <w:t xml:space="preserve"> of </w:t>
      </w:r>
      <w:r w:rsidRPr="005A61FE">
        <w:t xml:space="preserve">the grant opportunity or program. There may be a </w:t>
      </w:r>
      <w:hyperlink r:id="rId4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6ACCBC0F" w14:textId="77777777"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or member of </w:t>
      </w:r>
      <w:r w:rsidR="003B3904">
        <w:t>the assessment committee</w:t>
      </w:r>
    </w:p>
    <w:p w14:paraId="4B57746C"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751A3F81" w14:textId="77777777" w:rsidR="000B5218" w:rsidRPr="005A61FE" w:rsidRDefault="000B5218" w:rsidP="000B5218">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0B0323C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27FB8E6"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8E506DA" w14:textId="77777777" w:rsidR="000B5218" w:rsidRPr="005A61FE" w:rsidRDefault="000B5218" w:rsidP="000B5218">
      <w:r w:rsidRPr="005A61FE">
        <w:t xml:space="preserve">Conflicts of interest for Australian Government staff are handled as set out in the Australian </w:t>
      </w:r>
      <w:hyperlink r:id="rId45" w:history="1">
        <w:r w:rsidRPr="005A61FE">
          <w:rPr>
            <w:rStyle w:val="Hyperlink"/>
          </w:rPr>
          <w:t>Public Service Code of Conduct (Section 13(7))</w:t>
        </w:r>
      </w:hyperlink>
      <w:r w:rsidR="005A61FE" w:rsidRPr="00EF7712">
        <w:rPr>
          <w:rStyle w:val="FootnoteReference"/>
          <w:color w:val="3366CC"/>
          <w:u w:val="single"/>
        </w:rPr>
        <w:footnoteReference w:id="11"/>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07DFEE95" w14:textId="77777777" w:rsidR="001A612B" w:rsidRPr="005A61FE" w:rsidRDefault="001A612B" w:rsidP="001A612B">
      <w:bookmarkStart w:id="512" w:name="_Toc530073069"/>
      <w:bookmarkStart w:id="513" w:name="_Toc530073070"/>
      <w:bookmarkStart w:id="514" w:name="_Toc530073074"/>
      <w:bookmarkStart w:id="515" w:name="_Toc530073075"/>
      <w:bookmarkStart w:id="516" w:name="_Toc530073076"/>
      <w:bookmarkStart w:id="517" w:name="_Toc530073078"/>
      <w:bookmarkStart w:id="518" w:name="_Toc530073079"/>
      <w:bookmarkStart w:id="519" w:name="_Toc530073080"/>
      <w:bookmarkStart w:id="520" w:name="_Toc496536701"/>
      <w:bookmarkStart w:id="521" w:name="_Toc531277530"/>
      <w:bookmarkStart w:id="522" w:name="_Toc955340"/>
      <w:bookmarkEnd w:id="494"/>
      <w:bookmarkEnd w:id="495"/>
      <w:bookmarkEnd w:id="512"/>
      <w:bookmarkEnd w:id="513"/>
      <w:bookmarkEnd w:id="514"/>
      <w:bookmarkEnd w:id="515"/>
      <w:bookmarkEnd w:id="516"/>
      <w:bookmarkEnd w:id="517"/>
      <w:bookmarkEnd w:id="518"/>
      <w:bookmarkEnd w:id="519"/>
      <w:r w:rsidRPr="005A61FE">
        <w:t xml:space="preserve">We publish our </w:t>
      </w:r>
      <w:hyperlink r:id="rId46" w:history="1">
        <w:r w:rsidRPr="00945DD3">
          <w:rPr>
            <w:rStyle w:val="Hyperlink"/>
          </w:rPr>
          <w:t>conflict of interest policy</w:t>
        </w:r>
      </w:hyperlink>
      <w:r>
        <w:rPr>
          <w:rStyle w:val="FootnoteReference"/>
        </w:rPr>
        <w:footnoteReference w:id="12"/>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3E8EE80C" w14:textId="77777777" w:rsidR="000C1A7A" w:rsidRDefault="000C1A7A" w:rsidP="000C1A7A">
      <w:pPr>
        <w:pStyle w:val="Heading3"/>
        <w:ind w:left="0" w:firstLine="0"/>
      </w:pPr>
      <w:bookmarkStart w:id="523" w:name="_Toc83047315"/>
      <w:bookmarkStart w:id="524" w:name="_Toc83722069"/>
      <w:bookmarkStart w:id="525" w:name="_Toc84398484"/>
      <w:bookmarkEnd w:id="520"/>
      <w:bookmarkEnd w:id="521"/>
      <w:bookmarkEnd w:id="522"/>
      <w:r>
        <w:t>How we use your information</w:t>
      </w:r>
      <w:bookmarkEnd w:id="523"/>
      <w:bookmarkEnd w:id="524"/>
      <w:bookmarkEnd w:id="525"/>
    </w:p>
    <w:p w14:paraId="0B68F7A5"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54F11BE7"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B0F56">
        <w:t>14.2.1</w:t>
      </w:r>
      <w:r w:rsidR="00057E29">
        <w:fldChar w:fldCharType="end"/>
      </w:r>
      <w:r w:rsidR="00FA169E" w:rsidRPr="00E62F87">
        <w:t>, or</w:t>
      </w:r>
    </w:p>
    <w:p w14:paraId="40C85824"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B0F56">
        <w:t>14.2.3</w:t>
      </w:r>
      <w:r w:rsidR="00057E29">
        <w:fldChar w:fldCharType="end"/>
      </w:r>
      <w:r w:rsidR="0079092D">
        <w:t>,</w:t>
      </w:r>
    </w:p>
    <w:p w14:paraId="60EA3425" w14:textId="77777777" w:rsidR="00FA169E" w:rsidRPr="00E62F87" w:rsidRDefault="00263B2F" w:rsidP="00760D2E">
      <w:pPr>
        <w:spacing w:after="80"/>
      </w:pPr>
      <w:r>
        <w:t>W</w:t>
      </w:r>
      <w:r w:rsidR="00FA169E" w:rsidRPr="00E62F87">
        <w:t xml:space="preserve">e may share the information with other government agencies </w:t>
      </w:r>
      <w:r w:rsidR="00A86209">
        <w:t>for a relevant Commonwealth purpose such as</w:t>
      </w:r>
      <w:r w:rsidR="00414A64">
        <w:t>:</w:t>
      </w:r>
    </w:p>
    <w:p w14:paraId="13DF4BD5" w14:textId="4DDEFBF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786CDC6E" w14:textId="77777777" w:rsidR="00FA169E" w:rsidRPr="00E62F87" w:rsidRDefault="00FA169E" w:rsidP="005304C8">
      <w:pPr>
        <w:pStyle w:val="ListBullet"/>
      </w:pPr>
      <w:r w:rsidRPr="00E62F87">
        <w:t>for research</w:t>
      </w:r>
    </w:p>
    <w:p w14:paraId="03514EB1"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614490F9" w14:textId="77777777" w:rsidR="004B44EC" w:rsidRPr="00E62F87" w:rsidRDefault="004B44EC" w:rsidP="006F6212">
      <w:pPr>
        <w:pStyle w:val="Heading4"/>
      </w:pPr>
      <w:bookmarkStart w:id="526" w:name="_Ref468133654"/>
      <w:bookmarkStart w:id="527" w:name="_Toc496536702"/>
      <w:bookmarkStart w:id="528" w:name="_Toc531277531"/>
      <w:bookmarkStart w:id="529" w:name="_Toc955341"/>
      <w:bookmarkStart w:id="530" w:name="_Toc80180287"/>
      <w:bookmarkStart w:id="531" w:name="_Toc80185535"/>
      <w:bookmarkStart w:id="532" w:name="_Toc80190349"/>
      <w:bookmarkStart w:id="533" w:name="_Toc80190426"/>
      <w:bookmarkStart w:id="534" w:name="_Toc80870679"/>
      <w:bookmarkStart w:id="535" w:name="_Toc81229272"/>
      <w:bookmarkStart w:id="536" w:name="_Toc83047316"/>
      <w:bookmarkStart w:id="537" w:name="_Toc83722070"/>
      <w:bookmarkStart w:id="538" w:name="_Toc84398485"/>
      <w:r w:rsidRPr="00E62F87">
        <w:t xml:space="preserve">How we </w:t>
      </w:r>
      <w:r w:rsidR="00BB37A8">
        <w:t>handle</w:t>
      </w:r>
      <w:r w:rsidRPr="00E62F87">
        <w:t xml:space="preserve"> your </w:t>
      </w:r>
      <w:r w:rsidR="00BB37A8">
        <w:t xml:space="preserve">confidential </w:t>
      </w:r>
      <w:r w:rsidRPr="00E62F87">
        <w:t>information</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1E7A94E6"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FAF105F"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5A13FE07"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C053380"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7E9590FC"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4AE80B6F" w14:textId="77777777" w:rsidR="004B44EC" w:rsidRPr="00E62F87" w:rsidRDefault="004B44EC" w:rsidP="006F6212">
      <w:pPr>
        <w:pStyle w:val="Heading4"/>
      </w:pPr>
      <w:bookmarkStart w:id="539" w:name="_Toc496536703"/>
      <w:bookmarkStart w:id="540" w:name="_Toc531277532"/>
      <w:bookmarkStart w:id="541" w:name="_Toc955342"/>
      <w:bookmarkStart w:id="542" w:name="_Toc80180288"/>
      <w:bookmarkStart w:id="543" w:name="_Toc80185536"/>
      <w:bookmarkStart w:id="544" w:name="_Toc80190350"/>
      <w:bookmarkStart w:id="545" w:name="_Toc80190427"/>
      <w:bookmarkStart w:id="546" w:name="_Toc80870680"/>
      <w:bookmarkStart w:id="547" w:name="_Toc81229273"/>
      <w:bookmarkStart w:id="548" w:name="_Toc83047317"/>
      <w:bookmarkStart w:id="549" w:name="_Toc83722071"/>
      <w:bookmarkStart w:id="550" w:name="_Toc84398486"/>
      <w:r w:rsidRPr="00E62F87">
        <w:t xml:space="preserve">When we may </w:t>
      </w:r>
      <w:r w:rsidR="00C43A43" w:rsidRPr="00E62F87">
        <w:t xml:space="preserve">disclose </w:t>
      </w:r>
      <w:r w:rsidRPr="00E62F87">
        <w:t>confidential information</w:t>
      </w:r>
      <w:bookmarkEnd w:id="539"/>
      <w:bookmarkEnd w:id="540"/>
      <w:bookmarkEnd w:id="541"/>
      <w:bookmarkEnd w:id="542"/>
      <w:bookmarkEnd w:id="543"/>
      <w:bookmarkEnd w:id="544"/>
      <w:bookmarkEnd w:id="545"/>
      <w:bookmarkEnd w:id="546"/>
      <w:bookmarkEnd w:id="547"/>
      <w:bookmarkEnd w:id="548"/>
      <w:bookmarkEnd w:id="549"/>
      <w:bookmarkEnd w:id="550"/>
    </w:p>
    <w:p w14:paraId="430B6CC7"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C39E9F2" w14:textId="0F2D38B4" w:rsidR="00094ED4" w:rsidRPr="00E62F87" w:rsidRDefault="00094ED4" w:rsidP="00094ED4">
      <w:pPr>
        <w:pStyle w:val="ListBullet"/>
      </w:pPr>
      <w:r w:rsidRPr="00E62F87">
        <w:t xml:space="preserve">to the </w:t>
      </w:r>
      <w:r w:rsidR="004B44EC" w:rsidRPr="00E62F87">
        <w:t>committee</w:t>
      </w:r>
      <w:r w:rsidR="00282B43">
        <w:t>, its advisers (including technical experts)</w:t>
      </w:r>
      <w:r w:rsidRPr="00E62F87">
        <w:t xml:space="preserve"> and </w:t>
      </w:r>
      <w:r>
        <w:t>our</w:t>
      </w:r>
      <w:r w:rsidRPr="00E62F87">
        <w:t xml:space="preserve"> Commonwealth employees and contractors</w:t>
      </w:r>
      <w:r w:rsidR="00282B43">
        <w:t xml:space="preserve"> and advisers</w:t>
      </w:r>
      <w:r w:rsidRPr="00E62F87">
        <w:t>, to help us</w:t>
      </w:r>
      <w:r>
        <w:t xml:space="preserve"> </w:t>
      </w:r>
      <w:r w:rsidRPr="00E62F87">
        <w:t xml:space="preserve">manage the </w:t>
      </w:r>
      <w:r>
        <w:t>program effectively</w:t>
      </w:r>
    </w:p>
    <w:p w14:paraId="754CD7D7" w14:textId="77777777" w:rsidR="004B44EC" w:rsidRPr="00E62F87" w:rsidRDefault="004B44EC" w:rsidP="004B44EC">
      <w:pPr>
        <w:pStyle w:val="ListBullet"/>
      </w:pPr>
      <w:r w:rsidRPr="00E62F87">
        <w:t>to the Auditor-General, Ombudsman or Privacy Commissioner</w:t>
      </w:r>
    </w:p>
    <w:p w14:paraId="20014C7E" w14:textId="77777777" w:rsidR="004B44EC" w:rsidRPr="00E62F87" w:rsidRDefault="004B44EC" w:rsidP="004B44EC">
      <w:pPr>
        <w:pStyle w:val="ListBullet"/>
      </w:pPr>
      <w:r w:rsidRPr="00E62F87">
        <w:t xml:space="preserve">to the responsible Minister or </w:t>
      </w:r>
      <w:r w:rsidR="00E04C95">
        <w:t>Assistant Minister</w:t>
      </w:r>
    </w:p>
    <w:p w14:paraId="6CE03B23"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7149A4D9"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314611D8"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68274C6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46AC044F"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502E1733" w14:textId="77777777" w:rsidR="004B44EC" w:rsidRPr="00E62F87" w:rsidRDefault="004B44EC" w:rsidP="006F6212">
      <w:pPr>
        <w:pStyle w:val="Heading4"/>
      </w:pPr>
      <w:bookmarkStart w:id="551" w:name="_Ref468133671"/>
      <w:bookmarkStart w:id="552" w:name="_Toc496536704"/>
      <w:bookmarkStart w:id="553" w:name="_Toc531277533"/>
      <w:bookmarkStart w:id="554" w:name="_Toc955343"/>
      <w:bookmarkStart w:id="555" w:name="_Toc80180289"/>
      <w:bookmarkStart w:id="556" w:name="_Toc80185537"/>
      <w:bookmarkStart w:id="557" w:name="_Toc80190351"/>
      <w:bookmarkStart w:id="558" w:name="_Toc80190428"/>
      <w:bookmarkStart w:id="559" w:name="_Toc80870681"/>
      <w:bookmarkStart w:id="560" w:name="_Toc81229274"/>
      <w:bookmarkStart w:id="561" w:name="_Toc83047318"/>
      <w:bookmarkStart w:id="562" w:name="_Toc83722072"/>
      <w:bookmarkStart w:id="563" w:name="_Toc84398487"/>
      <w:r w:rsidRPr="00E62F87">
        <w:t>How we use your personal information</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133CEAD4"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3097EB0" w14:textId="77777777" w:rsidR="004B44EC" w:rsidRPr="00E62F87" w:rsidRDefault="004B44EC" w:rsidP="004B44EC">
      <w:pPr>
        <w:pStyle w:val="ListBullet"/>
        <w:ind w:left="357" w:hanging="357"/>
      </w:pPr>
      <w:r w:rsidRPr="00E62F87">
        <w:t>what personal information we collect</w:t>
      </w:r>
    </w:p>
    <w:p w14:paraId="3E4DFE34" w14:textId="77777777" w:rsidR="004B44EC" w:rsidRPr="00E62F87" w:rsidRDefault="004B44EC" w:rsidP="004B44EC">
      <w:pPr>
        <w:pStyle w:val="ListBullet"/>
        <w:ind w:left="357" w:hanging="357"/>
      </w:pPr>
      <w:r w:rsidRPr="00E62F87">
        <w:t xml:space="preserve">why we collect your personal information </w:t>
      </w:r>
    </w:p>
    <w:p w14:paraId="511DE9AE" w14:textId="77777777" w:rsidR="004B44EC" w:rsidRPr="00E62F87" w:rsidRDefault="00932796" w:rsidP="006C4678">
      <w:pPr>
        <w:pStyle w:val="ListBullet"/>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34A9FC74" w14:textId="06DFBF70" w:rsidR="004449D0" w:rsidRPr="00E62F87" w:rsidRDefault="004449D0" w:rsidP="00287C0E">
      <w:r>
        <w:t xml:space="preserve">We </w:t>
      </w:r>
      <w:r w:rsidRPr="00E62F87">
        <w:t xml:space="preserve">may give </w:t>
      </w:r>
      <w:r>
        <w:t xml:space="preserve">the personal information we collect from you </w:t>
      </w:r>
      <w:r w:rsidRPr="00E62F87">
        <w:t xml:space="preserve">to our employees and contractors, the </w:t>
      </w:r>
      <w:r w:rsidR="004B44EC" w:rsidRPr="00E62F87">
        <w:t>committee</w:t>
      </w:r>
      <w:r>
        <w:t xml:space="preserve">, </w:t>
      </w:r>
      <w:r w:rsidRPr="00E62F87">
        <w:t>and other Commonwealth employees and contr</w:t>
      </w:r>
      <w:r>
        <w:t>actors, so we can:</w:t>
      </w:r>
    </w:p>
    <w:p w14:paraId="5D491E3A" w14:textId="50BFD20D" w:rsidR="004B44EC" w:rsidRPr="00E62F87" w:rsidRDefault="004B44EC" w:rsidP="004B44EC">
      <w:pPr>
        <w:pStyle w:val="ListBullet"/>
        <w:ind w:left="357" w:hanging="357"/>
      </w:pPr>
      <w:r w:rsidRPr="00E62F87">
        <w:t xml:space="preserve">manage the </w:t>
      </w:r>
      <w:r w:rsidR="00262481">
        <w:t>program</w:t>
      </w:r>
    </w:p>
    <w:p w14:paraId="5919866A" w14:textId="77777777" w:rsidR="004B44EC" w:rsidRPr="00E62F87" w:rsidRDefault="004B44EC" w:rsidP="00760D2E">
      <w:pPr>
        <w:pStyle w:val="ListBullet"/>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43466733" w14:textId="77777777" w:rsidR="004B44EC" w:rsidRDefault="004B44EC" w:rsidP="00760D2E">
      <w:pPr>
        <w:spacing w:after="80"/>
      </w:pPr>
      <w:r w:rsidRPr="00E62F87">
        <w:t xml:space="preserve">We, or </w:t>
      </w:r>
      <w:r w:rsidR="00551817" w:rsidRPr="00E62F87">
        <w:t xml:space="preserve">the </w:t>
      </w:r>
      <w:r w:rsidR="00B20351">
        <w:t>Minister, may</w:t>
      </w:r>
      <w:r w:rsidR="00414A64">
        <w:t>:</w:t>
      </w:r>
    </w:p>
    <w:p w14:paraId="7EF1EF6F" w14:textId="77777777" w:rsidR="004B44EC" w:rsidRPr="00E62F87" w:rsidRDefault="004B44EC" w:rsidP="004B44EC">
      <w:pPr>
        <w:pStyle w:val="ListBullet"/>
        <w:ind w:left="357" w:hanging="357"/>
      </w:pPr>
      <w:r w:rsidRPr="00E62F87">
        <w:t>announce the names of successful applicants to the public</w:t>
      </w:r>
    </w:p>
    <w:p w14:paraId="227B6259" w14:textId="77777777" w:rsidR="004B44EC" w:rsidRPr="00E62F87" w:rsidRDefault="004B44EC" w:rsidP="00760D2E">
      <w:pPr>
        <w:pStyle w:val="ListBullet"/>
        <w:spacing w:after="120"/>
        <w:ind w:left="357" w:hanging="357"/>
      </w:pPr>
      <w:proofErr w:type="gramStart"/>
      <w:r w:rsidRPr="00E62F87">
        <w:t>publish</w:t>
      </w:r>
      <w:proofErr w:type="gramEnd"/>
      <w:r w:rsidRPr="00E62F87">
        <w:t xml:space="preserve"> personal information on the department’s websites.</w:t>
      </w:r>
    </w:p>
    <w:p w14:paraId="7278AEE5" w14:textId="77777777" w:rsidR="004B44EC" w:rsidRPr="00E62F87" w:rsidRDefault="00EC61D9" w:rsidP="00760D2E">
      <w:pPr>
        <w:spacing w:after="80"/>
      </w:pPr>
      <w:r w:rsidRPr="00E62F87">
        <w:t xml:space="preserve">You may </w:t>
      </w:r>
      <w:r w:rsidR="004B44EC" w:rsidRPr="00E62F87">
        <w:t xml:space="preserve">read our </w:t>
      </w:r>
      <w:hyperlink r:id="rId47" w:history="1">
        <w:r w:rsidR="004B44EC" w:rsidRPr="005A61FE">
          <w:rPr>
            <w:rStyle w:val="Hyperlink"/>
          </w:rPr>
          <w:t>Privacy Policy</w:t>
        </w:r>
      </w:hyperlink>
      <w:r w:rsidR="004B44EC" w:rsidRPr="00E62F87">
        <w:rPr>
          <w:rStyle w:val="FootnoteReference"/>
        </w:rPr>
        <w:footnoteReference w:id="13"/>
      </w:r>
      <w:r w:rsidR="004B44EC" w:rsidRPr="00E62F87">
        <w:t xml:space="preserve"> on the </w:t>
      </w:r>
      <w:r w:rsidR="00551817" w:rsidRPr="00E62F87">
        <w:t xml:space="preserve">department’s </w:t>
      </w:r>
      <w:r w:rsidR="00B20351">
        <w:t>website for more information on</w:t>
      </w:r>
      <w:r w:rsidR="00414A64">
        <w:t>:</w:t>
      </w:r>
    </w:p>
    <w:p w14:paraId="4AA3355E" w14:textId="77777777" w:rsidR="004B44EC" w:rsidRPr="00E62F87" w:rsidRDefault="004B44EC" w:rsidP="00195D42">
      <w:pPr>
        <w:pStyle w:val="ListBullet"/>
      </w:pPr>
      <w:r w:rsidRPr="00E62F87">
        <w:t>what is personal information</w:t>
      </w:r>
    </w:p>
    <w:p w14:paraId="72434464"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A3AA17"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36C0EE47" w14:textId="77777777" w:rsidR="00082C2C" w:rsidRDefault="00082C2C" w:rsidP="006F6212">
      <w:pPr>
        <w:pStyle w:val="Heading4"/>
      </w:pPr>
      <w:bookmarkStart w:id="564" w:name="_Toc496536705"/>
      <w:bookmarkStart w:id="565" w:name="_Toc489952724"/>
      <w:bookmarkStart w:id="566" w:name="_Toc496536706"/>
      <w:bookmarkStart w:id="567" w:name="_Toc531277534"/>
      <w:bookmarkStart w:id="568" w:name="_Toc955344"/>
      <w:bookmarkStart w:id="569" w:name="_Toc80180290"/>
      <w:bookmarkStart w:id="570" w:name="_Toc80185538"/>
      <w:bookmarkStart w:id="571" w:name="_Toc80190352"/>
      <w:bookmarkStart w:id="572" w:name="_Toc80190429"/>
      <w:bookmarkStart w:id="573" w:name="_Toc80870682"/>
      <w:bookmarkStart w:id="574" w:name="_Toc81229275"/>
      <w:bookmarkStart w:id="575" w:name="_Toc83047319"/>
      <w:bookmarkStart w:id="576" w:name="_Toc83722073"/>
      <w:bookmarkStart w:id="577" w:name="_Toc84398488"/>
      <w:bookmarkEnd w:id="564"/>
      <w:r>
        <w:t>Freedom of information</w:t>
      </w:r>
      <w:bookmarkEnd w:id="565"/>
      <w:bookmarkEnd w:id="566"/>
      <w:bookmarkEnd w:id="567"/>
      <w:bookmarkEnd w:id="568"/>
      <w:bookmarkEnd w:id="569"/>
      <w:bookmarkEnd w:id="570"/>
      <w:bookmarkEnd w:id="571"/>
      <w:bookmarkEnd w:id="572"/>
      <w:bookmarkEnd w:id="573"/>
      <w:bookmarkEnd w:id="574"/>
      <w:bookmarkEnd w:id="575"/>
      <w:bookmarkEnd w:id="576"/>
      <w:bookmarkEnd w:id="577"/>
    </w:p>
    <w:p w14:paraId="2281DCE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6B0566B5"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49421C33"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53803661" w14:textId="20EA1EE8" w:rsidR="00174D66" w:rsidRPr="00E162FF" w:rsidRDefault="00174D66" w:rsidP="001956C5"/>
    <w:p w14:paraId="78B2F709" w14:textId="77777777" w:rsidR="001956C5" w:rsidRDefault="00956979" w:rsidP="00BB5EF3">
      <w:pPr>
        <w:pStyle w:val="Heading3"/>
        <w:ind w:hanging="792"/>
      </w:pPr>
      <w:bookmarkStart w:id="578" w:name="_Toc496536707"/>
      <w:bookmarkStart w:id="579" w:name="_Toc531277535"/>
      <w:bookmarkStart w:id="580" w:name="_Toc955345"/>
      <w:bookmarkStart w:id="581" w:name="_Toc80180293"/>
      <w:bookmarkStart w:id="582" w:name="_Toc80185541"/>
      <w:bookmarkStart w:id="583" w:name="_Toc80190355"/>
      <w:bookmarkStart w:id="584" w:name="_Toc80190432"/>
      <w:bookmarkStart w:id="585" w:name="_Toc80870685"/>
      <w:bookmarkStart w:id="586" w:name="_Toc81229278"/>
      <w:bookmarkStart w:id="587" w:name="_Toc83047322"/>
      <w:bookmarkStart w:id="588" w:name="_Toc83722076"/>
      <w:bookmarkStart w:id="589" w:name="_Toc84398489"/>
      <w:r>
        <w:t>Enquiries and f</w:t>
      </w:r>
      <w:r w:rsidR="001956C5" w:rsidRPr="00E63F2A">
        <w:t>eedback</w:t>
      </w:r>
      <w:bookmarkEnd w:id="578"/>
      <w:bookmarkEnd w:id="579"/>
      <w:bookmarkEnd w:id="580"/>
      <w:bookmarkEnd w:id="581"/>
      <w:bookmarkEnd w:id="582"/>
      <w:bookmarkEnd w:id="583"/>
      <w:bookmarkEnd w:id="584"/>
      <w:bookmarkEnd w:id="585"/>
      <w:bookmarkEnd w:id="586"/>
      <w:bookmarkEnd w:id="587"/>
      <w:bookmarkEnd w:id="588"/>
      <w:bookmarkEnd w:id="589"/>
    </w:p>
    <w:p w14:paraId="04BBFF45"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8" w:history="1">
        <w:r w:rsidRPr="005A61FE">
          <w:rPr>
            <w:rStyle w:val="Hyperlink"/>
          </w:rPr>
          <w:t>web chat</w:t>
        </w:r>
      </w:hyperlink>
      <w:r>
        <w:t xml:space="preserve"> or</w:t>
      </w:r>
      <w:r w:rsidR="008863EB">
        <w:t xml:space="preserve"> through</w:t>
      </w:r>
      <w:r>
        <w:t xml:space="preserve"> our </w:t>
      </w:r>
      <w:hyperlink r:id="rId49" w:history="1">
        <w:r w:rsidRPr="005A61FE">
          <w:rPr>
            <w:rStyle w:val="Hyperlink"/>
          </w:rPr>
          <w:t>online enquiry form</w:t>
        </w:r>
      </w:hyperlink>
      <w:r w:rsidR="00CE5824">
        <w:t xml:space="preserve"> </w:t>
      </w:r>
      <w:r w:rsidR="004142C1">
        <w:t xml:space="preserve">on </w:t>
      </w:r>
      <w:r w:rsidR="00CE5824">
        <w:t>business.gov.au</w:t>
      </w:r>
      <w:r w:rsidR="00B20351">
        <w:t>.</w:t>
      </w:r>
    </w:p>
    <w:p w14:paraId="3B3CBC3B" w14:textId="77777777" w:rsidR="00130F17" w:rsidRDefault="004142C1" w:rsidP="001956C5">
      <w:r>
        <w:t xml:space="preserve">We may publish </w:t>
      </w:r>
      <w:r w:rsidR="009E45B8">
        <w:t xml:space="preserve">answers to your </w:t>
      </w:r>
      <w:r>
        <w:t>q</w:t>
      </w:r>
      <w:r w:rsidR="00130F17">
        <w:t xml:space="preserve">uestions on </w:t>
      </w:r>
      <w:r w:rsidR="00263B2F">
        <w:t>business.gov.au</w:t>
      </w:r>
      <w:r w:rsidR="00130F17">
        <w:t xml:space="preserve"> as Frequently Asked Questions.</w:t>
      </w:r>
    </w:p>
    <w:p w14:paraId="240DE5D2" w14:textId="77777777" w:rsidR="001956C5" w:rsidRDefault="00F54BD4" w:rsidP="001956C5">
      <w:r>
        <w:t>Our</w:t>
      </w:r>
      <w:r w:rsidR="001956C5" w:rsidRPr="00E162FF">
        <w:t xml:space="preserve"> </w:t>
      </w:r>
      <w:hyperlink r:id="rId5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4368095"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79EF9F0E"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78B5CE80" w14:textId="77777777" w:rsidR="00414A64" w:rsidRDefault="00053FB3" w:rsidP="00EB3EF4">
      <w:pPr>
        <w:spacing w:after="0"/>
      </w:pPr>
      <w:r>
        <w:t>Chief Finance Officer</w:t>
      </w:r>
    </w:p>
    <w:p w14:paraId="71BFEC6C" w14:textId="77777777" w:rsidR="004452CD" w:rsidRDefault="004452CD" w:rsidP="00EB3EF4">
      <w:pPr>
        <w:spacing w:after="0"/>
      </w:pPr>
      <w:r>
        <w:t>Department of Industry, Science</w:t>
      </w:r>
      <w:r w:rsidR="0044516B">
        <w:t>, Energy and Resources</w:t>
      </w:r>
    </w:p>
    <w:p w14:paraId="6ADDE909" w14:textId="77777777" w:rsidR="001956C5" w:rsidRDefault="001956C5" w:rsidP="001956C5">
      <w:r w:rsidRPr="00E162FF">
        <w:t xml:space="preserve">GPO Box </w:t>
      </w:r>
      <w:r w:rsidR="004452CD">
        <w:t>2013</w:t>
      </w:r>
      <w:r w:rsidR="007610F4">
        <w:br/>
      </w:r>
      <w:r w:rsidRPr="00E162FF">
        <w:t>CANBERRA ACT 2601</w:t>
      </w:r>
    </w:p>
    <w:p w14:paraId="5E41FD92" w14:textId="77777777" w:rsidR="00D96D08" w:rsidRDefault="00A15AC7" w:rsidP="009E7919">
      <w:r>
        <w:t>You can also</w:t>
      </w:r>
      <w:r w:rsidR="001956C5" w:rsidRPr="00E162FF">
        <w:t xml:space="preserve"> contact the </w:t>
      </w:r>
      <w:hyperlink r:id="rId52" w:history="1">
        <w:r w:rsidR="001956C5" w:rsidRPr="005A61FE">
          <w:rPr>
            <w:rStyle w:val="Hyperlink"/>
          </w:rPr>
          <w:t>Commonwealth Ombudsman</w:t>
        </w:r>
      </w:hyperlink>
      <w:r w:rsidR="006D49B3">
        <w:rPr>
          <w:rStyle w:val="FootnoteReference"/>
          <w:color w:val="3366CC"/>
          <w:u w:val="single"/>
        </w:rPr>
        <w:footnoteReference w:id="14"/>
      </w:r>
      <w:r>
        <w:t xml:space="preserve"> with your complaint (call 1300 362 072)</w:t>
      </w:r>
      <w:r w:rsidR="001956C5" w:rsidRPr="00E162FF">
        <w:t>. There is no fee for making a complaint, and the Ombudsman may conduct an independent investigation.</w:t>
      </w:r>
    </w:p>
    <w:p w14:paraId="1E819810" w14:textId="77777777" w:rsidR="00D96D08" w:rsidRDefault="00BB5EF3" w:rsidP="00082460">
      <w:pPr>
        <w:pStyle w:val="Heading2"/>
      </w:pPr>
      <w:bookmarkStart w:id="590" w:name="_Ref17466953"/>
      <w:bookmarkStart w:id="591" w:name="_Toc80180294"/>
      <w:bookmarkStart w:id="592" w:name="_Toc80185542"/>
      <w:bookmarkStart w:id="593" w:name="_Toc80190356"/>
      <w:bookmarkStart w:id="594" w:name="_Toc80190433"/>
      <w:bookmarkStart w:id="595" w:name="_Toc80870686"/>
      <w:bookmarkStart w:id="596" w:name="_Toc81229279"/>
      <w:bookmarkStart w:id="597" w:name="_Toc83047323"/>
      <w:bookmarkStart w:id="598" w:name="_Toc83722077"/>
      <w:bookmarkStart w:id="599" w:name="_Toc84398490"/>
      <w:r>
        <w:t>Glossary</w:t>
      </w:r>
      <w:bookmarkEnd w:id="590"/>
      <w:bookmarkEnd w:id="591"/>
      <w:bookmarkEnd w:id="592"/>
      <w:bookmarkEnd w:id="593"/>
      <w:bookmarkEnd w:id="594"/>
      <w:bookmarkEnd w:id="595"/>
      <w:bookmarkEnd w:id="596"/>
      <w:bookmarkEnd w:id="597"/>
      <w:bookmarkEnd w:id="598"/>
      <w:bookmarkEnd w:id="59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8691B84" w14:textId="77777777" w:rsidTr="001432F9">
        <w:trPr>
          <w:cantSplit/>
          <w:tblHeader/>
        </w:trPr>
        <w:tc>
          <w:tcPr>
            <w:tcW w:w="1843" w:type="pct"/>
            <w:shd w:val="clear" w:color="auto" w:fill="264F90"/>
          </w:tcPr>
          <w:p w14:paraId="6CB3636B"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38F9F64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A07CDDF" w14:textId="77777777" w:rsidTr="001432F9">
        <w:trPr>
          <w:cantSplit/>
        </w:trPr>
        <w:tc>
          <w:tcPr>
            <w:tcW w:w="1843" w:type="pct"/>
          </w:tcPr>
          <w:p w14:paraId="2351731E" w14:textId="77777777" w:rsidR="002A7660" w:rsidRDefault="002A7660" w:rsidP="008E215B">
            <w:r>
              <w:t>Application form</w:t>
            </w:r>
          </w:p>
        </w:tc>
        <w:tc>
          <w:tcPr>
            <w:tcW w:w="3157" w:type="pct"/>
          </w:tcPr>
          <w:p w14:paraId="06BA096A"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57F28F09" w14:textId="77777777" w:rsidTr="001432F9">
        <w:trPr>
          <w:cantSplit/>
        </w:trPr>
        <w:tc>
          <w:tcPr>
            <w:tcW w:w="1843" w:type="pct"/>
          </w:tcPr>
          <w:p w14:paraId="0871BDDB" w14:textId="77777777" w:rsidR="00706C60" w:rsidRDefault="00706C60" w:rsidP="00176EF8">
            <w:r>
              <w:t>Department</w:t>
            </w:r>
            <w:r w:rsidR="00176EF8">
              <w:t xml:space="preserve"> </w:t>
            </w:r>
          </w:p>
        </w:tc>
        <w:tc>
          <w:tcPr>
            <w:tcW w:w="3157" w:type="pct"/>
          </w:tcPr>
          <w:p w14:paraId="0E8D25DF" w14:textId="77777777" w:rsidR="00706C60" w:rsidRPr="006C4678" w:rsidRDefault="00706C60" w:rsidP="0044516B">
            <w:r w:rsidRPr="006C4678">
              <w:t>The Department of Industry, Science</w:t>
            </w:r>
            <w:r w:rsidR="0044516B">
              <w:t>, Energy and Resources</w:t>
            </w:r>
            <w:r w:rsidRPr="006C4678">
              <w:t>.</w:t>
            </w:r>
          </w:p>
        </w:tc>
      </w:tr>
      <w:tr w:rsidR="008D5C33" w:rsidRPr="009E3949" w14:paraId="1A40CFD4" w14:textId="77777777" w:rsidTr="001432F9">
        <w:trPr>
          <w:cantSplit/>
        </w:trPr>
        <w:tc>
          <w:tcPr>
            <w:tcW w:w="1843" w:type="pct"/>
          </w:tcPr>
          <w:p w14:paraId="0F6640DC" w14:textId="77777777" w:rsidR="008D5C33" w:rsidRPr="00DD0810" w:rsidRDefault="008D5C33" w:rsidP="005F2A4B">
            <w:r w:rsidRPr="00A56AFD">
              <w:t>Committee</w:t>
            </w:r>
          </w:p>
        </w:tc>
        <w:tc>
          <w:tcPr>
            <w:tcW w:w="3157" w:type="pct"/>
          </w:tcPr>
          <w:p w14:paraId="60D303AC" w14:textId="39849851" w:rsidR="008D5C33" w:rsidRPr="007D429E" w:rsidRDefault="008D5C33" w:rsidP="004449D0">
            <w:pPr>
              <w:rPr>
                <w:color w:val="000000"/>
                <w:w w:val="0"/>
              </w:rPr>
            </w:pPr>
            <w:r w:rsidRPr="00DD0810">
              <w:t xml:space="preserve">The body established by the </w:t>
            </w:r>
            <w:r w:rsidR="004449D0">
              <w:t>National Recovery and Resilience Agency</w:t>
            </w:r>
            <w:r w:rsidRPr="00DD0810">
              <w:t xml:space="preserve"> to consider and assess eligible applications and make recommendations to the Minister for funding under the program</w:t>
            </w:r>
            <w:r w:rsidRPr="006A7B20">
              <w:t>.</w:t>
            </w:r>
          </w:p>
        </w:tc>
      </w:tr>
      <w:tr w:rsidR="00813B4C" w:rsidRPr="009E3949" w14:paraId="1C8D1A87" w14:textId="77777777" w:rsidTr="001432F9">
        <w:trPr>
          <w:cantSplit/>
        </w:trPr>
        <w:tc>
          <w:tcPr>
            <w:tcW w:w="1843" w:type="pct"/>
          </w:tcPr>
          <w:p w14:paraId="4371B289" w14:textId="77777777" w:rsidR="00813B4C" w:rsidRPr="00470CCB" w:rsidRDefault="00813B4C" w:rsidP="00813B4C">
            <w:r w:rsidRPr="00470CCB">
              <w:t>Commonwealth agency or body</w:t>
            </w:r>
          </w:p>
        </w:tc>
        <w:tc>
          <w:tcPr>
            <w:tcW w:w="3157" w:type="pct"/>
          </w:tcPr>
          <w:p w14:paraId="7BDB0649" w14:textId="77777777" w:rsidR="00813B4C" w:rsidRDefault="00813B4C" w:rsidP="003B3904">
            <w:r>
              <w:t xml:space="preserve">A Department of State, or parliamentary Department, or a listed entity or a body corporate established by the law of the Commonwealth. See subsections 10(1) and (2) of the </w:t>
            </w:r>
            <w:r>
              <w:rPr>
                <w:i/>
              </w:rPr>
              <w:t>Public Governance, Performance and Accountability Act 2013</w:t>
            </w:r>
            <w:r w:rsidR="005C1DE3">
              <w:rPr>
                <w:i/>
              </w:rPr>
              <w:t xml:space="preserve"> </w:t>
            </w:r>
            <w:r w:rsidR="005C1DE3">
              <w:t>(</w:t>
            </w:r>
            <w:proofErr w:type="spellStart"/>
            <w:r w:rsidR="005C1DE3">
              <w:t>Cth</w:t>
            </w:r>
            <w:proofErr w:type="spellEnd"/>
            <w:r w:rsidR="005C1DE3">
              <w:t>)</w:t>
            </w:r>
            <w:r>
              <w:t>.</w:t>
            </w:r>
          </w:p>
        </w:tc>
      </w:tr>
      <w:tr w:rsidR="00813B4C" w:rsidRPr="009E3949" w14:paraId="58FF3BE6" w14:textId="77777777" w:rsidTr="001432F9">
        <w:trPr>
          <w:cantSplit/>
        </w:trPr>
        <w:tc>
          <w:tcPr>
            <w:tcW w:w="1843" w:type="pct"/>
          </w:tcPr>
          <w:p w14:paraId="6C3F7832" w14:textId="77777777" w:rsidR="00813B4C" w:rsidRPr="00470CCB" w:rsidRDefault="00813B4C" w:rsidP="00813B4C">
            <w:r w:rsidRPr="00470CCB">
              <w:t>Disaster</w:t>
            </w:r>
          </w:p>
        </w:tc>
        <w:tc>
          <w:tcPr>
            <w:tcW w:w="3157" w:type="pct"/>
          </w:tcPr>
          <w:p w14:paraId="59F2F71F" w14:textId="77777777" w:rsidR="00813B4C" w:rsidRDefault="00813B4C" w:rsidP="00813B4C">
            <w:r w:rsidRPr="00885F95">
              <w:t>A serious disruption of the functioning of a community or a society at any scale due to hazardous events interacting with conditions of exposure, vulnerability and capacity, leading to one or more of the following: human, material, economic or environmental losses and impacts.</w:t>
            </w:r>
          </w:p>
        </w:tc>
      </w:tr>
      <w:tr w:rsidR="00813B4C" w:rsidRPr="009E3949" w14:paraId="632332F9" w14:textId="77777777" w:rsidTr="001432F9">
        <w:trPr>
          <w:cantSplit/>
        </w:trPr>
        <w:tc>
          <w:tcPr>
            <w:tcW w:w="1843" w:type="pct"/>
          </w:tcPr>
          <w:p w14:paraId="52A9C603" w14:textId="77777777" w:rsidR="00813B4C" w:rsidRPr="00470CCB" w:rsidRDefault="00470CCB" w:rsidP="00813B4C">
            <w:r w:rsidRPr="00470CCB">
              <w:t>Disaster r</w:t>
            </w:r>
            <w:r w:rsidR="00813B4C" w:rsidRPr="00470CCB">
              <w:t>isk</w:t>
            </w:r>
          </w:p>
        </w:tc>
        <w:tc>
          <w:tcPr>
            <w:tcW w:w="3157" w:type="pct"/>
          </w:tcPr>
          <w:p w14:paraId="561E4AAA" w14:textId="77777777" w:rsidR="00813B4C" w:rsidRDefault="00813B4C" w:rsidP="00813B4C">
            <w:r w:rsidRPr="00885F95">
              <w:t xml:space="preserve">The potential loss of life, injury, or destroyed or damaged assets </w:t>
            </w:r>
            <w:r w:rsidR="00E1183E">
              <w:t xml:space="preserve">caused by a disaster, </w:t>
            </w:r>
            <w:r w:rsidRPr="00885F95">
              <w:t>which could occur to a system, society or a community.</w:t>
            </w:r>
          </w:p>
        </w:tc>
      </w:tr>
      <w:tr w:rsidR="00813B4C" w:rsidRPr="009E3949" w14:paraId="2D68D87E" w14:textId="77777777" w:rsidTr="001432F9">
        <w:trPr>
          <w:cantSplit/>
        </w:trPr>
        <w:tc>
          <w:tcPr>
            <w:tcW w:w="1843" w:type="pct"/>
          </w:tcPr>
          <w:p w14:paraId="586764C7" w14:textId="77777777" w:rsidR="00813B4C" w:rsidRPr="00470CCB" w:rsidRDefault="00813B4C" w:rsidP="00470CCB">
            <w:r w:rsidRPr="00470CCB">
              <w:t xml:space="preserve">Disaster </w:t>
            </w:r>
            <w:r w:rsidR="00470CCB" w:rsidRPr="00470CCB">
              <w:t>r</w:t>
            </w:r>
            <w:r w:rsidRPr="00470CCB">
              <w:t xml:space="preserve">isk </w:t>
            </w:r>
            <w:r w:rsidR="00470CCB" w:rsidRPr="00470CCB">
              <w:t>r</w:t>
            </w:r>
            <w:r w:rsidRPr="00470CCB">
              <w:t>eduction</w:t>
            </w:r>
          </w:p>
        </w:tc>
        <w:tc>
          <w:tcPr>
            <w:tcW w:w="3157" w:type="pct"/>
          </w:tcPr>
          <w:p w14:paraId="11921CD5" w14:textId="77777777" w:rsidR="00813B4C" w:rsidRDefault="00813B4C" w:rsidP="00813B4C">
            <w:r w:rsidRPr="00885F95">
              <w:t>Disaster risk reduction is aimed at preventing new and reducing existing disaster risk and managing residual risk, all of which contribute to strengthening resilience and therefore to the achievement of sustainable development.</w:t>
            </w:r>
          </w:p>
        </w:tc>
      </w:tr>
      <w:tr w:rsidR="00706C60" w:rsidRPr="009E3949" w14:paraId="66764EC7" w14:textId="77777777" w:rsidTr="001432F9">
        <w:trPr>
          <w:cantSplit/>
        </w:trPr>
        <w:tc>
          <w:tcPr>
            <w:tcW w:w="1843" w:type="pct"/>
          </w:tcPr>
          <w:p w14:paraId="2A462DB2" w14:textId="77777777" w:rsidR="00706C60" w:rsidRDefault="00706C60" w:rsidP="008E215B">
            <w:r>
              <w:t xml:space="preserve">Eligible </w:t>
            </w:r>
            <w:r w:rsidR="006C4678">
              <w:t>activities</w:t>
            </w:r>
          </w:p>
        </w:tc>
        <w:tc>
          <w:tcPr>
            <w:tcW w:w="3157" w:type="pct"/>
          </w:tcPr>
          <w:p w14:paraId="6153C9EC" w14:textId="12235D59" w:rsidR="00706C60" w:rsidRPr="006C4678" w:rsidRDefault="00706C60" w:rsidP="006C71B9">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w:t>
            </w:r>
            <w:r w:rsidR="008F14FA">
              <w:t xml:space="preserve">in the list </w:t>
            </w:r>
            <w:r w:rsidR="00AF1D9D">
              <w:t>in</w:t>
            </w:r>
            <w:r w:rsidR="008F14FA">
              <w:t xml:space="preserve"> Section</w:t>
            </w:r>
            <w:r w:rsidR="00AF1D9D">
              <w:t xml:space="preserve"> </w:t>
            </w:r>
            <w:r w:rsidR="006C71B9">
              <w:t>6.1</w:t>
            </w:r>
            <w:r w:rsidRPr="006C4678">
              <w:t>.</w:t>
            </w:r>
          </w:p>
        </w:tc>
      </w:tr>
      <w:tr w:rsidR="00706C60" w:rsidRPr="009E3949" w14:paraId="286863BF" w14:textId="77777777" w:rsidTr="001432F9">
        <w:trPr>
          <w:cantSplit/>
        </w:trPr>
        <w:tc>
          <w:tcPr>
            <w:tcW w:w="1843" w:type="pct"/>
          </w:tcPr>
          <w:p w14:paraId="63B925A5" w14:textId="77777777" w:rsidR="00706C60" w:rsidRDefault="00706C60" w:rsidP="008E215B">
            <w:r>
              <w:t xml:space="preserve">Eligible </w:t>
            </w:r>
            <w:r w:rsidR="006C4678">
              <w:t>application</w:t>
            </w:r>
          </w:p>
        </w:tc>
        <w:tc>
          <w:tcPr>
            <w:tcW w:w="3157" w:type="pct"/>
          </w:tcPr>
          <w:p w14:paraId="50E626B9" w14:textId="77777777" w:rsidR="00706C60" w:rsidRPr="006C4678" w:rsidRDefault="00706C60" w:rsidP="008E215B">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FA7C823" w14:textId="77777777" w:rsidTr="001432F9">
        <w:trPr>
          <w:cantSplit/>
        </w:trPr>
        <w:tc>
          <w:tcPr>
            <w:tcW w:w="1843" w:type="pct"/>
          </w:tcPr>
          <w:p w14:paraId="47C75660" w14:textId="77777777" w:rsidR="00271FAE" w:rsidRDefault="00271FAE" w:rsidP="008E215B">
            <w:r>
              <w:t xml:space="preserve">Eligible </w:t>
            </w:r>
            <w:r w:rsidR="006C4678">
              <w:t>expenditure</w:t>
            </w:r>
          </w:p>
        </w:tc>
        <w:tc>
          <w:tcPr>
            <w:tcW w:w="3157" w:type="pct"/>
          </w:tcPr>
          <w:p w14:paraId="45497F5C" w14:textId="302F57A6" w:rsidR="00271FAE" w:rsidRPr="006C4678" w:rsidRDefault="0052054C" w:rsidP="006C71B9">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8F14FA">
              <w:t>Section </w:t>
            </w:r>
            <w:r w:rsidR="006C71B9">
              <w:t>6.4</w:t>
            </w:r>
            <w:r w:rsidRPr="006C4678">
              <w:t>.</w:t>
            </w:r>
          </w:p>
        </w:tc>
      </w:tr>
      <w:tr w:rsidR="0052054C" w:rsidRPr="009E3949" w14:paraId="370547FB" w14:textId="77777777" w:rsidTr="001432F9">
        <w:trPr>
          <w:cantSplit/>
        </w:trPr>
        <w:tc>
          <w:tcPr>
            <w:tcW w:w="1843" w:type="pct"/>
          </w:tcPr>
          <w:p w14:paraId="52B5A6C7" w14:textId="77777777" w:rsidR="0052054C" w:rsidRDefault="0052054C" w:rsidP="008E215B">
            <w:r>
              <w:t xml:space="preserve">Eligible </w:t>
            </w:r>
            <w:r w:rsidR="004C6F6D">
              <w:t xml:space="preserve">expenditure </w:t>
            </w:r>
            <w:r w:rsidR="00464353" w:rsidRPr="005A61FE">
              <w:t>guidance</w:t>
            </w:r>
          </w:p>
        </w:tc>
        <w:tc>
          <w:tcPr>
            <w:tcW w:w="3157" w:type="pct"/>
          </w:tcPr>
          <w:p w14:paraId="1DCC05C0" w14:textId="77777777" w:rsidR="0052054C" w:rsidRPr="006C4678" w:rsidRDefault="0052054C" w:rsidP="00D770C2">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w:t>
            </w:r>
            <w:r w:rsidR="003479D3">
              <w:t>B</w:t>
            </w:r>
            <w:r w:rsidR="008D433F" w:rsidRPr="005A61FE">
              <w:t>.</w:t>
            </w:r>
          </w:p>
        </w:tc>
      </w:tr>
      <w:tr w:rsidR="0052054C" w:rsidRPr="009E3949" w14:paraId="3359E347" w14:textId="77777777" w:rsidTr="001432F9">
        <w:trPr>
          <w:cantSplit/>
        </w:trPr>
        <w:tc>
          <w:tcPr>
            <w:tcW w:w="1843" w:type="pct"/>
          </w:tcPr>
          <w:p w14:paraId="39EA00FB" w14:textId="77777777" w:rsidR="0052054C" w:rsidRDefault="0052054C" w:rsidP="008E215B">
            <w:r>
              <w:t>Grant agreement</w:t>
            </w:r>
          </w:p>
        </w:tc>
        <w:tc>
          <w:tcPr>
            <w:tcW w:w="3157" w:type="pct"/>
          </w:tcPr>
          <w:p w14:paraId="61346D81"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42020CBC" w14:textId="77777777" w:rsidTr="001432F9">
        <w:trPr>
          <w:cantSplit/>
        </w:trPr>
        <w:tc>
          <w:tcPr>
            <w:tcW w:w="1843" w:type="pct"/>
          </w:tcPr>
          <w:p w14:paraId="1A70E679" w14:textId="77777777" w:rsidR="0052054C" w:rsidRDefault="0052054C" w:rsidP="008E215B">
            <w:r>
              <w:t>Grant funding or grant funds</w:t>
            </w:r>
          </w:p>
        </w:tc>
        <w:tc>
          <w:tcPr>
            <w:tcW w:w="3157" w:type="pct"/>
          </w:tcPr>
          <w:p w14:paraId="784674F6"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403201AA" w14:textId="77777777" w:rsidTr="001432F9">
        <w:trPr>
          <w:cantSplit/>
        </w:trPr>
        <w:tc>
          <w:tcPr>
            <w:tcW w:w="1843" w:type="pct"/>
          </w:tcPr>
          <w:p w14:paraId="63AF5C71" w14:textId="77777777" w:rsidR="00464353" w:rsidRPr="005A61FE" w:rsidRDefault="002B0F56" w:rsidP="009564E7">
            <w:hyperlink r:id="rId53" w:history="1">
              <w:proofErr w:type="spellStart"/>
              <w:r w:rsidR="00464353" w:rsidRPr="005A61FE">
                <w:rPr>
                  <w:rStyle w:val="Hyperlink"/>
                </w:rPr>
                <w:t>GrantConnect</w:t>
              </w:r>
              <w:proofErr w:type="spellEnd"/>
            </w:hyperlink>
          </w:p>
        </w:tc>
        <w:tc>
          <w:tcPr>
            <w:tcW w:w="3157" w:type="pct"/>
          </w:tcPr>
          <w:p w14:paraId="597A3437" w14:textId="77777777" w:rsidR="00464353" w:rsidRPr="005A61FE" w:rsidRDefault="00464353" w:rsidP="00CB7D56">
            <w:r w:rsidRPr="005A61FE">
              <w:t>The Australian Government’s whole-of-government grants information system, which centralises the publication and reporting of Commonwealth grants in accordance with the C</w:t>
            </w:r>
            <w:r w:rsidR="005C1DE3">
              <w:t xml:space="preserve">ommonwealth </w:t>
            </w:r>
            <w:r w:rsidRPr="005A61FE">
              <w:t>G</w:t>
            </w:r>
            <w:r w:rsidR="005C1DE3">
              <w:t xml:space="preserve">rants </w:t>
            </w:r>
            <w:r w:rsidRPr="005A61FE">
              <w:t>R</w:t>
            </w:r>
            <w:r w:rsidR="005C1DE3">
              <w:t xml:space="preserve">ules and </w:t>
            </w:r>
            <w:r w:rsidRPr="005A61FE">
              <w:t>G</w:t>
            </w:r>
            <w:r w:rsidR="005C1DE3">
              <w:t>uideline</w:t>
            </w:r>
            <w:r w:rsidRPr="005A61FE">
              <w:t>s</w:t>
            </w:r>
            <w:r w:rsidR="005C1DE3">
              <w:t xml:space="preserve"> (CGRGs)</w:t>
            </w:r>
            <w:r w:rsidR="009E1D7E">
              <w:t>.</w:t>
            </w:r>
          </w:p>
        </w:tc>
      </w:tr>
      <w:tr w:rsidR="00C166EB" w:rsidRPr="009E3949" w14:paraId="0B39A685" w14:textId="77777777" w:rsidTr="001432F9">
        <w:trPr>
          <w:cantSplit/>
        </w:trPr>
        <w:tc>
          <w:tcPr>
            <w:tcW w:w="1843" w:type="pct"/>
          </w:tcPr>
          <w:p w14:paraId="5976AEDF" w14:textId="77777777" w:rsidR="00C166EB" w:rsidRDefault="00C166EB" w:rsidP="008E215B">
            <w:r>
              <w:t>Grantee</w:t>
            </w:r>
          </w:p>
        </w:tc>
        <w:tc>
          <w:tcPr>
            <w:tcW w:w="3157" w:type="pct"/>
          </w:tcPr>
          <w:p w14:paraId="391F923B"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2A19CE" w:rsidRPr="009E3949" w14:paraId="3358BC7E" w14:textId="77777777" w:rsidTr="001432F9">
        <w:trPr>
          <w:cantSplit/>
        </w:trPr>
        <w:tc>
          <w:tcPr>
            <w:tcW w:w="1843" w:type="pct"/>
          </w:tcPr>
          <w:p w14:paraId="3DB601ED" w14:textId="77777777" w:rsidR="002A19CE" w:rsidRDefault="002A19CE" w:rsidP="002A19CE">
            <w:r>
              <w:t xml:space="preserve">Groups within communities who are at greater risk </w:t>
            </w:r>
          </w:p>
        </w:tc>
        <w:tc>
          <w:tcPr>
            <w:tcW w:w="3157" w:type="pct"/>
          </w:tcPr>
          <w:p w14:paraId="0A74B120" w14:textId="77777777" w:rsidR="002A19CE" w:rsidRDefault="002A19CE" w:rsidP="002A19CE">
            <w:r>
              <w:t>Including but not limited to:</w:t>
            </w:r>
          </w:p>
          <w:p w14:paraId="39BBCBCD" w14:textId="77777777" w:rsidR="002A19CE" w:rsidRDefault="002A19CE" w:rsidP="002A19CE">
            <w:pPr>
              <w:pStyle w:val="ListParagraph"/>
              <w:numPr>
                <w:ilvl w:val="0"/>
                <w:numId w:val="46"/>
              </w:numPr>
            </w:pPr>
            <w:r>
              <w:t>Aboriginal and Torres Strait Islander communities</w:t>
            </w:r>
          </w:p>
          <w:p w14:paraId="748653A2" w14:textId="6A638450" w:rsidR="002A19CE" w:rsidRDefault="002A19CE" w:rsidP="002A19CE">
            <w:pPr>
              <w:pStyle w:val="ListParagraph"/>
              <w:numPr>
                <w:ilvl w:val="0"/>
                <w:numId w:val="46"/>
              </w:numPr>
            </w:pPr>
            <w:r>
              <w:t xml:space="preserve">Culturally and </w:t>
            </w:r>
            <w:r w:rsidR="006B0085">
              <w:t>L</w:t>
            </w:r>
            <w:r>
              <w:t>inguistically Diverse (CALD) communities</w:t>
            </w:r>
          </w:p>
          <w:p w14:paraId="604357B9" w14:textId="2891BB9B" w:rsidR="002A19CE" w:rsidRDefault="006B0085" w:rsidP="002A19CE">
            <w:pPr>
              <w:pStyle w:val="ListParagraph"/>
              <w:numPr>
                <w:ilvl w:val="0"/>
                <w:numId w:val="46"/>
              </w:numPr>
            </w:pPr>
            <w:r>
              <w:t>m</w:t>
            </w:r>
            <w:r w:rsidR="002A19CE">
              <w:t>igrant and refugee communities</w:t>
            </w:r>
          </w:p>
          <w:p w14:paraId="12894760" w14:textId="7049A214" w:rsidR="002A19CE" w:rsidRDefault="006B0085" w:rsidP="002A19CE">
            <w:pPr>
              <w:pStyle w:val="ListParagraph"/>
              <w:numPr>
                <w:ilvl w:val="0"/>
                <w:numId w:val="46"/>
              </w:numPr>
            </w:pPr>
            <w:r>
              <w:t>p</w:t>
            </w:r>
            <w:r w:rsidR="002A19CE">
              <w:t xml:space="preserve">eople with </w:t>
            </w:r>
            <w:r>
              <w:t>a d</w:t>
            </w:r>
            <w:r w:rsidR="002A19CE">
              <w:t>isability</w:t>
            </w:r>
          </w:p>
          <w:p w14:paraId="3783E852" w14:textId="77777777" w:rsidR="002A19CE" w:rsidRDefault="002A19CE" w:rsidP="002A19CE">
            <w:pPr>
              <w:pStyle w:val="ListParagraph"/>
              <w:numPr>
                <w:ilvl w:val="0"/>
                <w:numId w:val="46"/>
              </w:numPr>
            </w:pPr>
            <w:r>
              <w:t>LGBTQIA+ community</w:t>
            </w:r>
          </w:p>
          <w:p w14:paraId="5A745F57" w14:textId="11A9A3A6" w:rsidR="002A19CE" w:rsidRDefault="006B0085" w:rsidP="002A19CE">
            <w:pPr>
              <w:pStyle w:val="ListParagraph"/>
              <w:numPr>
                <w:ilvl w:val="0"/>
                <w:numId w:val="46"/>
              </w:numPr>
            </w:pPr>
            <w:r>
              <w:t>c</w:t>
            </w:r>
            <w:r w:rsidR="002A19CE">
              <w:t>hildren and young people</w:t>
            </w:r>
          </w:p>
          <w:p w14:paraId="3D7A665F" w14:textId="57B65330" w:rsidR="002A19CE" w:rsidRDefault="006B0085" w:rsidP="002A19CE">
            <w:pPr>
              <w:pStyle w:val="ListParagraph"/>
              <w:numPr>
                <w:ilvl w:val="0"/>
                <w:numId w:val="46"/>
              </w:numPr>
            </w:pPr>
            <w:r>
              <w:t>t</w:t>
            </w:r>
            <w:r w:rsidR="002A19CE">
              <w:t>he elderly</w:t>
            </w:r>
          </w:p>
          <w:p w14:paraId="1BB61538" w14:textId="57E0BB97" w:rsidR="002A19CE" w:rsidRPr="006C4678" w:rsidRDefault="006B0085" w:rsidP="00A56BBA">
            <w:pPr>
              <w:pStyle w:val="ListParagraph"/>
              <w:numPr>
                <w:ilvl w:val="0"/>
                <w:numId w:val="46"/>
              </w:numPr>
            </w:pPr>
            <w:proofErr w:type="gramStart"/>
            <w:r>
              <w:t>t</w:t>
            </w:r>
            <w:r w:rsidR="002A19CE">
              <w:t>hose</w:t>
            </w:r>
            <w:proofErr w:type="gramEnd"/>
            <w:r w:rsidR="002A19CE">
              <w:t xml:space="preserve"> experiencing homelessness, unemployment or poverty.</w:t>
            </w:r>
          </w:p>
        </w:tc>
      </w:tr>
      <w:tr w:rsidR="002A19CE" w:rsidRPr="009E3949" w14:paraId="75FE41C9" w14:textId="77777777" w:rsidTr="001432F9">
        <w:trPr>
          <w:cantSplit/>
        </w:trPr>
        <w:tc>
          <w:tcPr>
            <w:tcW w:w="1843" w:type="pct"/>
          </w:tcPr>
          <w:p w14:paraId="6E43FB9F" w14:textId="77777777" w:rsidR="002A19CE" w:rsidRDefault="002A19CE" w:rsidP="002A19CE">
            <w:r>
              <w:t>Guidelines</w:t>
            </w:r>
          </w:p>
        </w:tc>
        <w:tc>
          <w:tcPr>
            <w:tcW w:w="3157" w:type="pct"/>
          </w:tcPr>
          <w:p w14:paraId="4118F866" w14:textId="77777777" w:rsidR="002A19CE" w:rsidRPr="006C4678" w:rsidRDefault="002A19CE" w:rsidP="002A19CE">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2A19CE" w:rsidRPr="009E3949" w14:paraId="607BD796" w14:textId="77777777" w:rsidTr="001432F9">
        <w:trPr>
          <w:cantSplit/>
        </w:trPr>
        <w:tc>
          <w:tcPr>
            <w:tcW w:w="1843" w:type="pct"/>
          </w:tcPr>
          <w:p w14:paraId="362EA8F7" w14:textId="77777777" w:rsidR="002A19CE" w:rsidRPr="002C2C8D" w:rsidRDefault="002A19CE" w:rsidP="002A19CE">
            <w:r w:rsidRPr="002C2C8D">
              <w:t>Local government agency or body</w:t>
            </w:r>
          </w:p>
        </w:tc>
        <w:tc>
          <w:tcPr>
            <w:tcW w:w="3157" w:type="pct"/>
          </w:tcPr>
          <w:p w14:paraId="3714E9C4" w14:textId="77777777" w:rsidR="002A19CE" w:rsidRPr="002C2C8D" w:rsidRDefault="002A19CE" w:rsidP="002A19CE">
            <w:r w:rsidRPr="002C2C8D">
              <w:t xml:space="preserve">A local governing body as defined in the </w:t>
            </w:r>
            <w:r w:rsidRPr="002C2C8D">
              <w:rPr>
                <w:i/>
              </w:rPr>
              <w:t>Local Government</w:t>
            </w:r>
            <w:r w:rsidRPr="002C2C8D">
              <w:t xml:space="preserve"> </w:t>
            </w:r>
            <w:r w:rsidRPr="002C2C8D">
              <w:rPr>
                <w:i/>
              </w:rPr>
              <w:t>(Financial Assistance) Act 1995</w:t>
            </w:r>
            <w:r w:rsidRPr="002C2C8D">
              <w:t xml:space="preserve"> (</w:t>
            </w:r>
            <w:proofErr w:type="spellStart"/>
            <w:r w:rsidRPr="002C2C8D">
              <w:t>Cth</w:t>
            </w:r>
            <w:proofErr w:type="spellEnd"/>
            <w:r w:rsidRPr="002C2C8D">
              <w:t>).</w:t>
            </w:r>
          </w:p>
          <w:p w14:paraId="3858DC78" w14:textId="77777777" w:rsidR="002A19CE" w:rsidRPr="002C2C8D" w:rsidRDefault="002A19CE" w:rsidP="002A19CE">
            <w:pPr>
              <w:pStyle w:val="ListBullet"/>
              <w:numPr>
                <w:ilvl w:val="0"/>
                <w:numId w:val="0"/>
              </w:numPr>
              <w:spacing w:beforeLines="60" w:before="144" w:afterLines="60" w:after="144"/>
            </w:pPr>
            <w:r w:rsidRPr="002C2C8D">
              <w:t xml:space="preserve">For the purposes of the program, we also consider the following organisations to be an Australian local government agency or body: </w:t>
            </w:r>
          </w:p>
          <w:p w14:paraId="440EC062" w14:textId="77777777" w:rsidR="002A19CE" w:rsidRPr="002C2C8D" w:rsidRDefault="002A19CE" w:rsidP="002A19CE">
            <w:pPr>
              <w:pStyle w:val="ListBullet"/>
            </w:pPr>
            <w:proofErr w:type="spellStart"/>
            <w:r w:rsidRPr="002C2C8D">
              <w:t>Anangu</w:t>
            </w:r>
            <w:proofErr w:type="spellEnd"/>
            <w:r w:rsidRPr="002C2C8D">
              <w:t xml:space="preserve"> Pitjantjatjara, Maralinga, Gerard, </w:t>
            </w:r>
            <w:proofErr w:type="spellStart"/>
            <w:r w:rsidRPr="002C2C8D">
              <w:t>Nepabunna</w:t>
            </w:r>
            <w:proofErr w:type="spellEnd"/>
            <w:r w:rsidRPr="002C2C8D">
              <w:t xml:space="preserve"> and Yalata local governing bodies in South Australia</w:t>
            </w:r>
          </w:p>
          <w:p w14:paraId="04F752D0" w14:textId="77777777" w:rsidR="002A19CE" w:rsidRPr="002C2C8D" w:rsidRDefault="002A19CE" w:rsidP="002A19CE">
            <w:pPr>
              <w:pStyle w:val="ListBullet"/>
            </w:pPr>
            <w:r w:rsidRPr="002C2C8D">
              <w:t>Cocos (Keeling) Islands Shire Council</w:t>
            </w:r>
          </w:p>
          <w:p w14:paraId="1F30958F" w14:textId="77777777" w:rsidR="002A19CE" w:rsidRPr="002C2C8D" w:rsidRDefault="002A19CE" w:rsidP="002A19CE">
            <w:pPr>
              <w:pStyle w:val="ListBullet"/>
            </w:pPr>
            <w:r w:rsidRPr="002C2C8D">
              <w:t>Lord Howe Island Board</w:t>
            </w:r>
          </w:p>
          <w:p w14:paraId="25E657EE" w14:textId="77777777" w:rsidR="002A19CE" w:rsidRPr="002C2C8D" w:rsidRDefault="002A19CE" w:rsidP="002A19CE">
            <w:pPr>
              <w:pStyle w:val="ListBullet"/>
            </w:pPr>
            <w:r w:rsidRPr="002C2C8D">
              <w:t>Norfolk Island Regional Council</w:t>
            </w:r>
          </w:p>
          <w:p w14:paraId="10C81C28" w14:textId="77777777" w:rsidR="002A19CE" w:rsidRPr="002C2C8D" w:rsidRDefault="002A19CE" w:rsidP="002A19CE">
            <w:pPr>
              <w:pStyle w:val="ListBullet"/>
            </w:pPr>
            <w:r w:rsidRPr="002C2C8D">
              <w:t>The Outback Communities Authority</w:t>
            </w:r>
          </w:p>
          <w:p w14:paraId="67ECE413" w14:textId="77777777" w:rsidR="002A19CE" w:rsidRPr="002C2C8D" w:rsidRDefault="002A19CE" w:rsidP="002A19CE">
            <w:pPr>
              <w:pStyle w:val="ListBullet"/>
            </w:pPr>
            <w:r w:rsidRPr="002C2C8D">
              <w:t xml:space="preserve">The Shire of Christmas Island </w:t>
            </w:r>
          </w:p>
          <w:p w14:paraId="05F699ED" w14:textId="77777777" w:rsidR="002A19CE" w:rsidRPr="002C2C8D" w:rsidRDefault="002A19CE" w:rsidP="002A19CE">
            <w:pPr>
              <w:pStyle w:val="ListBullet"/>
            </w:pPr>
            <w:r w:rsidRPr="002C2C8D">
              <w:t>The Silverton and Tibooburra villages in New South Wales.</w:t>
            </w:r>
          </w:p>
        </w:tc>
      </w:tr>
      <w:tr w:rsidR="002A19CE" w:rsidRPr="009E3949" w14:paraId="56662047" w14:textId="77777777" w:rsidTr="001432F9">
        <w:trPr>
          <w:cantSplit/>
        </w:trPr>
        <w:tc>
          <w:tcPr>
            <w:tcW w:w="1843" w:type="pct"/>
          </w:tcPr>
          <w:p w14:paraId="0A0A8211" w14:textId="77777777" w:rsidR="002A19CE" w:rsidRDefault="002A19CE" w:rsidP="002A19CE">
            <w:r>
              <w:t>Minister</w:t>
            </w:r>
          </w:p>
        </w:tc>
        <w:tc>
          <w:tcPr>
            <w:tcW w:w="3157" w:type="pct"/>
          </w:tcPr>
          <w:p w14:paraId="502C8138" w14:textId="77777777" w:rsidR="002A19CE" w:rsidRPr="006C4678" w:rsidRDefault="002A19CE" w:rsidP="002A19CE">
            <w:r w:rsidRPr="006C4678">
              <w:t>The</w:t>
            </w:r>
            <w:r>
              <w:t xml:space="preserve"> Commonwealth</w:t>
            </w:r>
            <w:r w:rsidRPr="006C4678">
              <w:t xml:space="preserve"> </w:t>
            </w:r>
            <w:r w:rsidRPr="001F3701">
              <w:rPr>
                <w:color w:val="000000"/>
                <w:w w:val="0"/>
                <w:szCs w:val="20"/>
              </w:rPr>
              <w:t>Minister for Emergency Management</w:t>
            </w:r>
            <w:r>
              <w:rPr>
                <w:color w:val="000000"/>
                <w:w w:val="0"/>
                <w:szCs w:val="20"/>
              </w:rPr>
              <w:t xml:space="preserve"> and National Recovery and Resilience</w:t>
            </w:r>
          </w:p>
        </w:tc>
      </w:tr>
      <w:tr w:rsidR="002A19CE" w:rsidRPr="009E3949" w14:paraId="476AC94E" w14:textId="77777777" w:rsidTr="001432F9">
        <w:trPr>
          <w:cantSplit/>
        </w:trPr>
        <w:tc>
          <w:tcPr>
            <w:tcW w:w="1843" w:type="pct"/>
          </w:tcPr>
          <w:p w14:paraId="26F122F4" w14:textId="77777777" w:rsidR="002A19CE" w:rsidRDefault="002A19CE" w:rsidP="002A19CE">
            <w:r w:rsidRPr="00A406FF">
              <w:t>National Disaster Risk Reduction Framework</w:t>
            </w:r>
          </w:p>
        </w:tc>
        <w:tc>
          <w:tcPr>
            <w:tcW w:w="3157" w:type="pct"/>
          </w:tcPr>
          <w:p w14:paraId="0BD6B858" w14:textId="72B3A9FD" w:rsidR="002A19CE" w:rsidRPr="006C4678" w:rsidRDefault="002A19CE" w:rsidP="002A19CE">
            <w:r w:rsidRPr="00E74AA8">
              <w:t>The National Disaster Risk Reduction Framework sets out the foundational work required nationally across all sectors, to reduce disaster risk, minimise new disaster risk, and deliver better climate and disaster risk information.</w:t>
            </w:r>
            <w:r>
              <w:t xml:space="preserve"> The Framework is available at </w:t>
            </w:r>
            <w:hyperlink r:id="rId54" w:history="1">
              <w:r w:rsidRPr="00F604F6">
                <w:rPr>
                  <w:rStyle w:val="Hyperlink"/>
                </w:rPr>
                <w:t>recovery.gov.au</w:t>
              </w:r>
            </w:hyperlink>
            <w:r>
              <w:t xml:space="preserve"> </w:t>
            </w:r>
          </w:p>
        </w:tc>
      </w:tr>
      <w:tr w:rsidR="002A19CE" w:rsidRPr="009E3949" w14:paraId="56CFEA56" w14:textId="77777777" w:rsidTr="001432F9">
        <w:trPr>
          <w:cantSplit/>
        </w:trPr>
        <w:tc>
          <w:tcPr>
            <w:tcW w:w="1843" w:type="pct"/>
          </w:tcPr>
          <w:p w14:paraId="66B99E29" w14:textId="77777777" w:rsidR="002A19CE" w:rsidRPr="00A406FF" w:rsidRDefault="002A19CE" w:rsidP="002A19CE">
            <w:r>
              <w:t>Natural hazard</w:t>
            </w:r>
          </w:p>
        </w:tc>
        <w:tc>
          <w:tcPr>
            <w:tcW w:w="3157" w:type="pct"/>
          </w:tcPr>
          <w:p w14:paraId="79F56927" w14:textId="77777777" w:rsidR="002A19CE" w:rsidRPr="006C4678" w:rsidRDefault="002A19CE" w:rsidP="002A19CE">
            <w:r w:rsidRPr="00470CCB">
              <w:t>A natural process or phenomenon that may cause loss of life, injury or other health impacts, property damage, social and economic disruption or environmental degradation</w:t>
            </w:r>
            <w:r>
              <w:t>.</w:t>
            </w:r>
          </w:p>
        </w:tc>
      </w:tr>
      <w:tr w:rsidR="002A19CE" w:rsidRPr="009E3949" w14:paraId="15CE7B3B" w14:textId="77777777" w:rsidTr="001432F9">
        <w:trPr>
          <w:cantSplit/>
        </w:trPr>
        <w:tc>
          <w:tcPr>
            <w:tcW w:w="1843" w:type="pct"/>
          </w:tcPr>
          <w:p w14:paraId="622A0E3C" w14:textId="77777777" w:rsidR="002A19CE" w:rsidRDefault="002A19CE" w:rsidP="002A19CE">
            <w:r>
              <w:t>Personal information</w:t>
            </w:r>
          </w:p>
        </w:tc>
        <w:tc>
          <w:tcPr>
            <w:tcW w:w="3157" w:type="pct"/>
          </w:tcPr>
          <w:p w14:paraId="0270FB47" w14:textId="77777777" w:rsidR="002A19CE" w:rsidRDefault="002A19CE" w:rsidP="002A19CE">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43648059" w14:textId="77777777" w:rsidR="002A19CE" w:rsidRDefault="002A19CE" w:rsidP="002A19CE">
            <w:pPr>
              <w:ind w:left="338"/>
              <w:rPr>
                <w:color w:val="000000"/>
                <w:w w:val="0"/>
              </w:rPr>
            </w:pPr>
            <w:r>
              <w:rPr>
                <w:color w:val="000000"/>
                <w:w w:val="0"/>
              </w:rPr>
              <w:t>Information or an opinion about an identified individual, or an individual who is reasonably identifiable:</w:t>
            </w:r>
          </w:p>
          <w:p w14:paraId="019CC0F6" w14:textId="77777777" w:rsidR="002A19CE" w:rsidRDefault="002A19CE" w:rsidP="002A19CE">
            <w:pPr>
              <w:pStyle w:val="ListParagraph"/>
              <w:numPr>
                <w:ilvl w:val="7"/>
                <w:numId w:val="12"/>
              </w:numPr>
              <w:ind w:left="720" w:hanging="382"/>
            </w:pPr>
            <w:r>
              <w:t>whether the information or opinion is true or not; and</w:t>
            </w:r>
          </w:p>
          <w:p w14:paraId="75A353B0" w14:textId="77777777" w:rsidR="002A19CE" w:rsidRPr="006C4678" w:rsidRDefault="002A19CE" w:rsidP="002A19CE">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2A19CE" w:rsidRPr="009E3949" w14:paraId="796BE239" w14:textId="77777777" w:rsidTr="001432F9">
        <w:trPr>
          <w:cantSplit/>
        </w:trPr>
        <w:tc>
          <w:tcPr>
            <w:tcW w:w="1843" w:type="pct"/>
          </w:tcPr>
          <w:p w14:paraId="2D5A41DA" w14:textId="77777777" w:rsidR="002A19CE" w:rsidRDefault="002A19CE" w:rsidP="002A19CE">
            <w:r>
              <w:t>Program Delegate</w:t>
            </w:r>
          </w:p>
        </w:tc>
        <w:tc>
          <w:tcPr>
            <w:tcW w:w="3157" w:type="pct"/>
          </w:tcPr>
          <w:p w14:paraId="7A9D239B" w14:textId="77777777" w:rsidR="002A19CE" w:rsidRPr="006C4678" w:rsidRDefault="002A19CE" w:rsidP="002A19CE">
            <w:pPr>
              <w:rPr>
                <w:bCs/>
              </w:rPr>
            </w:pPr>
            <w:r>
              <w:t>A manager within the department with responsibility for the program.</w:t>
            </w:r>
          </w:p>
        </w:tc>
      </w:tr>
      <w:tr w:rsidR="002A19CE" w:rsidRPr="009E3949" w14:paraId="0A69AB8F" w14:textId="77777777" w:rsidTr="001432F9">
        <w:trPr>
          <w:cantSplit/>
        </w:trPr>
        <w:tc>
          <w:tcPr>
            <w:tcW w:w="1843" w:type="pct"/>
          </w:tcPr>
          <w:p w14:paraId="3AD29AB8" w14:textId="77777777" w:rsidR="002A19CE" w:rsidRDefault="002A19CE" w:rsidP="002A19CE">
            <w:r>
              <w:t>Program funding or Program funds</w:t>
            </w:r>
          </w:p>
        </w:tc>
        <w:tc>
          <w:tcPr>
            <w:tcW w:w="3157" w:type="pct"/>
          </w:tcPr>
          <w:p w14:paraId="3C8661FB" w14:textId="77777777" w:rsidR="002A19CE" w:rsidRPr="006C4678" w:rsidRDefault="002A19CE" w:rsidP="002A19CE">
            <w:r w:rsidRPr="006C4678">
              <w:rPr>
                <w:bCs/>
              </w:rPr>
              <w:t>The funding made available by the Commonwealth for the program.</w:t>
            </w:r>
          </w:p>
        </w:tc>
      </w:tr>
      <w:tr w:rsidR="002A19CE" w:rsidRPr="009E3949" w14:paraId="532508CE" w14:textId="77777777" w:rsidTr="001432F9">
        <w:trPr>
          <w:cantSplit/>
        </w:trPr>
        <w:tc>
          <w:tcPr>
            <w:tcW w:w="1843" w:type="pct"/>
          </w:tcPr>
          <w:p w14:paraId="12E74A78" w14:textId="77777777" w:rsidR="002A19CE" w:rsidRDefault="002A19CE" w:rsidP="002A19CE">
            <w:r>
              <w:t>Project</w:t>
            </w:r>
          </w:p>
        </w:tc>
        <w:tc>
          <w:tcPr>
            <w:tcW w:w="3157" w:type="pct"/>
          </w:tcPr>
          <w:p w14:paraId="4E2095F0" w14:textId="77777777" w:rsidR="002A19CE" w:rsidRPr="006C4678" w:rsidRDefault="002A19CE" w:rsidP="002A19CE">
            <w:pPr>
              <w:rPr>
                <w:color w:val="000000"/>
                <w:w w:val="0"/>
                <w:szCs w:val="20"/>
              </w:rPr>
            </w:pPr>
            <w:r w:rsidRPr="006C4678">
              <w:t>A project described in an application for grant funding under the program.</w:t>
            </w:r>
          </w:p>
        </w:tc>
      </w:tr>
      <w:tr w:rsidR="002A19CE" w:rsidRPr="009E3949" w14:paraId="0D5FAB62" w14:textId="77777777" w:rsidTr="001432F9">
        <w:trPr>
          <w:cantSplit/>
        </w:trPr>
        <w:tc>
          <w:tcPr>
            <w:tcW w:w="1843" w:type="pct"/>
          </w:tcPr>
          <w:p w14:paraId="4ECFA0E6" w14:textId="77777777" w:rsidR="002A19CE" w:rsidRDefault="002A19CE" w:rsidP="002A19CE">
            <w:r>
              <w:t>Resilience</w:t>
            </w:r>
          </w:p>
        </w:tc>
        <w:tc>
          <w:tcPr>
            <w:tcW w:w="3157" w:type="pct"/>
          </w:tcPr>
          <w:p w14:paraId="0E5C7E23" w14:textId="77777777" w:rsidR="002A19CE" w:rsidRPr="006C4678" w:rsidRDefault="003F7F48" w:rsidP="003F7F48">
            <w:pPr>
              <w:spacing w:after="80"/>
            </w:pPr>
            <w:r>
              <w:t>T</w:t>
            </w:r>
            <w:r w:rsidRPr="00F3235F">
              <w:t>he ability of a system, community or society exposed to hazards to resist, absorb, accommodate, adapt to, transform and recover from the effects of a hazard in a timely and efficient manner, including through the preservation and restoration of its essential basic structures and functions through risk management</w:t>
            </w:r>
            <w:r>
              <w:t>.</w:t>
            </w:r>
          </w:p>
        </w:tc>
      </w:tr>
    </w:tbl>
    <w:p w14:paraId="57C5899A" w14:textId="77777777" w:rsidR="00230A2B" w:rsidRDefault="00230A2B" w:rsidP="00230A2B"/>
    <w:p w14:paraId="503CC55E"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466C7A9E" w14:textId="642F2ABF" w:rsidR="00F11991" w:rsidRDefault="005D4B48" w:rsidP="00F11991">
      <w:pPr>
        <w:pStyle w:val="Heading2Appendix"/>
        <w:numPr>
          <w:ilvl w:val="0"/>
          <w:numId w:val="33"/>
        </w:numPr>
      </w:pPr>
      <w:bookmarkStart w:id="600" w:name="_Toc496536709"/>
      <w:bookmarkStart w:id="601" w:name="_Toc531277537"/>
      <w:bookmarkStart w:id="602" w:name="_Toc955347"/>
      <w:bookmarkStart w:id="603" w:name="_Toc80180295"/>
      <w:bookmarkStart w:id="604" w:name="_Toc80185543"/>
      <w:bookmarkStart w:id="605" w:name="_Toc80190357"/>
      <w:bookmarkStart w:id="606" w:name="_Toc80190434"/>
      <w:bookmarkStart w:id="607" w:name="_Toc80870687"/>
      <w:bookmarkStart w:id="608" w:name="_Toc81229280"/>
      <w:bookmarkStart w:id="609" w:name="_Toc83047324"/>
      <w:bookmarkStart w:id="610" w:name="_Toc83722078"/>
      <w:bookmarkStart w:id="611" w:name="_Toc84398491"/>
      <w:r>
        <w:t>Priority</w:t>
      </w:r>
      <w:r w:rsidR="004C019F">
        <w:t xml:space="preserve"> Local</w:t>
      </w:r>
      <w:r w:rsidR="00F11991">
        <w:t xml:space="preserve"> Government Areas (LGAs)</w:t>
      </w:r>
      <w:bookmarkEnd w:id="600"/>
      <w:bookmarkEnd w:id="601"/>
      <w:bookmarkEnd w:id="602"/>
      <w:bookmarkEnd w:id="603"/>
      <w:bookmarkEnd w:id="604"/>
      <w:bookmarkEnd w:id="605"/>
      <w:bookmarkEnd w:id="606"/>
      <w:bookmarkEnd w:id="607"/>
      <w:bookmarkEnd w:id="608"/>
      <w:bookmarkEnd w:id="609"/>
      <w:bookmarkEnd w:id="610"/>
      <w:bookmarkEnd w:id="611"/>
    </w:p>
    <w:p w14:paraId="4391D96B" w14:textId="77777777" w:rsidR="003C1DE8" w:rsidRDefault="00A6675D" w:rsidP="00A6675D">
      <w:pPr>
        <w:rPr>
          <w:b/>
        </w:rPr>
      </w:pPr>
      <w:bookmarkStart w:id="612" w:name="_Toc26443763"/>
      <w:bookmarkStart w:id="613" w:name="_Toc80190358"/>
      <w:bookmarkStart w:id="614" w:name="_Toc80190435"/>
      <w:r w:rsidRPr="0012022A">
        <w:rPr>
          <w:b/>
        </w:rPr>
        <w:t>Table 1 - Bushfire Risk LGAs</w:t>
      </w:r>
    </w:p>
    <w:p w14:paraId="471E2CA5" w14:textId="4B283D6D" w:rsidR="003C1DE8" w:rsidRPr="00920EF0" w:rsidRDefault="003C1DE8" w:rsidP="003C1DE8">
      <w:pPr>
        <w:pStyle w:val="ListNumber2"/>
        <w:numPr>
          <w:ilvl w:val="0"/>
          <w:numId w:val="0"/>
        </w:numPr>
      </w:pPr>
      <w:r>
        <w:t>Applications for projects that address bushfire risks in the selected LGAs</w:t>
      </w:r>
      <w:r w:rsidDel="00E966B7">
        <w:t xml:space="preserve"> </w:t>
      </w:r>
      <w:r>
        <w:t xml:space="preserve">identified in the table below </w:t>
      </w:r>
      <w:proofErr w:type="gramStart"/>
      <w:r>
        <w:t>will be awarded</w:t>
      </w:r>
      <w:proofErr w:type="gramEnd"/>
      <w:r>
        <w:t xml:space="preserve"> an additional </w:t>
      </w:r>
      <w:r w:rsidR="006F7360">
        <w:t>2</w:t>
      </w:r>
      <w:r>
        <w:t>0 points</w:t>
      </w:r>
      <w:r w:rsidR="00A6032D">
        <w:t xml:space="preserve"> (You can only receive a maximum of 20 additional points per application)</w:t>
      </w:r>
      <w:r>
        <w:t xml:space="preserve">. </w:t>
      </w:r>
    </w:p>
    <w:tbl>
      <w:tblPr>
        <w:tblStyle w:val="TableGrid"/>
        <w:tblW w:w="4994" w:type="pct"/>
        <w:tblLook w:val="04A0" w:firstRow="1" w:lastRow="0" w:firstColumn="1" w:lastColumn="0" w:noHBand="0" w:noVBand="1"/>
      </w:tblPr>
      <w:tblGrid>
        <w:gridCol w:w="1696"/>
        <w:gridCol w:w="7071"/>
      </w:tblGrid>
      <w:tr w:rsidR="004449D0" w14:paraId="1B58A4B2" w14:textId="77777777" w:rsidTr="008759DA">
        <w:trPr>
          <w:cantSplit/>
          <w:tblHeader/>
        </w:trPr>
        <w:tc>
          <w:tcPr>
            <w:tcW w:w="967" w:type="pct"/>
            <w:shd w:val="clear" w:color="auto" w:fill="1F497D" w:themeFill="text2"/>
          </w:tcPr>
          <w:p w14:paraId="4DC8365D" w14:textId="77777777" w:rsidR="004449D0" w:rsidRPr="00F81FF1" w:rsidRDefault="004449D0" w:rsidP="008759DA">
            <w:pPr>
              <w:spacing w:before="0" w:after="0" w:line="240" w:lineRule="auto"/>
              <w:jc w:val="center"/>
              <w:rPr>
                <w:b/>
                <w:color w:val="FFFFFF" w:themeColor="background1"/>
              </w:rPr>
            </w:pPr>
            <w:r w:rsidRPr="00F81FF1">
              <w:rPr>
                <w:b/>
                <w:color w:val="FFFFFF" w:themeColor="background1"/>
              </w:rPr>
              <w:t>State</w:t>
            </w:r>
          </w:p>
        </w:tc>
        <w:tc>
          <w:tcPr>
            <w:tcW w:w="4033" w:type="pct"/>
            <w:shd w:val="clear" w:color="auto" w:fill="1F497D" w:themeFill="text2"/>
          </w:tcPr>
          <w:p w14:paraId="14DA721E" w14:textId="77777777" w:rsidR="004449D0" w:rsidRPr="00F81FF1" w:rsidRDefault="004449D0" w:rsidP="008759DA">
            <w:pPr>
              <w:spacing w:before="0" w:after="0" w:line="240" w:lineRule="auto"/>
              <w:rPr>
                <w:b/>
                <w:color w:val="FFFFFF" w:themeColor="background1"/>
              </w:rPr>
            </w:pPr>
            <w:r w:rsidRPr="00F81FF1">
              <w:rPr>
                <w:b/>
                <w:color w:val="FFFFFF" w:themeColor="background1"/>
              </w:rPr>
              <w:t>LGA</w:t>
            </w:r>
          </w:p>
        </w:tc>
      </w:tr>
      <w:tr w:rsidR="004449D0" w14:paraId="6A4A0FFB" w14:textId="77777777" w:rsidTr="008759DA">
        <w:trPr>
          <w:cantSplit/>
        </w:trPr>
        <w:tc>
          <w:tcPr>
            <w:tcW w:w="967" w:type="pct"/>
            <w:vAlign w:val="bottom"/>
          </w:tcPr>
          <w:p w14:paraId="32B2F23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ACT</w:t>
            </w:r>
          </w:p>
        </w:tc>
        <w:tc>
          <w:tcPr>
            <w:tcW w:w="4033" w:type="pct"/>
            <w:vAlign w:val="bottom"/>
          </w:tcPr>
          <w:p w14:paraId="16021E1E" w14:textId="77777777" w:rsidR="004449D0" w:rsidRPr="00D71C96" w:rsidRDefault="004449D0" w:rsidP="008759DA">
            <w:pPr>
              <w:spacing w:before="0" w:after="0" w:line="240" w:lineRule="auto"/>
            </w:pPr>
            <w:r w:rsidRPr="00BB1696">
              <w:t>Unincorporated ACT</w:t>
            </w:r>
          </w:p>
        </w:tc>
      </w:tr>
      <w:tr w:rsidR="004449D0" w14:paraId="72679EC3" w14:textId="77777777" w:rsidTr="00F13D0D">
        <w:trPr>
          <w:cantSplit/>
        </w:trPr>
        <w:tc>
          <w:tcPr>
            <w:tcW w:w="967" w:type="pct"/>
            <w:vAlign w:val="bottom"/>
          </w:tcPr>
          <w:p w14:paraId="3653FB08"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4ED23C7E" w14:textId="77777777" w:rsidR="004449D0" w:rsidRDefault="004449D0" w:rsidP="008759DA">
            <w:pPr>
              <w:spacing w:before="0" w:after="0" w:line="240" w:lineRule="auto"/>
            </w:pPr>
            <w:r w:rsidRPr="00BB1696">
              <w:t xml:space="preserve">Bega Valley </w:t>
            </w:r>
          </w:p>
        </w:tc>
      </w:tr>
      <w:tr w:rsidR="004449D0" w14:paraId="11AC3832" w14:textId="77777777" w:rsidTr="00F13D0D">
        <w:trPr>
          <w:cantSplit/>
        </w:trPr>
        <w:tc>
          <w:tcPr>
            <w:tcW w:w="967" w:type="pct"/>
            <w:vAlign w:val="bottom"/>
          </w:tcPr>
          <w:p w14:paraId="0C429BC0"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725DC06E" w14:textId="77777777" w:rsidR="004449D0" w:rsidRDefault="004449D0" w:rsidP="008759DA">
            <w:pPr>
              <w:spacing w:before="0" w:after="0" w:line="240" w:lineRule="auto"/>
            </w:pPr>
            <w:r w:rsidRPr="00BB1696">
              <w:t xml:space="preserve">Blue Mountains </w:t>
            </w:r>
          </w:p>
        </w:tc>
      </w:tr>
      <w:tr w:rsidR="004449D0" w14:paraId="79E97174" w14:textId="77777777" w:rsidTr="00F13D0D">
        <w:trPr>
          <w:cantSplit/>
        </w:trPr>
        <w:tc>
          <w:tcPr>
            <w:tcW w:w="967" w:type="pct"/>
            <w:vAlign w:val="bottom"/>
          </w:tcPr>
          <w:p w14:paraId="16F48FF0"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3F429F63" w14:textId="77777777" w:rsidR="004449D0" w:rsidRDefault="004449D0" w:rsidP="008759DA">
            <w:pPr>
              <w:spacing w:before="0" w:after="0" w:line="240" w:lineRule="auto"/>
            </w:pPr>
            <w:r w:rsidRPr="00BB1696">
              <w:t>Central Coast  (NSW)</w:t>
            </w:r>
          </w:p>
        </w:tc>
      </w:tr>
      <w:tr w:rsidR="004449D0" w14:paraId="25D9C5FA" w14:textId="77777777" w:rsidTr="00F13D0D">
        <w:trPr>
          <w:cantSplit/>
        </w:trPr>
        <w:tc>
          <w:tcPr>
            <w:tcW w:w="967" w:type="pct"/>
            <w:vAlign w:val="bottom"/>
          </w:tcPr>
          <w:p w14:paraId="0BB25CD7"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54A05495" w14:textId="77777777" w:rsidR="004449D0" w:rsidRPr="00D71C96" w:rsidRDefault="004449D0" w:rsidP="008759DA">
            <w:pPr>
              <w:spacing w:before="0" w:after="0" w:line="240" w:lineRule="auto"/>
            </w:pPr>
            <w:r w:rsidRPr="00BB1696">
              <w:t xml:space="preserve">Cessnock </w:t>
            </w:r>
          </w:p>
        </w:tc>
      </w:tr>
      <w:tr w:rsidR="004449D0" w14:paraId="66771B95" w14:textId="77777777" w:rsidTr="00F13D0D">
        <w:trPr>
          <w:cantSplit/>
        </w:trPr>
        <w:tc>
          <w:tcPr>
            <w:tcW w:w="967" w:type="pct"/>
            <w:vAlign w:val="bottom"/>
          </w:tcPr>
          <w:p w14:paraId="2E8CC63D"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699DD166" w14:textId="77777777" w:rsidR="004449D0" w:rsidRDefault="004449D0" w:rsidP="008759DA">
            <w:pPr>
              <w:spacing w:before="0" w:after="0" w:line="240" w:lineRule="auto"/>
            </w:pPr>
            <w:r w:rsidRPr="00BB1696">
              <w:t xml:space="preserve">Eurobodalla </w:t>
            </w:r>
          </w:p>
        </w:tc>
      </w:tr>
      <w:tr w:rsidR="004449D0" w14:paraId="332B52B5" w14:textId="77777777" w:rsidTr="008759DA">
        <w:trPr>
          <w:cantSplit/>
        </w:trPr>
        <w:tc>
          <w:tcPr>
            <w:tcW w:w="967" w:type="pct"/>
            <w:vAlign w:val="bottom"/>
          </w:tcPr>
          <w:p w14:paraId="026A01B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NSW</w:t>
            </w:r>
          </w:p>
        </w:tc>
        <w:tc>
          <w:tcPr>
            <w:tcW w:w="4033" w:type="pct"/>
            <w:vAlign w:val="bottom"/>
          </w:tcPr>
          <w:p w14:paraId="37CF9F9E" w14:textId="77777777" w:rsidR="004449D0" w:rsidRDefault="004449D0" w:rsidP="008759DA">
            <w:pPr>
              <w:spacing w:before="0" w:after="0" w:line="240" w:lineRule="auto"/>
            </w:pPr>
            <w:r w:rsidRPr="00BB1696">
              <w:t xml:space="preserve">Kempsey </w:t>
            </w:r>
          </w:p>
        </w:tc>
      </w:tr>
      <w:tr w:rsidR="004449D0" w14:paraId="676CBA23" w14:textId="77777777" w:rsidTr="00F13D0D">
        <w:trPr>
          <w:cantSplit/>
        </w:trPr>
        <w:tc>
          <w:tcPr>
            <w:tcW w:w="967" w:type="pct"/>
            <w:vAlign w:val="bottom"/>
          </w:tcPr>
          <w:p w14:paraId="2010C039"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3DAB15B6" w14:textId="77777777" w:rsidR="004449D0" w:rsidRDefault="004449D0" w:rsidP="008759DA">
            <w:pPr>
              <w:spacing w:before="0" w:after="0" w:line="240" w:lineRule="auto"/>
            </w:pPr>
            <w:r w:rsidRPr="00BB1696">
              <w:t xml:space="preserve">Lake Macquarie </w:t>
            </w:r>
          </w:p>
        </w:tc>
      </w:tr>
      <w:tr w:rsidR="004449D0" w14:paraId="2BDAE5EF" w14:textId="77777777" w:rsidTr="00F13D0D">
        <w:trPr>
          <w:cantSplit/>
        </w:trPr>
        <w:tc>
          <w:tcPr>
            <w:tcW w:w="967" w:type="pct"/>
            <w:vAlign w:val="bottom"/>
          </w:tcPr>
          <w:p w14:paraId="512DB472"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61704A2F" w14:textId="77777777" w:rsidR="004449D0" w:rsidRDefault="004449D0" w:rsidP="008759DA">
            <w:pPr>
              <w:spacing w:before="0" w:after="0" w:line="240" w:lineRule="auto"/>
            </w:pPr>
            <w:r w:rsidRPr="00BB1696">
              <w:t xml:space="preserve">Port Macquarie-Hastings </w:t>
            </w:r>
          </w:p>
        </w:tc>
      </w:tr>
      <w:tr w:rsidR="004449D0" w14:paraId="5D21A21D" w14:textId="77777777" w:rsidTr="00F13D0D">
        <w:trPr>
          <w:cantSplit/>
        </w:trPr>
        <w:tc>
          <w:tcPr>
            <w:tcW w:w="967" w:type="pct"/>
            <w:vAlign w:val="bottom"/>
          </w:tcPr>
          <w:p w14:paraId="07B3DB24"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19EABB56" w14:textId="77777777" w:rsidR="004449D0" w:rsidRDefault="004449D0" w:rsidP="008759DA">
            <w:pPr>
              <w:spacing w:before="0" w:after="0" w:line="240" w:lineRule="auto"/>
            </w:pPr>
            <w:r w:rsidRPr="00BB1696">
              <w:t xml:space="preserve">Port Stephens </w:t>
            </w:r>
          </w:p>
        </w:tc>
      </w:tr>
      <w:tr w:rsidR="004449D0" w14:paraId="10EF550C" w14:textId="77777777" w:rsidTr="00F13D0D">
        <w:trPr>
          <w:cantSplit/>
        </w:trPr>
        <w:tc>
          <w:tcPr>
            <w:tcW w:w="967" w:type="pct"/>
            <w:vAlign w:val="bottom"/>
          </w:tcPr>
          <w:p w14:paraId="6E552480" w14:textId="77777777" w:rsidR="004449D0" w:rsidRPr="00BB1696" w:rsidRDefault="004449D0" w:rsidP="008759DA">
            <w:pPr>
              <w:spacing w:before="0" w:after="0" w:line="240" w:lineRule="auto"/>
              <w:jc w:val="center"/>
              <w:rPr>
                <w:rFonts w:cs="Arial"/>
                <w:szCs w:val="20"/>
              </w:rPr>
            </w:pPr>
            <w:r w:rsidRPr="00F13D0D">
              <w:rPr>
                <w:color w:val="000000"/>
              </w:rPr>
              <w:t>NSW</w:t>
            </w:r>
          </w:p>
        </w:tc>
        <w:tc>
          <w:tcPr>
            <w:tcW w:w="4033" w:type="pct"/>
            <w:vAlign w:val="bottom"/>
          </w:tcPr>
          <w:p w14:paraId="536626E7" w14:textId="77777777" w:rsidR="004449D0" w:rsidRPr="00B346C1" w:rsidRDefault="004449D0" w:rsidP="008759DA">
            <w:pPr>
              <w:spacing w:before="0" w:after="0" w:line="240" w:lineRule="auto"/>
            </w:pPr>
            <w:r w:rsidRPr="00BB1696">
              <w:t xml:space="preserve">Shoalhaven </w:t>
            </w:r>
          </w:p>
        </w:tc>
      </w:tr>
      <w:tr w:rsidR="004449D0" w14:paraId="510F11C1" w14:textId="77777777" w:rsidTr="008759DA">
        <w:trPr>
          <w:cantSplit/>
        </w:trPr>
        <w:tc>
          <w:tcPr>
            <w:tcW w:w="967" w:type="pct"/>
            <w:vAlign w:val="bottom"/>
          </w:tcPr>
          <w:p w14:paraId="489E5AC4"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7E0CEDE3" w14:textId="77777777" w:rsidR="004449D0" w:rsidRDefault="004449D0" w:rsidP="008759DA">
            <w:pPr>
              <w:spacing w:before="0" w:after="0" w:line="240" w:lineRule="auto"/>
            </w:pPr>
            <w:r w:rsidRPr="00BB1696">
              <w:t xml:space="preserve">Barkly </w:t>
            </w:r>
          </w:p>
        </w:tc>
      </w:tr>
      <w:tr w:rsidR="004449D0" w14:paraId="263197B4" w14:textId="77777777" w:rsidTr="008759DA">
        <w:trPr>
          <w:cantSplit/>
        </w:trPr>
        <w:tc>
          <w:tcPr>
            <w:tcW w:w="967" w:type="pct"/>
            <w:vAlign w:val="bottom"/>
          </w:tcPr>
          <w:p w14:paraId="4A28EF5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1F735286" w14:textId="77777777" w:rsidR="004449D0" w:rsidRDefault="004449D0" w:rsidP="008759DA">
            <w:pPr>
              <w:spacing w:before="0" w:after="0" w:line="240" w:lineRule="auto"/>
            </w:pPr>
            <w:r w:rsidRPr="00BB1696">
              <w:t xml:space="preserve">Litchfield </w:t>
            </w:r>
          </w:p>
        </w:tc>
      </w:tr>
      <w:tr w:rsidR="004449D0" w14:paraId="1A5B8564" w14:textId="77777777" w:rsidTr="008759DA">
        <w:trPr>
          <w:cantSplit/>
        </w:trPr>
        <w:tc>
          <w:tcPr>
            <w:tcW w:w="967" w:type="pct"/>
            <w:vAlign w:val="bottom"/>
          </w:tcPr>
          <w:p w14:paraId="579590A2"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1FDA7231" w14:textId="77777777" w:rsidR="004449D0" w:rsidRDefault="004449D0" w:rsidP="008759DA">
            <w:pPr>
              <w:spacing w:before="0" w:after="0" w:line="240" w:lineRule="auto"/>
            </w:pPr>
            <w:r w:rsidRPr="00BB1696">
              <w:t xml:space="preserve">Sunshine Coast </w:t>
            </w:r>
          </w:p>
        </w:tc>
      </w:tr>
      <w:tr w:rsidR="004449D0" w14:paraId="10325996" w14:textId="77777777" w:rsidTr="00F13D0D">
        <w:trPr>
          <w:cantSplit/>
        </w:trPr>
        <w:tc>
          <w:tcPr>
            <w:tcW w:w="967" w:type="pct"/>
            <w:vAlign w:val="bottom"/>
          </w:tcPr>
          <w:p w14:paraId="4418FAA9" w14:textId="77777777" w:rsidR="004449D0" w:rsidRPr="00BB1696" w:rsidRDefault="004449D0" w:rsidP="008759DA">
            <w:pPr>
              <w:spacing w:before="0" w:after="0" w:line="240" w:lineRule="auto"/>
              <w:jc w:val="center"/>
              <w:rPr>
                <w:rFonts w:cs="Arial"/>
                <w:szCs w:val="20"/>
              </w:rPr>
            </w:pPr>
            <w:r w:rsidRPr="00F13D0D">
              <w:rPr>
                <w:color w:val="000000"/>
              </w:rPr>
              <w:t>SA</w:t>
            </w:r>
          </w:p>
        </w:tc>
        <w:tc>
          <w:tcPr>
            <w:tcW w:w="4033" w:type="pct"/>
            <w:vAlign w:val="bottom"/>
          </w:tcPr>
          <w:p w14:paraId="0D54FB1E" w14:textId="77777777" w:rsidR="004449D0" w:rsidRDefault="004449D0" w:rsidP="008759DA">
            <w:pPr>
              <w:spacing w:before="0" w:after="0" w:line="240" w:lineRule="auto"/>
            </w:pPr>
            <w:r w:rsidRPr="00BB1696">
              <w:t xml:space="preserve">Adelaide Hills </w:t>
            </w:r>
          </w:p>
        </w:tc>
      </w:tr>
      <w:tr w:rsidR="004449D0" w14:paraId="6E5B8D76" w14:textId="77777777" w:rsidTr="008759DA">
        <w:trPr>
          <w:cantSplit/>
        </w:trPr>
        <w:tc>
          <w:tcPr>
            <w:tcW w:w="967" w:type="pct"/>
            <w:vAlign w:val="bottom"/>
          </w:tcPr>
          <w:p w14:paraId="76A37EF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794BDC9E" w14:textId="77777777" w:rsidR="004449D0" w:rsidRDefault="004449D0" w:rsidP="008759DA">
            <w:pPr>
              <w:spacing w:before="0" w:after="0" w:line="240" w:lineRule="auto"/>
            </w:pPr>
            <w:r w:rsidRPr="00BB1696">
              <w:t>Campbelltown  (SA)</w:t>
            </w:r>
          </w:p>
        </w:tc>
      </w:tr>
      <w:tr w:rsidR="004449D0" w14:paraId="37E41486" w14:textId="77777777" w:rsidTr="008759DA">
        <w:trPr>
          <w:cantSplit/>
        </w:trPr>
        <w:tc>
          <w:tcPr>
            <w:tcW w:w="967" w:type="pct"/>
            <w:vAlign w:val="bottom"/>
          </w:tcPr>
          <w:p w14:paraId="494ECFA5"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6F80B672" w14:textId="77777777" w:rsidR="004449D0" w:rsidRDefault="004449D0" w:rsidP="008759DA">
            <w:pPr>
              <w:spacing w:before="0" w:after="0" w:line="240" w:lineRule="auto"/>
            </w:pPr>
            <w:r w:rsidRPr="00BB1696">
              <w:t xml:space="preserve">Clare and Gilbert Valleys </w:t>
            </w:r>
          </w:p>
        </w:tc>
      </w:tr>
      <w:tr w:rsidR="004449D0" w14:paraId="5079A98A" w14:textId="77777777" w:rsidTr="008759DA">
        <w:trPr>
          <w:cantSplit/>
        </w:trPr>
        <w:tc>
          <w:tcPr>
            <w:tcW w:w="967" w:type="pct"/>
            <w:vAlign w:val="bottom"/>
          </w:tcPr>
          <w:p w14:paraId="43F41BB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06D9114F" w14:textId="77777777" w:rsidR="004449D0" w:rsidRDefault="004449D0" w:rsidP="008759DA">
            <w:pPr>
              <w:spacing w:before="0" w:after="0" w:line="240" w:lineRule="auto"/>
            </w:pPr>
            <w:r w:rsidRPr="00BB1696">
              <w:t xml:space="preserve">Kangaroo Island </w:t>
            </w:r>
          </w:p>
        </w:tc>
      </w:tr>
      <w:tr w:rsidR="004449D0" w14:paraId="3D7EF293" w14:textId="77777777" w:rsidTr="008759DA">
        <w:trPr>
          <w:cantSplit/>
        </w:trPr>
        <w:tc>
          <w:tcPr>
            <w:tcW w:w="967" w:type="pct"/>
            <w:vAlign w:val="bottom"/>
          </w:tcPr>
          <w:p w14:paraId="6669E28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0725501C" w14:textId="77777777" w:rsidR="004449D0" w:rsidRDefault="004449D0" w:rsidP="008759DA">
            <w:pPr>
              <w:spacing w:before="0" w:after="0" w:line="240" w:lineRule="auto"/>
            </w:pPr>
            <w:r w:rsidRPr="00BB1696">
              <w:t xml:space="preserve">Lower Eyre Peninsula </w:t>
            </w:r>
          </w:p>
        </w:tc>
      </w:tr>
      <w:tr w:rsidR="004449D0" w14:paraId="722ADF87" w14:textId="77777777" w:rsidTr="008759DA">
        <w:trPr>
          <w:cantSplit/>
        </w:trPr>
        <w:tc>
          <w:tcPr>
            <w:tcW w:w="967" w:type="pct"/>
            <w:vAlign w:val="bottom"/>
          </w:tcPr>
          <w:p w14:paraId="4A2CD847"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357204B2" w14:textId="77777777" w:rsidR="004449D0" w:rsidRDefault="004449D0" w:rsidP="008759DA">
            <w:pPr>
              <w:spacing w:before="0" w:after="0" w:line="240" w:lineRule="auto"/>
            </w:pPr>
            <w:r w:rsidRPr="00BB1696">
              <w:t xml:space="preserve">Mitcham </w:t>
            </w:r>
          </w:p>
        </w:tc>
      </w:tr>
      <w:tr w:rsidR="004449D0" w14:paraId="05C0DEF2" w14:textId="77777777" w:rsidTr="008759DA">
        <w:trPr>
          <w:cantSplit/>
        </w:trPr>
        <w:tc>
          <w:tcPr>
            <w:tcW w:w="967" w:type="pct"/>
            <w:vAlign w:val="bottom"/>
          </w:tcPr>
          <w:p w14:paraId="71CE2717"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0CBE90AC" w14:textId="77777777" w:rsidR="004449D0" w:rsidRDefault="004449D0" w:rsidP="008759DA">
            <w:pPr>
              <w:spacing w:before="0" w:after="0" w:line="240" w:lineRule="auto"/>
            </w:pPr>
            <w:r w:rsidRPr="00BB1696">
              <w:t xml:space="preserve">Mount Barker </w:t>
            </w:r>
          </w:p>
        </w:tc>
      </w:tr>
      <w:tr w:rsidR="004449D0" w14:paraId="29F3162E" w14:textId="77777777" w:rsidTr="008759DA">
        <w:trPr>
          <w:cantSplit/>
        </w:trPr>
        <w:tc>
          <w:tcPr>
            <w:tcW w:w="967" w:type="pct"/>
            <w:vAlign w:val="bottom"/>
          </w:tcPr>
          <w:p w14:paraId="53358FD4"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48DB8E68" w14:textId="77777777" w:rsidR="004449D0" w:rsidRDefault="004449D0" w:rsidP="008759DA">
            <w:pPr>
              <w:spacing w:before="0" w:after="0" w:line="240" w:lineRule="auto"/>
            </w:pPr>
            <w:r w:rsidRPr="00BB1696">
              <w:t xml:space="preserve">Onkaparinga </w:t>
            </w:r>
          </w:p>
        </w:tc>
      </w:tr>
      <w:tr w:rsidR="004449D0" w14:paraId="733ECCAA" w14:textId="77777777" w:rsidTr="008759DA">
        <w:trPr>
          <w:cantSplit/>
        </w:trPr>
        <w:tc>
          <w:tcPr>
            <w:tcW w:w="967" w:type="pct"/>
            <w:vAlign w:val="bottom"/>
          </w:tcPr>
          <w:p w14:paraId="6DA6B9DA"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3034C38D" w14:textId="77777777" w:rsidR="004449D0" w:rsidRDefault="004449D0" w:rsidP="008759DA">
            <w:pPr>
              <w:spacing w:before="0" w:after="0" w:line="240" w:lineRule="auto"/>
            </w:pPr>
            <w:proofErr w:type="spellStart"/>
            <w:r w:rsidRPr="00BB1696">
              <w:t>Playford</w:t>
            </w:r>
            <w:proofErr w:type="spellEnd"/>
            <w:r w:rsidRPr="00BB1696">
              <w:t xml:space="preserve"> </w:t>
            </w:r>
          </w:p>
        </w:tc>
      </w:tr>
      <w:tr w:rsidR="004449D0" w14:paraId="2043070F" w14:textId="77777777" w:rsidTr="008759DA">
        <w:trPr>
          <w:cantSplit/>
        </w:trPr>
        <w:tc>
          <w:tcPr>
            <w:tcW w:w="967" w:type="pct"/>
            <w:vAlign w:val="bottom"/>
          </w:tcPr>
          <w:p w14:paraId="4B3E8ACC"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395F8376" w14:textId="77777777" w:rsidR="004449D0" w:rsidRDefault="004449D0" w:rsidP="008759DA">
            <w:pPr>
              <w:spacing w:before="0" w:after="0" w:line="240" w:lineRule="auto"/>
            </w:pPr>
            <w:r w:rsidRPr="00BB1696">
              <w:t xml:space="preserve">Port Lincoln </w:t>
            </w:r>
          </w:p>
        </w:tc>
      </w:tr>
      <w:tr w:rsidR="004449D0" w14:paraId="495E2F6D" w14:textId="77777777" w:rsidTr="008759DA">
        <w:trPr>
          <w:cantSplit/>
        </w:trPr>
        <w:tc>
          <w:tcPr>
            <w:tcW w:w="967" w:type="pct"/>
            <w:vAlign w:val="bottom"/>
          </w:tcPr>
          <w:p w14:paraId="46727EF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SA</w:t>
            </w:r>
          </w:p>
        </w:tc>
        <w:tc>
          <w:tcPr>
            <w:tcW w:w="4033" w:type="pct"/>
            <w:vAlign w:val="bottom"/>
          </w:tcPr>
          <w:p w14:paraId="317DFCF6" w14:textId="77777777" w:rsidR="004449D0" w:rsidRDefault="004449D0" w:rsidP="008759DA">
            <w:pPr>
              <w:spacing w:before="0" w:after="0" w:line="240" w:lineRule="auto"/>
            </w:pPr>
            <w:r w:rsidRPr="00BB1696">
              <w:t xml:space="preserve">Tea Tree Gully </w:t>
            </w:r>
          </w:p>
        </w:tc>
      </w:tr>
      <w:tr w:rsidR="004449D0" w14:paraId="63823E1A" w14:textId="77777777" w:rsidTr="008759DA">
        <w:trPr>
          <w:cantSplit/>
        </w:trPr>
        <w:tc>
          <w:tcPr>
            <w:tcW w:w="967" w:type="pct"/>
            <w:vAlign w:val="bottom"/>
          </w:tcPr>
          <w:p w14:paraId="3D4E3C1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7D633F59" w14:textId="77777777" w:rsidR="004449D0" w:rsidRDefault="004449D0" w:rsidP="008759DA">
            <w:pPr>
              <w:spacing w:before="0" w:after="0" w:line="240" w:lineRule="auto"/>
            </w:pPr>
            <w:r w:rsidRPr="00BB1696">
              <w:t xml:space="preserve">Break </w:t>
            </w:r>
            <w:proofErr w:type="spellStart"/>
            <w:r w:rsidRPr="00BB1696">
              <w:t>O'Day</w:t>
            </w:r>
            <w:proofErr w:type="spellEnd"/>
            <w:r w:rsidRPr="00BB1696">
              <w:t xml:space="preserve"> </w:t>
            </w:r>
          </w:p>
        </w:tc>
      </w:tr>
      <w:tr w:rsidR="004449D0" w14:paraId="25C57FA6" w14:textId="77777777" w:rsidTr="008759DA">
        <w:trPr>
          <w:cantSplit/>
        </w:trPr>
        <w:tc>
          <w:tcPr>
            <w:tcW w:w="967" w:type="pct"/>
            <w:vAlign w:val="bottom"/>
          </w:tcPr>
          <w:p w14:paraId="1695668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7C8C19C4" w14:textId="77777777" w:rsidR="004449D0" w:rsidRDefault="004449D0" w:rsidP="008759DA">
            <w:pPr>
              <w:spacing w:before="0" w:after="0" w:line="240" w:lineRule="auto"/>
            </w:pPr>
            <w:r w:rsidRPr="00BB1696">
              <w:t xml:space="preserve">Brighton </w:t>
            </w:r>
          </w:p>
        </w:tc>
      </w:tr>
      <w:tr w:rsidR="004449D0" w14:paraId="04AF29F1" w14:textId="77777777" w:rsidTr="008759DA">
        <w:trPr>
          <w:cantSplit/>
        </w:trPr>
        <w:tc>
          <w:tcPr>
            <w:tcW w:w="967" w:type="pct"/>
            <w:vAlign w:val="bottom"/>
          </w:tcPr>
          <w:p w14:paraId="24BEB822"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43AAA600" w14:textId="77777777" w:rsidR="004449D0" w:rsidRDefault="004449D0" w:rsidP="008759DA">
            <w:pPr>
              <w:spacing w:before="0" w:after="0" w:line="240" w:lineRule="auto"/>
            </w:pPr>
            <w:r w:rsidRPr="00BB1696">
              <w:t xml:space="preserve">Clarence </w:t>
            </w:r>
          </w:p>
        </w:tc>
      </w:tr>
      <w:tr w:rsidR="004449D0" w14:paraId="0B46C07B" w14:textId="77777777" w:rsidTr="008759DA">
        <w:trPr>
          <w:cantSplit/>
        </w:trPr>
        <w:tc>
          <w:tcPr>
            <w:tcW w:w="967" w:type="pct"/>
            <w:vAlign w:val="bottom"/>
          </w:tcPr>
          <w:p w14:paraId="4EE8B128"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4FE1249F" w14:textId="77777777" w:rsidR="004449D0" w:rsidRPr="00D71C96" w:rsidRDefault="004449D0" w:rsidP="008759DA">
            <w:pPr>
              <w:spacing w:before="0" w:after="0" w:line="240" w:lineRule="auto"/>
            </w:pPr>
            <w:r w:rsidRPr="00BB1696">
              <w:t xml:space="preserve">Derwent Valley </w:t>
            </w:r>
          </w:p>
        </w:tc>
      </w:tr>
      <w:tr w:rsidR="004449D0" w14:paraId="6E44A090" w14:textId="77777777" w:rsidTr="008759DA">
        <w:trPr>
          <w:cantSplit/>
        </w:trPr>
        <w:tc>
          <w:tcPr>
            <w:tcW w:w="967" w:type="pct"/>
            <w:vAlign w:val="bottom"/>
          </w:tcPr>
          <w:p w14:paraId="3452E48F"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6B170C6D" w14:textId="77777777" w:rsidR="004449D0" w:rsidRDefault="004449D0" w:rsidP="008759DA">
            <w:pPr>
              <w:spacing w:before="0" w:after="0" w:line="240" w:lineRule="auto"/>
            </w:pPr>
            <w:r w:rsidRPr="00BB1696">
              <w:t xml:space="preserve">Glenorchy </w:t>
            </w:r>
          </w:p>
        </w:tc>
      </w:tr>
      <w:tr w:rsidR="004449D0" w14:paraId="481D17BB" w14:textId="77777777" w:rsidTr="008759DA">
        <w:trPr>
          <w:cantSplit/>
        </w:trPr>
        <w:tc>
          <w:tcPr>
            <w:tcW w:w="967" w:type="pct"/>
            <w:vAlign w:val="bottom"/>
          </w:tcPr>
          <w:p w14:paraId="59D0B4F7"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36BB3CED" w14:textId="77777777" w:rsidR="004449D0" w:rsidRDefault="004449D0" w:rsidP="008759DA">
            <w:pPr>
              <w:spacing w:before="0" w:after="0" w:line="240" w:lineRule="auto"/>
            </w:pPr>
            <w:r w:rsidRPr="00BB1696">
              <w:t xml:space="preserve">Hobart </w:t>
            </w:r>
          </w:p>
        </w:tc>
      </w:tr>
      <w:tr w:rsidR="004449D0" w14:paraId="36E26C04" w14:textId="77777777" w:rsidTr="008759DA">
        <w:trPr>
          <w:cantSplit/>
        </w:trPr>
        <w:tc>
          <w:tcPr>
            <w:tcW w:w="967" w:type="pct"/>
            <w:vAlign w:val="bottom"/>
          </w:tcPr>
          <w:p w14:paraId="1F242D4A"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49EA26E1" w14:textId="77777777" w:rsidR="004449D0" w:rsidRDefault="004449D0" w:rsidP="008759DA">
            <w:pPr>
              <w:spacing w:before="0" w:after="0" w:line="240" w:lineRule="auto"/>
            </w:pPr>
            <w:r w:rsidRPr="00BB1696">
              <w:t xml:space="preserve">Huon Valley </w:t>
            </w:r>
          </w:p>
        </w:tc>
      </w:tr>
      <w:tr w:rsidR="004449D0" w14:paraId="1DBCBB27" w14:textId="77777777" w:rsidTr="008759DA">
        <w:trPr>
          <w:cantSplit/>
        </w:trPr>
        <w:tc>
          <w:tcPr>
            <w:tcW w:w="967" w:type="pct"/>
            <w:vAlign w:val="bottom"/>
          </w:tcPr>
          <w:p w14:paraId="2756ACF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TAS</w:t>
            </w:r>
          </w:p>
        </w:tc>
        <w:tc>
          <w:tcPr>
            <w:tcW w:w="4033" w:type="pct"/>
            <w:vAlign w:val="bottom"/>
          </w:tcPr>
          <w:p w14:paraId="433685ED" w14:textId="77777777" w:rsidR="004449D0" w:rsidRDefault="004449D0" w:rsidP="008759DA">
            <w:pPr>
              <w:spacing w:before="0" w:after="0" w:line="240" w:lineRule="auto"/>
            </w:pPr>
            <w:proofErr w:type="spellStart"/>
            <w:r w:rsidRPr="00BB1696">
              <w:t>Kingborough</w:t>
            </w:r>
            <w:proofErr w:type="spellEnd"/>
            <w:r w:rsidRPr="00BB1696">
              <w:t xml:space="preserve"> </w:t>
            </w:r>
          </w:p>
        </w:tc>
      </w:tr>
      <w:tr w:rsidR="004449D0" w14:paraId="5CEF3756" w14:textId="77777777" w:rsidTr="00F13D0D">
        <w:trPr>
          <w:cantSplit/>
        </w:trPr>
        <w:tc>
          <w:tcPr>
            <w:tcW w:w="967" w:type="pct"/>
            <w:vAlign w:val="bottom"/>
          </w:tcPr>
          <w:p w14:paraId="6C6489C7"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6806837D" w14:textId="77777777" w:rsidR="004449D0" w:rsidRDefault="004449D0" w:rsidP="008759DA">
            <w:pPr>
              <w:spacing w:before="0" w:after="0" w:line="240" w:lineRule="auto"/>
            </w:pPr>
            <w:r w:rsidRPr="00BB1696">
              <w:t xml:space="preserve">Alpine </w:t>
            </w:r>
          </w:p>
        </w:tc>
      </w:tr>
      <w:tr w:rsidR="004449D0" w14:paraId="624976DC" w14:textId="77777777" w:rsidTr="008759DA">
        <w:trPr>
          <w:cantSplit/>
        </w:trPr>
        <w:tc>
          <w:tcPr>
            <w:tcW w:w="967" w:type="pct"/>
            <w:vAlign w:val="bottom"/>
          </w:tcPr>
          <w:p w14:paraId="602AD1C8"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65BEC2F1" w14:textId="77777777" w:rsidR="004449D0" w:rsidRDefault="004449D0" w:rsidP="008759DA">
            <w:pPr>
              <w:spacing w:before="0" w:after="0" w:line="240" w:lineRule="auto"/>
            </w:pPr>
            <w:r w:rsidRPr="00BB1696">
              <w:t xml:space="preserve">Ballarat </w:t>
            </w:r>
          </w:p>
        </w:tc>
      </w:tr>
      <w:tr w:rsidR="004449D0" w14:paraId="3861715B" w14:textId="77777777" w:rsidTr="008759DA">
        <w:trPr>
          <w:cantSplit/>
        </w:trPr>
        <w:tc>
          <w:tcPr>
            <w:tcW w:w="967" w:type="pct"/>
            <w:vAlign w:val="bottom"/>
          </w:tcPr>
          <w:p w14:paraId="3761B18F"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39E59A69" w14:textId="77777777" w:rsidR="004449D0" w:rsidRPr="00D71C96" w:rsidRDefault="004449D0" w:rsidP="008759DA">
            <w:pPr>
              <w:spacing w:before="0" w:after="0" w:line="240" w:lineRule="auto"/>
            </w:pPr>
            <w:r w:rsidRPr="00BB1696">
              <w:t xml:space="preserve">Bass Coast </w:t>
            </w:r>
          </w:p>
        </w:tc>
      </w:tr>
      <w:tr w:rsidR="004449D0" w14:paraId="22FF264A" w14:textId="77777777" w:rsidTr="00F13D0D">
        <w:trPr>
          <w:cantSplit/>
        </w:trPr>
        <w:tc>
          <w:tcPr>
            <w:tcW w:w="967" w:type="pct"/>
            <w:vAlign w:val="bottom"/>
          </w:tcPr>
          <w:p w14:paraId="0D468747"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65C072C0" w14:textId="77777777" w:rsidR="004449D0" w:rsidRDefault="004449D0" w:rsidP="008759DA">
            <w:pPr>
              <w:spacing w:before="0" w:after="0" w:line="240" w:lineRule="auto"/>
            </w:pPr>
            <w:r w:rsidRPr="00BB1696">
              <w:t xml:space="preserve">Baw </w:t>
            </w:r>
            <w:proofErr w:type="spellStart"/>
            <w:r w:rsidRPr="00BB1696">
              <w:t>Baw</w:t>
            </w:r>
            <w:proofErr w:type="spellEnd"/>
            <w:r w:rsidRPr="00BB1696">
              <w:t xml:space="preserve"> </w:t>
            </w:r>
          </w:p>
        </w:tc>
      </w:tr>
      <w:tr w:rsidR="004449D0" w14:paraId="2F476136" w14:textId="77777777" w:rsidTr="00F13D0D">
        <w:trPr>
          <w:cantSplit/>
        </w:trPr>
        <w:tc>
          <w:tcPr>
            <w:tcW w:w="967" w:type="pct"/>
            <w:vAlign w:val="bottom"/>
          </w:tcPr>
          <w:p w14:paraId="316CA5FF"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028FB8F" w14:textId="77777777" w:rsidR="004449D0" w:rsidRDefault="004449D0" w:rsidP="008759DA">
            <w:pPr>
              <w:spacing w:before="0" w:after="0" w:line="240" w:lineRule="auto"/>
            </w:pPr>
            <w:r w:rsidRPr="00BB1696">
              <w:t xml:space="preserve">Cardinia </w:t>
            </w:r>
          </w:p>
        </w:tc>
      </w:tr>
      <w:tr w:rsidR="004449D0" w14:paraId="42042326" w14:textId="77777777" w:rsidTr="008759DA">
        <w:trPr>
          <w:cantSplit/>
        </w:trPr>
        <w:tc>
          <w:tcPr>
            <w:tcW w:w="967" w:type="pct"/>
            <w:vAlign w:val="bottom"/>
          </w:tcPr>
          <w:p w14:paraId="60691A4D"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3B22D2F7" w14:textId="77777777" w:rsidR="004449D0" w:rsidRDefault="004449D0" w:rsidP="008759DA">
            <w:pPr>
              <w:spacing w:before="0" w:after="0" w:line="240" w:lineRule="auto"/>
            </w:pPr>
            <w:r w:rsidRPr="00BB1696">
              <w:t xml:space="preserve">Colac-Otway </w:t>
            </w:r>
          </w:p>
        </w:tc>
      </w:tr>
      <w:tr w:rsidR="004449D0" w14:paraId="11EB957E" w14:textId="77777777" w:rsidTr="00F13D0D">
        <w:trPr>
          <w:cantSplit/>
        </w:trPr>
        <w:tc>
          <w:tcPr>
            <w:tcW w:w="967" w:type="pct"/>
            <w:vAlign w:val="bottom"/>
          </w:tcPr>
          <w:p w14:paraId="33C54558"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20200F5" w14:textId="77777777" w:rsidR="004449D0" w:rsidRPr="00D71C96" w:rsidRDefault="004449D0" w:rsidP="008759DA">
            <w:pPr>
              <w:spacing w:before="0" w:after="0" w:line="240" w:lineRule="auto"/>
            </w:pPr>
            <w:r w:rsidRPr="00BB1696">
              <w:t xml:space="preserve">East Gippsland </w:t>
            </w:r>
          </w:p>
        </w:tc>
      </w:tr>
      <w:tr w:rsidR="004449D0" w14:paraId="07733C65" w14:textId="77777777" w:rsidTr="008759DA">
        <w:trPr>
          <w:cantSplit/>
        </w:trPr>
        <w:tc>
          <w:tcPr>
            <w:tcW w:w="967" w:type="pct"/>
            <w:vAlign w:val="bottom"/>
          </w:tcPr>
          <w:p w14:paraId="15D2B820"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4FEE63B0" w14:textId="77777777" w:rsidR="004449D0" w:rsidRDefault="004449D0" w:rsidP="008759DA">
            <w:pPr>
              <w:spacing w:before="0" w:after="0" w:line="240" w:lineRule="auto"/>
            </w:pPr>
            <w:r w:rsidRPr="00BB1696">
              <w:t xml:space="preserve">Glenelg </w:t>
            </w:r>
          </w:p>
        </w:tc>
      </w:tr>
      <w:tr w:rsidR="004449D0" w14:paraId="00C236EB" w14:textId="77777777" w:rsidTr="008759DA">
        <w:trPr>
          <w:cantSplit/>
        </w:trPr>
        <w:tc>
          <w:tcPr>
            <w:tcW w:w="967" w:type="pct"/>
            <w:vAlign w:val="bottom"/>
          </w:tcPr>
          <w:p w14:paraId="6AE09FE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4663E12C" w14:textId="77777777" w:rsidR="004449D0" w:rsidRDefault="004449D0" w:rsidP="008759DA">
            <w:pPr>
              <w:spacing w:before="0" w:after="0" w:line="240" w:lineRule="auto"/>
            </w:pPr>
            <w:r w:rsidRPr="00BB1696">
              <w:t xml:space="preserve">Golden Plains </w:t>
            </w:r>
          </w:p>
        </w:tc>
      </w:tr>
      <w:tr w:rsidR="004449D0" w14:paraId="6EA7DF15" w14:textId="77777777" w:rsidTr="00F13D0D">
        <w:trPr>
          <w:cantSplit/>
        </w:trPr>
        <w:tc>
          <w:tcPr>
            <w:tcW w:w="967" w:type="pct"/>
            <w:vAlign w:val="bottom"/>
          </w:tcPr>
          <w:p w14:paraId="35C1985C"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5EFEC3BC" w14:textId="77777777" w:rsidR="004449D0" w:rsidRPr="007E49C6" w:rsidRDefault="004449D0" w:rsidP="008759DA">
            <w:pPr>
              <w:spacing w:before="0" w:after="0" w:line="240" w:lineRule="auto"/>
            </w:pPr>
            <w:r w:rsidRPr="00BB1696">
              <w:t xml:space="preserve">Greater Bendigo </w:t>
            </w:r>
          </w:p>
        </w:tc>
      </w:tr>
      <w:tr w:rsidR="004449D0" w14:paraId="61D10A8E" w14:textId="77777777" w:rsidTr="008759DA">
        <w:trPr>
          <w:cantSplit/>
        </w:trPr>
        <w:tc>
          <w:tcPr>
            <w:tcW w:w="967" w:type="pct"/>
            <w:vAlign w:val="bottom"/>
          </w:tcPr>
          <w:p w14:paraId="39261606"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0527C584" w14:textId="77777777" w:rsidR="004449D0" w:rsidRPr="007E49C6" w:rsidRDefault="004449D0" w:rsidP="008759DA">
            <w:pPr>
              <w:spacing w:before="0" w:after="0" w:line="240" w:lineRule="auto"/>
            </w:pPr>
            <w:r w:rsidRPr="00BB1696">
              <w:t xml:space="preserve">Greater Geelong </w:t>
            </w:r>
          </w:p>
        </w:tc>
      </w:tr>
      <w:tr w:rsidR="004449D0" w14:paraId="252E94AE" w14:textId="77777777" w:rsidTr="00F13D0D">
        <w:trPr>
          <w:cantSplit/>
        </w:trPr>
        <w:tc>
          <w:tcPr>
            <w:tcW w:w="967" w:type="pct"/>
            <w:vAlign w:val="bottom"/>
          </w:tcPr>
          <w:p w14:paraId="2B8ECCDE"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20562DFA" w14:textId="77777777" w:rsidR="004449D0" w:rsidRPr="007E49C6" w:rsidRDefault="004449D0" w:rsidP="008759DA">
            <w:pPr>
              <w:spacing w:before="0" w:after="0" w:line="240" w:lineRule="auto"/>
            </w:pPr>
            <w:r w:rsidRPr="00BB1696">
              <w:t xml:space="preserve">Hepburn </w:t>
            </w:r>
          </w:p>
        </w:tc>
      </w:tr>
      <w:tr w:rsidR="004449D0" w14:paraId="2B75DB21" w14:textId="77777777" w:rsidTr="00F13D0D">
        <w:trPr>
          <w:cantSplit/>
        </w:trPr>
        <w:tc>
          <w:tcPr>
            <w:tcW w:w="967" w:type="pct"/>
            <w:vAlign w:val="bottom"/>
          </w:tcPr>
          <w:p w14:paraId="070AAE48"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FCCB62E" w14:textId="77777777" w:rsidR="004449D0" w:rsidRPr="007E49C6" w:rsidRDefault="004449D0" w:rsidP="008759DA">
            <w:pPr>
              <w:spacing w:before="0" w:after="0" w:line="240" w:lineRule="auto"/>
            </w:pPr>
            <w:r w:rsidRPr="00BB1696">
              <w:t xml:space="preserve">Indigo </w:t>
            </w:r>
          </w:p>
        </w:tc>
      </w:tr>
      <w:tr w:rsidR="004449D0" w14:paraId="6955BE80" w14:textId="77777777" w:rsidTr="008759DA">
        <w:trPr>
          <w:cantSplit/>
        </w:trPr>
        <w:tc>
          <w:tcPr>
            <w:tcW w:w="967" w:type="pct"/>
            <w:vAlign w:val="bottom"/>
          </w:tcPr>
          <w:p w14:paraId="6364415A"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182BF4A9" w14:textId="77777777" w:rsidR="004449D0" w:rsidRPr="007E49C6" w:rsidRDefault="004449D0" w:rsidP="008759DA">
            <w:pPr>
              <w:spacing w:before="0" w:after="0" w:line="240" w:lineRule="auto"/>
            </w:pPr>
            <w:r w:rsidRPr="00BB1696">
              <w:t>Latrobe  (Vic.)</w:t>
            </w:r>
          </w:p>
        </w:tc>
      </w:tr>
      <w:tr w:rsidR="004449D0" w14:paraId="7C3EDF14" w14:textId="77777777" w:rsidTr="00F13D0D">
        <w:trPr>
          <w:cantSplit/>
        </w:trPr>
        <w:tc>
          <w:tcPr>
            <w:tcW w:w="967" w:type="pct"/>
            <w:vAlign w:val="bottom"/>
          </w:tcPr>
          <w:p w14:paraId="197A1CCE"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7CAFB850" w14:textId="77777777" w:rsidR="004449D0" w:rsidRPr="007E49C6" w:rsidRDefault="004449D0" w:rsidP="008759DA">
            <w:pPr>
              <w:spacing w:before="0" w:after="0" w:line="240" w:lineRule="auto"/>
            </w:pPr>
            <w:r w:rsidRPr="00BB1696">
              <w:t xml:space="preserve">Macedon Ranges </w:t>
            </w:r>
          </w:p>
        </w:tc>
      </w:tr>
      <w:tr w:rsidR="004449D0" w14:paraId="5DAD4424" w14:textId="77777777" w:rsidTr="008759DA">
        <w:trPr>
          <w:cantSplit/>
        </w:trPr>
        <w:tc>
          <w:tcPr>
            <w:tcW w:w="967" w:type="pct"/>
            <w:vAlign w:val="bottom"/>
          </w:tcPr>
          <w:p w14:paraId="1300F296"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266722C2" w14:textId="77777777" w:rsidR="004449D0" w:rsidRPr="007E49C6" w:rsidRDefault="004449D0" w:rsidP="008759DA">
            <w:pPr>
              <w:spacing w:before="0" w:after="0" w:line="240" w:lineRule="auto"/>
            </w:pPr>
            <w:r w:rsidRPr="00BB1696">
              <w:t xml:space="preserve">Manningham </w:t>
            </w:r>
          </w:p>
        </w:tc>
      </w:tr>
      <w:tr w:rsidR="004449D0" w14:paraId="6A9CCD4D" w14:textId="77777777" w:rsidTr="00F13D0D">
        <w:trPr>
          <w:cantSplit/>
        </w:trPr>
        <w:tc>
          <w:tcPr>
            <w:tcW w:w="967" w:type="pct"/>
            <w:vAlign w:val="bottom"/>
          </w:tcPr>
          <w:p w14:paraId="5B1C06D9"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5D3F90A4" w14:textId="77777777" w:rsidR="004449D0" w:rsidRPr="007E49C6" w:rsidRDefault="004449D0" w:rsidP="008759DA">
            <w:pPr>
              <w:spacing w:before="0" w:after="0" w:line="240" w:lineRule="auto"/>
            </w:pPr>
            <w:r w:rsidRPr="00BB1696">
              <w:t xml:space="preserve">Mansfield </w:t>
            </w:r>
          </w:p>
        </w:tc>
      </w:tr>
      <w:tr w:rsidR="004449D0" w14:paraId="3D9BF1AD" w14:textId="77777777" w:rsidTr="00F13D0D">
        <w:trPr>
          <w:cantSplit/>
        </w:trPr>
        <w:tc>
          <w:tcPr>
            <w:tcW w:w="967" w:type="pct"/>
            <w:vAlign w:val="bottom"/>
          </w:tcPr>
          <w:p w14:paraId="1C7CE821"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7EE1F5B4" w14:textId="77777777" w:rsidR="004449D0" w:rsidRPr="007E49C6" w:rsidRDefault="004449D0" w:rsidP="008759DA">
            <w:pPr>
              <w:spacing w:before="0" w:after="0" w:line="240" w:lineRule="auto"/>
            </w:pPr>
            <w:r w:rsidRPr="00BB1696">
              <w:t xml:space="preserve">Mitchell </w:t>
            </w:r>
          </w:p>
        </w:tc>
      </w:tr>
      <w:tr w:rsidR="004449D0" w14:paraId="08CE9872" w14:textId="77777777" w:rsidTr="008759DA">
        <w:trPr>
          <w:cantSplit/>
        </w:trPr>
        <w:tc>
          <w:tcPr>
            <w:tcW w:w="967" w:type="pct"/>
            <w:vAlign w:val="bottom"/>
          </w:tcPr>
          <w:p w14:paraId="22935A48"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09FB4D3B" w14:textId="77777777" w:rsidR="004449D0" w:rsidRPr="007E49C6" w:rsidRDefault="004449D0" w:rsidP="008759DA">
            <w:pPr>
              <w:spacing w:before="0" w:after="0" w:line="240" w:lineRule="auto"/>
            </w:pPr>
            <w:r w:rsidRPr="00BB1696">
              <w:t xml:space="preserve">Moorabool </w:t>
            </w:r>
          </w:p>
        </w:tc>
      </w:tr>
      <w:tr w:rsidR="004449D0" w14:paraId="05FCAECA" w14:textId="77777777" w:rsidTr="00F13D0D">
        <w:trPr>
          <w:cantSplit/>
        </w:trPr>
        <w:tc>
          <w:tcPr>
            <w:tcW w:w="967" w:type="pct"/>
            <w:vAlign w:val="bottom"/>
          </w:tcPr>
          <w:p w14:paraId="78BAEFE1"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69179DC" w14:textId="77777777" w:rsidR="004449D0" w:rsidRPr="007E49C6" w:rsidRDefault="004449D0" w:rsidP="008759DA">
            <w:pPr>
              <w:spacing w:before="0" w:after="0" w:line="240" w:lineRule="auto"/>
            </w:pPr>
            <w:r w:rsidRPr="00BB1696">
              <w:t xml:space="preserve">Mornington Peninsula </w:t>
            </w:r>
          </w:p>
        </w:tc>
      </w:tr>
      <w:tr w:rsidR="004449D0" w14:paraId="46BA3486" w14:textId="77777777" w:rsidTr="00F13D0D">
        <w:trPr>
          <w:cantSplit/>
        </w:trPr>
        <w:tc>
          <w:tcPr>
            <w:tcW w:w="967" w:type="pct"/>
            <w:vAlign w:val="bottom"/>
          </w:tcPr>
          <w:p w14:paraId="49CA21E5"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6A8335F7" w14:textId="77777777" w:rsidR="004449D0" w:rsidRPr="007E49C6" w:rsidRDefault="004449D0" w:rsidP="008759DA">
            <w:pPr>
              <w:spacing w:before="0" w:after="0" w:line="240" w:lineRule="auto"/>
            </w:pPr>
            <w:r w:rsidRPr="00BB1696">
              <w:t xml:space="preserve">Mount Alexander </w:t>
            </w:r>
          </w:p>
        </w:tc>
      </w:tr>
      <w:tr w:rsidR="004449D0" w14:paraId="705FB002" w14:textId="77777777" w:rsidTr="008759DA">
        <w:trPr>
          <w:cantSplit/>
        </w:trPr>
        <w:tc>
          <w:tcPr>
            <w:tcW w:w="967" w:type="pct"/>
            <w:vAlign w:val="bottom"/>
          </w:tcPr>
          <w:p w14:paraId="707DD2D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260D8979" w14:textId="77777777" w:rsidR="004449D0" w:rsidRPr="007E49C6" w:rsidRDefault="004449D0" w:rsidP="008759DA">
            <w:pPr>
              <w:spacing w:before="0" w:after="0" w:line="240" w:lineRule="auto"/>
            </w:pPr>
            <w:r w:rsidRPr="00BB1696">
              <w:t xml:space="preserve">Moyne </w:t>
            </w:r>
          </w:p>
        </w:tc>
      </w:tr>
      <w:tr w:rsidR="004449D0" w14:paraId="6C0EF1E7" w14:textId="77777777" w:rsidTr="00F13D0D">
        <w:trPr>
          <w:cantSplit/>
        </w:trPr>
        <w:tc>
          <w:tcPr>
            <w:tcW w:w="967" w:type="pct"/>
            <w:vAlign w:val="bottom"/>
          </w:tcPr>
          <w:p w14:paraId="21F040C1"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18F0E1B1" w14:textId="77777777" w:rsidR="004449D0" w:rsidRPr="007E49C6" w:rsidRDefault="004449D0" w:rsidP="008759DA">
            <w:pPr>
              <w:spacing w:before="0" w:after="0" w:line="240" w:lineRule="auto"/>
            </w:pPr>
            <w:r w:rsidRPr="00BB1696">
              <w:t xml:space="preserve">Murrindindi </w:t>
            </w:r>
          </w:p>
        </w:tc>
      </w:tr>
      <w:tr w:rsidR="004449D0" w14:paraId="06EB082E" w14:textId="77777777" w:rsidTr="00F13D0D">
        <w:trPr>
          <w:cantSplit/>
        </w:trPr>
        <w:tc>
          <w:tcPr>
            <w:tcW w:w="967" w:type="pct"/>
            <w:vAlign w:val="bottom"/>
          </w:tcPr>
          <w:p w14:paraId="14632A60"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B5D574D" w14:textId="77777777" w:rsidR="004449D0" w:rsidRPr="007E49C6" w:rsidRDefault="004449D0" w:rsidP="008759DA">
            <w:pPr>
              <w:spacing w:before="0" w:after="0" w:line="240" w:lineRule="auto"/>
            </w:pPr>
            <w:r w:rsidRPr="00BB1696">
              <w:t xml:space="preserve">Nillumbik </w:t>
            </w:r>
          </w:p>
        </w:tc>
      </w:tr>
      <w:tr w:rsidR="004449D0" w14:paraId="7189DF02" w14:textId="77777777" w:rsidTr="00F13D0D">
        <w:trPr>
          <w:cantSplit/>
        </w:trPr>
        <w:tc>
          <w:tcPr>
            <w:tcW w:w="967" w:type="pct"/>
            <w:vAlign w:val="bottom"/>
          </w:tcPr>
          <w:p w14:paraId="01A59313"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4807E285" w14:textId="77777777" w:rsidR="004449D0" w:rsidRPr="007E49C6" w:rsidRDefault="004449D0" w:rsidP="008759DA">
            <w:pPr>
              <w:spacing w:before="0" w:after="0" w:line="240" w:lineRule="auto"/>
            </w:pPr>
            <w:r w:rsidRPr="00BB1696">
              <w:t xml:space="preserve">Northern Grampians </w:t>
            </w:r>
          </w:p>
        </w:tc>
      </w:tr>
      <w:tr w:rsidR="004449D0" w14:paraId="6B18E701" w14:textId="77777777" w:rsidTr="00F13D0D">
        <w:trPr>
          <w:cantSplit/>
        </w:trPr>
        <w:tc>
          <w:tcPr>
            <w:tcW w:w="967" w:type="pct"/>
            <w:vAlign w:val="bottom"/>
          </w:tcPr>
          <w:p w14:paraId="513D3B19"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35111329" w14:textId="77777777" w:rsidR="004449D0" w:rsidRPr="007E49C6" w:rsidRDefault="004449D0" w:rsidP="008759DA">
            <w:pPr>
              <w:spacing w:before="0" w:after="0" w:line="240" w:lineRule="auto"/>
            </w:pPr>
            <w:r w:rsidRPr="00BB1696">
              <w:t xml:space="preserve">South Gippsland </w:t>
            </w:r>
          </w:p>
        </w:tc>
      </w:tr>
      <w:tr w:rsidR="004449D0" w14:paraId="432CCB97" w14:textId="77777777" w:rsidTr="008759DA">
        <w:trPr>
          <w:cantSplit/>
        </w:trPr>
        <w:tc>
          <w:tcPr>
            <w:tcW w:w="967" w:type="pct"/>
            <w:vAlign w:val="bottom"/>
          </w:tcPr>
          <w:p w14:paraId="35630CC5"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VIC</w:t>
            </w:r>
          </w:p>
        </w:tc>
        <w:tc>
          <w:tcPr>
            <w:tcW w:w="4033" w:type="pct"/>
            <w:vAlign w:val="bottom"/>
          </w:tcPr>
          <w:p w14:paraId="33EDC1B3" w14:textId="77777777" w:rsidR="004449D0" w:rsidRPr="007E49C6" w:rsidRDefault="004449D0" w:rsidP="008759DA">
            <w:pPr>
              <w:spacing w:before="0" w:after="0" w:line="240" w:lineRule="auto"/>
            </w:pPr>
            <w:r w:rsidRPr="00BB1696">
              <w:t xml:space="preserve">Southern Grampians </w:t>
            </w:r>
          </w:p>
        </w:tc>
      </w:tr>
      <w:tr w:rsidR="004449D0" w14:paraId="3997D19A" w14:textId="77777777" w:rsidTr="00F13D0D">
        <w:trPr>
          <w:cantSplit/>
        </w:trPr>
        <w:tc>
          <w:tcPr>
            <w:tcW w:w="967" w:type="pct"/>
            <w:vAlign w:val="bottom"/>
          </w:tcPr>
          <w:p w14:paraId="288B3859"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7FFD75A9" w14:textId="77777777" w:rsidR="004449D0" w:rsidRPr="007E49C6" w:rsidRDefault="004449D0" w:rsidP="008759DA">
            <w:pPr>
              <w:spacing w:before="0" w:after="0" w:line="240" w:lineRule="auto"/>
            </w:pPr>
            <w:r w:rsidRPr="00BB1696">
              <w:t xml:space="preserve">Surf Coast </w:t>
            </w:r>
          </w:p>
        </w:tc>
      </w:tr>
      <w:tr w:rsidR="004449D0" w14:paraId="64B0CC5E" w14:textId="77777777" w:rsidTr="00F13D0D">
        <w:trPr>
          <w:cantSplit/>
        </w:trPr>
        <w:tc>
          <w:tcPr>
            <w:tcW w:w="967" w:type="pct"/>
            <w:vAlign w:val="bottom"/>
          </w:tcPr>
          <w:p w14:paraId="1050C881" w14:textId="77777777" w:rsidR="004449D0" w:rsidRPr="00BB1696" w:rsidRDefault="004449D0" w:rsidP="008759DA">
            <w:pPr>
              <w:spacing w:before="0" w:after="0" w:line="240" w:lineRule="auto"/>
              <w:jc w:val="center"/>
              <w:rPr>
                <w:rFonts w:cs="Arial"/>
                <w:szCs w:val="20"/>
              </w:rPr>
            </w:pPr>
            <w:r w:rsidRPr="00F13D0D">
              <w:rPr>
                <w:color w:val="000000"/>
              </w:rPr>
              <w:t>VIC</w:t>
            </w:r>
          </w:p>
        </w:tc>
        <w:tc>
          <w:tcPr>
            <w:tcW w:w="4033" w:type="pct"/>
            <w:vAlign w:val="bottom"/>
          </w:tcPr>
          <w:p w14:paraId="0628C240" w14:textId="77777777" w:rsidR="004449D0" w:rsidRPr="007E49C6" w:rsidRDefault="004449D0" w:rsidP="008759DA">
            <w:pPr>
              <w:spacing w:before="0" w:after="0" w:line="240" w:lineRule="auto"/>
            </w:pPr>
            <w:r w:rsidRPr="00BB1696">
              <w:t>Unincorporated Vic</w:t>
            </w:r>
          </w:p>
        </w:tc>
      </w:tr>
      <w:tr w:rsidR="004449D0" w14:paraId="150857FE" w14:textId="77777777" w:rsidTr="008759DA">
        <w:trPr>
          <w:cantSplit/>
        </w:trPr>
        <w:tc>
          <w:tcPr>
            <w:tcW w:w="967" w:type="pct"/>
            <w:vAlign w:val="bottom"/>
          </w:tcPr>
          <w:p w14:paraId="6D9D180C"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VIC</w:t>
            </w:r>
          </w:p>
        </w:tc>
        <w:tc>
          <w:tcPr>
            <w:tcW w:w="4033" w:type="pct"/>
            <w:vAlign w:val="bottom"/>
          </w:tcPr>
          <w:p w14:paraId="3EB085C3" w14:textId="77777777" w:rsidR="004449D0" w:rsidRPr="00BB1696" w:rsidRDefault="004449D0" w:rsidP="008759DA">
            <w:pPr>
              <w:spacing w:before="0" w:after="0" w:line="240" w:lineRule="auto"/>
            </w:pPr>
            <w:r w:rsidRPr="00BB1696">
              <w:t xml:space="preserve">Wangaratta </w:t>
            </w:r>
          </w:p>
        </w:tc>
      </w:tr>
      <w:tr w:rsidR="004449D0" w14:paraId="1B203E72" w14:textId="77777777" w:rsidTr="00F13D0D">
        <w:trPr>
          <w:cantSplit/>
        </w:trPr>
        <w:tc>
          <w:tcPr>
            <w:tcW w:w="967" w:type="pct"/>
            <w:vAlign w:val="bottom"/>
          </w:tcPr>
          <w:p w14:paraId="7C24700E" w14:textId="77777777" w:rsidR="004449D0" w:rsidRPr="00F13D0D" w:rsidRDefault="004449D0" w:rsidP="008759DA">
            <w:pPr>
              <w:spacing w:before="0" w:after="0" w:line="240" w:lineRule="auto"/>
              <w:jc w:val="center"/>
              <w:rPr>
                <w:color w:val="000000"/>
              </w:rPr>
            </w:pPr>
            <w:r w:rsidRPr="00F13D0D">
              <w:rPr>
                <w:color w:val="000000"/>
              </w:rPr>
              <w:t>VIC</w:t>
            </w:r>
          </w:p>
        </w:tc>
        <w:tc>
          <w:tcPr>
            <w:tcW w:w="4033" w:type="pct"/>
            <w:vAlign w:val="bottom"/>
          </w:tcPr>
          <w:p w14:paraId="1CEBBF8D" w14:textId="77777777" w:rsidR="004449D0" w:rsidRPr="00BB1696" w:rsidRDefault="004449D0" w:rsidP="008759DA">
            <w:pPr>
              <w:spacing w:before="0" w:after="0" w:line="240" w:lineRule="auto"/>
            </w:pPr>
            <w:r w:rsidRPr="00BB1696">
              <w:t xml:space="preserve">Wellington </w:t>
            </w:r>
          </w:p>
        </w:tc>
      </w:tr>
      <w:tr w:rsidR="004449D0" w14:paraId="7EAF5C57" w14:textId="77777777" w:rsidTr="00F13D0D">
        <w:trPr>
          <w:cantSplit/>
        </w:trPr>
        <w:tc>
          <w:tcPr>
            <w:tcW w:w="967" w:type="pct"/>
            <w:vAlign w:val="bottom"/>
          </w:tcPr>
          <w:p w14:paraId="3F08540F" w14:textId="77777777" w:rsidR="004449D0" w:rsidRPr="00F13D0D" w:rsidRDefault="004449D0" w:rsidP="008759DA">
            <w:pPr>
              <w:spacing w:before="0" w:after="0" w:line="240" w:lineRule="auto"/>
              <w:jc w:val="center"/>
              <w:rPr>
                <w:color w:val="000000"/>
              </w:rPr>
            </w:pPr>
            <w:r w:rsidRPr="00F13D0D">
              <w:rPr>
                <w:color w:val="000000"/>
              </w:rPr>
              <w:t>VIC</w:t>
            </w:r>
          </w:p>
        </w:tc>
        <w:tc>
          <w:tcPr>
            <w:tcW w:w="4033" w:type="pct"/>
            <w:vAlign w:val="bottom"/>
          </w:tcPr>
          <w:p w14:paraId="3D8DA994" w14:textId="77777777" w:rsidR="004449D0" w:rsidRPr="00BB1696" w:rsidRDefault="004449D0" w:rsidP="008759DA">
            <w:pPr>
              <w:spacing w:before="0" w:after="0" w:line="240" w:lineRule="auto"/>
            </w:pPr>
            <w:r w:rsidRPr="00BB1696">
              <w:t xml:space="preserve">Yarra Ranges </w:t>
            </w:r>
          </w:p>
        </w:tc>
      </w:tr>
      <w:tr w:rsidR="004449D0" w14:paraId="5887567F" w14:textId="77777777" w:rsidTr="008759DA">
        <w:trPr>
          <w:cantSplit/>
        </w:trPr>
        <w:tc>
          <w:tcPr>
            <w:tcW w:w="967" w:type="pct"/>
            <w:vAlign w:val="bottom"/>
          </w:tcPr>
          <w:p w14:paraId="2876840C"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65B47F5F" w14:textId="77777777" w:rsidR="004449D0" w:rsidRPr="00BB1696" w:rsidRDefault="004449D0" w:rsidP="008759DA">
            <w:pPr>
              <w:spacing w:before="0" w:after="0" w:line="240" w:lineRule="auto"/>
            </w:pPr>
            <w:r w:rsidRPr="00BB1696">
              <w:t xml:space="preserve">Armadale </w:t>
            </w:r>
          </w:p>
        </w:tc>
      </w:tr>
      <w:tr w:rsidR="004449D0" w14:paraId="35C3893C" w14:textId="77777777" w:rsidTr="008759DA">
        <w:trPr>
          <w:cantSplit/>
        </w:trPr>
        <w:tc>
          <w:tcPr>
            <w:tcW w:w="967" w:type="pct"/>
            <w:vAlign w:val="bottom"/>
          </w:tcPr>
          <w:p w14:paraId="5B0E310F"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4A7CEE01" w14:textId="77777777" w:rsidR="004449D0" w:rsidRPr="00BB1696" w:rsidRDefault="004449D0" w:rsidP="008759DA">
            <w:pPr>
              <w:spacing w:before="0" w:after="0" w:line="240" w:lineRule="auto"/>
            </w:pPr>
            <w:r w:rsidRPr="00BB1696">
              <w:t xml:space="preserve">Augusta-Margaret River </w:t>
            </w:r>
          </w:p>
        </w:tc>
      </w:tr>
      <w:tr w:rsidR="004449D0" w14:paraId="39EABE1F" w14:textId="77777777" w:rsidTr="008759DA">
        <w:trPr>
          <w:cantSplit/>
        </w:trPr>
        <w:tc>
          <w:tcPr>
            <w:tcW w:w="967" w:type="pct"/>
            <w:vAlign w:val="bottom"/>
          </w:tcPr>
          <w:p w14:paraId="297499B7"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7939CFED" w14:textId="77777777" w:rsidR="004449D0" w:rsidRPr="00BB1696" w:rsidRDefault="004449D0" w:rsidP="008759DA">
            <w:pPr>
              <w:spacing w:before="0" w:after="0" w:line="240" w:lineRule="auto"/>
            </w:pPr>
            <w:r w:rsidRPr="00BB1696">
              <w:t xml:space="preserve">Busselton </w:t>
            </w:r>
          </w:p>
        </w:tc>
      </w:tr>
      <w:tr w:rsidR="004449D0" w14:paraId="101B4E7D" w14:textId="77777777" w:rsidTr="008759DA">
        <w:trPr>
          <w:cantSplit/>
        </w:trPr>
        <w:tc>
          <w:tcPr>
            <w:tcW w:w="967" w:type="pct"/>
            <w:vAlign w:val="bottom"/>
          </w:tcPr>
          <w:p w14:paraId="7D8C6B06"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0EF2B520" w14:textId="77777777" w:rsidR="004449D0" w:rsidRPr="00BB1696" w:rsidRDefault="004449D0" w:rsidP="008759DA">
            <w:pPr>
              <w:spacing w:before="0" w:after="0" w:line="240" w:lineRule="auto"/>
            </w:pPr>
            <w:r w:rsidRPr="00BB1696">
              <w:t xml:space="preserve">Kalamunda </w:t>
            </w:r>
          </w:p>
        </w:tc>
      </w:tr>
      <w:tr w:rsidR="004449D0" w14:paraId="7773F30A" w14:textId="77777777" w:rsidTr="008759DA">
        <w:trPr>
          <w:cantSplit/>
        </w:trPr>
        <w:tc>
          <w:tcPr>
            <w:tcW w:w="967" w:type="pct"/>
            <w:vAlign w:val="bottom"/>
          </w:tcPr>
          <w:p w14:paraId="029EDE4A"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23C27E4C" w14:textId="77777777" w:rsidR="004449D0" w:rsidRPr="00BB1696" w:rsidRDefault="004449D0" w:rsidP="008759DA">
            <w:pPr>
              <w:spacing w:before="0" w:after="0" w:line="240" w:lineRule="auto"/>
            </w:pPr>
            <w:r w:rsidRPr="00BB1696">
              <w:t xml:space="preserve">Mundaring </w:t>
            </w:r>
          </w:p>
        </w:tc>
      </w:tr>
      <w:tr w:rsidR="004449D0" w14:paraId="761A449D" w14:textId="77777777" w:rsidTr="008759DA">
        <w:trPr>
          <w:cantSplit/>
        </w:trPr>
        <w:tc>
          <w:tcPr>
            <w:tcW w:w="967" w:type="pct"/>
            <w:vAlign w:val="bottom"/>
          </w:tcPr>
          <w:p w14:paraId="363FB7C7" w14:textId="77777777" w:rsidR="004449D0" w:rsidRPr="00BB1696" w:rsidRDefault="004449D0" w:rsidP="008759DA">
            <w:pPr>
              <w:spacing w:before="0" w:after="0" w:line="240" w:lineRule="auto"/>
              <w:jc w:val="center"/>
              <w:rPr>
                <w:rFonts w:cs="Arial"/>
                <w:color w:val="000000"/>
                <w:szCs w:val="20"/>
              </w:rPr>
            </w:pPr>
            <w:r w:rsidRPr="00BB1696">
              <w:rPr>
                <w:rFonts w:cs="Arial"/>
                <w:color w:val="000000"/>
                <w:szCs w:val="20"/>
              </w:rPr>
              <w:t>WA</w:t>
            </w:r>
          </w:p>
        </w:tc>
        <w:tc>
          <w:tcPr>
            <w:tcW w:w="4033" w:type="pct"/>
            <w:vAlign w:val="bottom"/>
          </w:tcPr>
          <w:p w14:paraId="457A0B8F" w14:textId="77777777" w:rsidR="004449D0" w:rsidRPr="00BB1696" w:rsidRDefault="004449D0" w:rsidP="008759DA">
            <w:pPr>
              <w:spacing w:before="0" w:after="0" w:line="240" w:lineRule="auto"/>
            </w:pPr>
            <w:r w:rsidRPr="00BB1696">
              <w:t xml:space="preserve">Swan </w:t>
            </w:r>
          </w:p>
        </w:tc>
      </w:tr>
    </w:tbl>
    <w:p w14:paraId="3BB05986" w14:textId="05D4AE93" w:rsidR="00A6675D" w:rsidRDefault="00A6675D" w:rsidP="00A6675D">
      <w:pPr>
        <w:rPr>
          <w:b/>
        </w:rPr>
      </w:pPr>
      <w:r w:rsidRPr="003C1DE8">
        <w:rPr>
          <w:b/>
        </w:rPr>
        <w:t>Table 2 – Tropical Cyclone Risk LGAs</w:t>
      </w:r>
    </w:p>
    <w:p w14:paraId="18359394" w14:textId="68029A26" w:rsidR="003C1DE8" w:rsidRPr="00920EF0" w:rsidRDefault="003C1DE8" w:rsidP="003C1DE8">
      <w:pPr>
        <w:pStyle w:val="ListNumber2"/>
        <w:numPr>
          <w:ilvl w:val="0"/>
          <w:numId w:val="0"/>
        </w:numPr>
      </w:pPr>
      <w:r>
        <w:t>Applications for projects that address tropical cyclone risks in the selected LGAs</w:t>
      </w:r>
      <w:r w:rsidDel="00E966B7">
        <w:t xml:space="preserve"> </w:t>
      </w:r>
      <w:r>
        <w:t xml:space="preserve">identified in the table below </w:t>
      </w:r>
      <w:proofErr w:type="gramStart"/>
      <w:r>
        <w:t>will be awarded</w:t>
      </w:r>
      <w:proofErr w:type="gramEnd"/>
      <w:r>
        <w:t xml:space="preserve"> an additional </w:t>
      </w:r>
      <w:r w:rsidR="006F7360">
        <w:t>2</w:t>
      </w:r>
      <w:r>
        <w:t>0 points</w:t>
      </w:r>
      <w:r w:rsidR="00A6032D">
        <w:t xml:space="preserve"> (You can only receive a maximum of 20 additional points per application)</w:t>
      </w:r>
      <w:r>
        <w:t xml:space="preserve">. </w:t>
      </w:r>
    </w:p>
    <w:tbl>
      <w:tblPr>
        <w:tblStyle w:val="TableGrid"/>
        <w:tblW w:w="4994" w:type="pct"/>
        <w:tblLook w:val="04A0" w:firstRow="1" w:lastRow="0" w:firstColumn="1" w:lastColumn="0" w:noHBand="0" w:noVBand="1"/>
      </w:tblPr>
      <w:tblGrid>
        <w:gridCol w:w="1696"/>
        <w:gridCol w:w="7071"/>
      </w:tblGrid>
      <w:tr w:rsidR="004449D0" w14:paraId="0F287F71" w14:textId="77777777" w:rsidTr="008759DA">
        <w:trPr>
          <w:cantSplit/>
          <w:tblHeader/>
        </w:trPr>
        <w:tc>
          <w:tcPr>
            <w:tcW w:w="967" w:type="pct"/>
            <w:shd w:val="clear" w:color="auto" w:fill="1F497D" w:themeFill="text2"/>
          </w:tcPr>
          <w:p w14:paraId="3A231465" w14:textId="77777777" w:rsidR="004449D0" w:rsidRPr="00F81FF1" w:rsidRDefault="004449D0" w:rsidP="008759DA">
            <w:pPr>
              <w:spacing w:before="0" w:after="0" w:line="240" w:lineRule="auto"/>
              <w:jc w:val="center"/>
              <w:rPr>
                <w:b/>
                <w:color w:val="FFFFFF" w:themeColor="background1"/>
              </w:rPr>
            </w:pPr>
            <w:r w:rsidRPr="00F81FF1">
              <w:rPr>
                <w:b/>
                <w:color w:val="FFFFFF" w:themeColor="background1"/>
              </w:rPr>
              <w:t>State</w:t>
            </w:r>
          </w:p>
        </w:tc>
        <w:tc>
          <w:tcPr>
            <w:tcW w:w="4033" w:type="pct"/>
            <w:shd w:val="clear" w:color="auto" w:fill="1F497D" w:themeFill="text2"/>
          </w:tcPr>
          <w:p w14:paraId="6ED226D4" w14:textId="77777777" w:rsidR="004449D0" w:rsidRPr="00F81FF1" w:rsidRDefault="004449D0" w:rsidP="008759DA">
            <w:pPr>
              <w:spacing w:before="0" w:after="0" w:line="240" w:lineRule="auto"/>
              <w:rPr>
                <w:b/>
                <w:color w:val="FFFFFF" w:themeColor="background1"/>
              </w:rPr>
            </w:pPr>
            <w:r w:rsidRPr="00F81FF1">
              <w:rPr>
                <w:b/>
                <w:color w:val="FFFFFF" w:themeColor="background1"/>
              </w:rPr>
              <w:t>LGA</w:t>
            </w:r>
          </w:p>
        </w:tc>
      </w:tr>
      <w:tr w:rsidR="004449D0" w14:paraId="53B7900E" w14:textId="77777777" w:rsidTr="00F13D0D">
        <w:trPr>
          <w:cantSplit/>
        </w:trPr>
        <w:tc>
          <w:tcPr>
            <w:tcW w:w="967" w:type="pct"/>
            <w:vAlign w:val="bottom"/>
          </w:tcPr>
          <w:p w14:paraId="1FADBF3C" w14:textId="77777777" w:rsidR="004449D0" w:rsidRPr="00BB1696" w:rsidRDefault="004449D0" w:rsidP="008759DA">
            <w:pPr>
              <w:spacing w:before="0" w:after="0" w:line="240" w:lineRule="auto"/>
              <w:jc w:val="center"/>
              <w:rPr>
                <w:rFonts w:cs="Arial"/>
                <w:szCs w:val="20"/>
              </w:rPr>
            </w:pPr>
            <w:r w:rsidRPr="00F13D0D">
              <w:rPr>
                <w:color w:val="000000"/>
              </w:rPr>
              <w:t>NT</w:t>
            </w:r>
          </w:p>
        </w:tc>
        <w:tc>
          <w:tcPr>
            <w:tcW w:w="4033" w:type="pct"/>
            <w:vAlign w:val="bottom"/>
          </w:tcPr>
          <w:p w14:paraId="678E2893" w14:textId="77777777" w:rsidR="004449D0" w:rsidRPr="00BB1696" w:rsidRDefault="004449D0" w:rsidP="008759DA">
            <w:pPr>
              <w:spacing w:before="0" w:after="0" w:line="240" w:lineRule="auto"/>
              <w:rPr>
                <w:rFonts w:cs="Arial"/>
                <w:szCs w:val="20"/>
              </w:rPr>
            </w:pPr>
            <w:r w:rsidRPr="00BB1696">
              <w:rPr>
                <w:rFonts w:cs="Arial"/>
                <w:szCs w:val="20"/>
              </w:rPr>
              <w:t xml:space="preserve">Darwin </w:t>
            </w:r>
          </w:p>
        </w:tc>
      </w:tr>
      <w:tr w:rsidR="004449D0" w14:paraId="157F02D9" w14:textId="77777777" w:rsidTr="008759DA">
        <w:trPr>
          <w:cantSplit/>
        </w:trPr>
        <w:tc>
          <w:tcPr>
            <w:tcW w:w="967" w:type="pct"/>
            <w:vAlign w:val="bottom"/>
          </w:tcPr>
          <w:p w14:paraId="441E3E34"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574537EA" w14:textId="77777777" w:rsidR="004449D0" w:rsidRPr="00BB1696" w:rsidRDefault="004449D0" w:rsidP="008759DA">
            <w:pPr>
              <w:spacing w:before="0" w:after="0" w:line="240" w:lineRule="auto"/>
              <w:rPr>
                <w:rFonts w:cs="Arial"/>
                <w:szCs w:val="20"/>
              </w:rPr>
            </w:pPr>
            <w:r w:rsidRPr="00BB1696">
              <w:rPr>
                <w:rFonts w:cs="Arial"/>
                <w:szCs w:val="20"/>
              </w:rPr>
              <w:t xml:space="preserve">East Arnhem </w:t>
            </w:r>
          </w:p>
        </w:tc>
      </w:tr>
      <w:tr w:rsidR="004449D0" w14:paraId="7F717F4E" w14:textId="77777777" w:rsidTr="00F13D0D">
        <w:trPr>
          <w:cantSplit/>
        </w:trPr>
        <w:tc>
          <w:tcPr>
            <w:tcW w:w="967" w:type="pct"/>
            <w:vAlign w:val="bottom"/>
          </w:tcPr>
          <w:p w14:paraId="449CF574" w14:textId="77777777" w:rsidR="004449D0" w:rsidRPr="00BB1696" w:rsidRDefault="004449D0" w:rsidP="008759DA">
            <w:pPr>
              <w:spacing w:before="0" w:after="0" w:line="240" w:lineRule="auto"/>
              <w:jc w:val="center"/>
              <w:rPr>
                <w:rFonts w:cs="Arial"/>
                <w:szCs w:val="20"/>
              </w:rPr>
            </w:pPr>
            <w:r w:rsidRPr="00F13D0D">
              <w:rPr>
                <w:color w:val="000000"/>
              </w:rPr>
              <w:t>NT</w:t>
            </w:r>
          </w:p>
        </w:tc>
        <w:tc>
          <w:tcPr>
            <w:tcW w:w="4033" w:type="pct"/>
            <w:vAlign w:val="bottom"/>
          </w:tcPr>
          <w:p w14:paraId="54814CF0" w14:textId="77777777" w:rsidR="004449D0" w:rsidRPr="00BB1696" w:rsidRDefault="004449D0" w:rsidP="008759DA">
            <w:pPr>
              <w:spacing w:before="0" w:after="0" w:line="240" w:lineRule="auto"/>
              <w:rPr>
                <w:rFonts w:cs="Arial"/>
                <w:szCs w:val="20"/>
              </w:rPr>
            </w:pPr>
            <w:r w:rsidRPr="00BB1696">
              <w:rPr>
                <w:rFonts w:cs="Arial"/>
                <w:szCs w:val="20"/>
              </w:rPr>
              <w:t xml:space="preserve">Katherine </w:t>
            </w:r>
          </w:p>
        </w:tc>
      </w:tr>
      <w:tr w:rsidR="004449D0" w14:paraId="461905F4" w14:textId="77777777" w:rsidTr="008759DA">
        <w:trPr>
          <w:cantSplit/>
        </w:trPr>
        <w:tc>
          <w:tcPr>
            <w:tcW w:w="967" w:type="pct"/>
            <w:vAlign w:val="bottom"/>
          </w:tcPr>
          <w:p w14:paraId="402DD7A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39B73FD8" w14:textId="77777777" w:rsidR="004449D0" w:rsidRPr="00BB1696" w:rsidRDefault="004449D0" w:rsidP="008759DA">
            <w:pPr>
              <w:spacing w:before="0" w:after="0" w:line="240" w:lineRule="auto"/>
              <w:rPr>
                <w:rFonts w:cs="Arial"/>
                <w:szCs w:val="20"/>
              </w:rPr>
            </w:pPr>
            <w:r w:rsidRPr="00BB1696">
              <w:rPr>
                <w:rFonts w:cs="Arial"/>
                <w:szCs w:val="20"/>
              </w:rPr>
              <w:t xml:space="preserve">Litchfield </w:t>
            </w:r>
          </w:p>
        </w:tc>
      </w:tr>
      <w:tr w:rsidR="004449D0" w14:paraId="5C28325A" w14:textId="77777777" w:rsidTr="008759DA">
        <w:trPr>
          <w:cantSplit/>
        </w:trPr>
        <w:tc>
          <w:tcPr>
            <w:tcW w:w="967" w:type="pct"/>
            <w:vAlign w:val="bottom"/>
          </w:tcPr>
          <w:p w14:paraId="49063C3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0F416E11" w14:textId="77777777" w:rsidR="004449D0" w:rsidRPr="00BB1696" w:rsidRDefault="004449D0" w:rsidP="008759DA">
            <w:pPr>
              <w:spacing w:before="0" w:after="0" w:line="240" w:lineRule="auto"/>
              <w:rPr>
                <w:rFonts w:cs="Arial"/>
                <w:szCs w:val="20"/>
              </w:rPr>
            </w:pPr>
            <w:r w:rsidRPr="00BB1696">
              <w:rPr>
                <w:rFonts w:cs="Arial"/>
                <w:szCs w:val="20"/>
              </w:rPr>
              <w:t xml:space="preserve">Palmerston </w:t>
            </w:r>
          </w:p>
        </w:tc>
      </w:tr>
      <w:tr w:rsidR="004449D0" w14:paraId="0867F6F2" w14:textId="77777777" w:rsidTr="008759DA">
        <w:trPr>
          <w:cantSplit/>
        </w:trPr>
        <w:tc>
          <w:tcPr>
            <w:tcW w:w="967" w:type="pct"/>
            <w:vAlign w:val="bottom"/>
          </w:tcPr>
          <w:p w14:paraId="0D209F0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3781C4CE" w14:textId="77777777" w:rsidR="004449D0" w:rsidRPr="00BB1696" w:rsidRDefault="004449D0" w:rsidP="008759DA">
            <w:pPr>
              <w:spacing w:before="0" w:after="0" w:line="240" w:lineRule="auto"/>
              <w:rPr>
                <w:rFonts w:cs="Arial"/>
                <w:szCs w:val="20"/>
              </w:rPr>
            </w:pPr>
            <w:r w:rsidRPr="00BB1696">
              <w:rPr>
                <w:rFonts w:cs="Arial"/>
                <w:szCs w:val="20"/>
              </w:rPr>
              <w:t xml:space="preserve">Roper Gulf </w:t>
            </w:r>
          </w:p>
        </w:tc>
      </w:tr>
      <w:tr w:rsidR="004449D0" w14:paraId="2389EEC3" w14:textId="77777777" w:rsidTr="008759DA">
        <w:trPr>
          <w:cantSplit/>
        </w:trPr>
        <w:tc>
          <w:tcPr>
            <w:tcW w:w="967" w:type="pct"/>
            <w:vAlign w:val="bottom"/>
          </w:tcPr>
          <w:p w14:paraId="177948C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22EAC4BB" w14:textId="77777777" w:rsidR="004449D0" w:rsidRPr="00BB1696" w:rsidRDefault="004449D0" w:rsidP="008759DA">
            <w:pPr>
              <w:spacing w:before="0" w:after="0" w:line="240" w:lineRule="auto"/>
              <w:rPr>
                <w:rFonts w:cs="Arial"/>
                <w:szCs w:val="20"/>
              </w:rPr>
            </w:pPr>
            <w:r w:rsidRPr="00BB1696">
              <w:rPr>
                <w:rFonts w:cs="Arial"/>
                <w:szCs w:val="20"/>
              </w:rPr>
              <w:t xml:space="preserve">Tiwi Islands </w:t>
            </w:r>
          </w:p>
        </w:tc>
      </w:tr>
      <w:tr w:rsidR="004449D0" w14:paraId="1E418A61" w14:textId="77777777" w:rsidTr="008759DA">
        <w:trPr>
          <w:cantSplit/>
        </w:trPr>
        <w:tc>
          <w:tcPr>
            <w:tcW w:w="967" w:type="pct"/>
            <w:vAlign w:val="bottom"/>
          </w:tcPr>
          <w:p w14:paraId="7D99647C"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NT</w:t>
            </w:r>
          </w:p>
        </w:tc>
        <w:tc>
          <w:tcPr>
            <w:tcW w:w="4033" w:type="pct"/>
            <w:vAlign w:val="bottom"/>
          </w:tcPr>
          <w:p w14:paraId="00B0EB5A" w14:textId="77777777" w:rsidR="004449D0" w:rsidRPr="00BB1696" w:rsidRDefault="004449D0" w:rsidP="008759DA">
            <w:pPr>
              <w:spacing w:before="0" w:after="0" w:line="240" w:lineRule="auto"/>
              <w:rPr>
                <w:rFonts w:cs="Arial"/>
                <w:szCs w:val="20"/>
              </w:rPr>
            </w:pPr>
            <w:r w:rsidRPr="00BB1696">
              <w:rPr>
                <w:rFonts w:cs="Arial"/>
                <w:szCs w:val="20"/>
              </w:rPr>
              <w:t xml:space="preserve">West Arnhem </w:t>
            </w:r>
          </w:p>
        </w:tc>
      </w:tr>
      <w:tr w:rsidR="004449D0" w14:paraId="653896AB" w14:textId="77777777" w:rsidTr="00F13D0D">
        <w:trPr>
          <w:cantSplit/>
        </w:trPr>
        <w:tc>
          <w:tcPr>
            <w:tcW w:w="967" w:type="pct"/>
            <w:vAlign w:val="bottom"/>
          </w:tcPr>
          <w:p w14:paraId="536664EF"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1A3B04EC" w14:textId="77777777" w:rsidR="004449D0" w:rsidRPr="00BB1696" w:rsidRDefault="004449D0" w:rsidP="008759DA">
            <w:pPr>
              <w:spacing w:before="0" w:after="0" w:line="240" w:lineRule="auto"/>
              <w:rPr>
                <w:rFonts w:cs="Arial"/>
                <w:szCs w:val="20"/>
              </w:rPr>
            </w:pPr>
            <w:r w:rsidRPr="00BB1696">
              <w:rPr>
                <w:rFonts w:cs="Arial"/>
                <w:szCs w:val="20"/>
              </w:rPr>
              <w:t xml:space="preserve">Aurukun </w:t>
            </w:r>
          </w:p>
        </w:tc>
      </w:tr>
      <w:tr w:rsidR="004449D0" w14:paraId="4C5104E6" w14:textId="77777777" w:rsidTr="00F13D0D">
        <w:trPr>
          <w:cantSplit/>
        </w:trPr>
        <w:tc>
          <w:tcPr>
            <w:tcW w:w="967" w:type="pct"/>
            <w:vAlign w:val="bottom"/>
          </w:tcPr>
          <w:p w14:paraId="46F8FC28"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58EE62CC" w14:textId="77777777" w:rsidR="004449D0" w:rsidRPr="00BB1696" w:rsidRDefault="004449D0" w:rsidP="008759DA">
            <w:pPr>
              <w:spacing w:before="0" w:after="0" w:line="240" w:lineRule="auto"/>
              <w:rPr>
                <w:rFonts w:cs="Arial"/>
                <w:szCs w:val="20"/>
              </w:rPr>
            </w:pPr>
            <w:r w:rsidRPr="00BB1696">
              <w:rPr>
                <w:rFonts w:cs="Arial"/>
                <w:szCs w:val="20"/>
              </w:rPr>
              <w:t xml:space="preserve">Banana </w:t>
            </w:r>
          </w:p>
        </w:tc>
      </w:tr>
      <w:tr w:rsidR="004449D0" w14:paraId="3D84CE82" w14:textId="77777777" w:rsidTr="00F13D0D">
        <w:trPr>
          <w:cantSplit/>
        </w:trPr>
        <w:tc>
          <w:tcPr>
            <w:tcW w:w="967" w:type="pct"/>
            <w:vAlign w:val="bottom"/>
          </w:tcPr>
          <w:p w14:paraId="5B35CEC2"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3A49D533" w14:textId="77777777" w:rsidR="004449D0" w:rsidRPr="00BB1696" w:rsidRDefault="004449D0" w:rsidP="008759DA">
            <w:pPr>
              <w:spacing w:before="0" w:after="0" w:line="240" w:lineRule="auto"/>
              <w:rPr>
                <w:rFonts w:cs="Arial"/>
                <w:szCs w:val="20"/>
              </w:rPr>
            </w:pPr>
            <w:r w:rsidRPr="00BB1696">
              <w:rPr>
                <w:rFonts w:cs="Arial"/>
                <w:szCs w:val="20"/>
              </w:rPr>
              <w:t xml:space="preserve">Barcaldine </w:t>
            </w:r>
          </w:p>
        </w:tc>
      </w:tr>
      <w:tr w:rsidR="004449D0" w14:paraId="74AE8AD0" w14:textId="77777777" w:rsidTr="00F13D0D">
        <w:trPr>
          <w:cantSplit/>
        </w:trPr>
        <w:tc>
          <w:tcPr>
            <w:tcW w:w="967" w:type="pct"/>
            <w:vAlign w:val="bottom"/>
          </w:tcPr>
          <w:p w14:paraId="2AF327EC"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4D4F4247" w14:textId="77777777" w:rsidR="004449D0" w:rsidRPr="00BB1696" w:rsidRDefault="004449D0" w:rsidP="008759DA">
            <w:pPr>
              <w:spacing w:before="0" w:after="0" w:line="240" w:lineRule="auto"/>
              <w:rPr>
                <w:rFonts w:cs="Arial"/>
                <w:szCs w:val="20"/>
              </w:rPr>
            </w:pPr>
            <w:r w:rsidRPr="00BB1696">
              <w:rPr>
                <w:rFonts w:cs="Arial"/>
                <w:szCs w:val="20"/>
              </w:rPr>
              <w:t xml:space="preserve">Blackall-Tambo </w:t>
            </w:r>
          </w:p>
        </w:tc>
      </w:tr>
      <w:tr w:rsidR="004449D0" w14:paraId="69E81569" w14:textId="77777777" w:rsidTr="00F13D0D">
        <w:trPr>
          <w:cantSplit/>
        </w:trPr>
        <w:tc>
          <w:tcPr>
            <w:tcW w:w="967" w:type="pct"/>
            <w:vAlign w:val="bottom"/>
          </w:tcPr>
          <w:p w14:paraId="6710326A"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736AF93A" w14:textId="77777777" w:rsidR="004449D0" w:rsidRPr="00BB1696" w:rsidRDefault="004449D0" w:rsidP="008759DA">
            <w:pPr>
              <w:spacing w:before="0" w:after="0" w:line="240" w:lineRule="auto"/>
              <w:rPr>
                <w:rFonts w:cs="Arial"/>
                <w:szCs w:val="20"/>
              </w:rPr>
            </w:pPr>
            <w:r w:rsidRPr="00BB1696">
              <w:rPr>
                <w:rFonts w:cs="Arial"/>
                <w:szCs w:val="20"/>
              </w:rPr>
              <w:t xml:space="preserve">Brisbane </w:t>
            </w:r>
          </w:p>
        </w:tc>
      </w:tr>
      <w:tr w:rsidR="004449D0" w14:paraId="0FC90121" w14:textId="77777777" w:rsidTr="00F13D0D">
        <w:trPr>
          <w:cantSplit/>
        </w:trPr>
        <w:tc>
          <w:tcPr>
            <w:tcW w:w="967" w:type="pct"/>
            <w:vAlign w:val="bottom"/>
          </w:tcPr>
          <w:p w14:paraId="078A5A5A"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61B8F62D" w14:textId="77777777" w:rsidR="004449D0" w:rsidRPr="00BB1696" w:rsidRDefault="004449D0" w:rsidP="008759DA">
            <w:pPr>
              <w:spacing w:before="0" w:after="0" w:line="240" w:lineRule="auto"/>
              <w:rPr>
                <w:rFonts w:cs="Arial"/>
                <w:szCs w:val="20"/>
              </w:rPr>
            </w:pPr>
            <w:r w:rsidRPr="00BB1696">
              <w:rPr>
                <w:rFonts w:cs="Arial"/>
                <w:szCs w:val="20"/>
              </w:rPr>
              <w:t xml:space="preserve">Bundaberg </w:t>
            </w:r>
          </w:p>
        </w:tc>
      </w:tr>
      <w:tr w:rsidR="004449D0" w14:paraId="30854825" w14:textId="77777777" w:rsidTr="00F13D0D">
        <w:trPr>
          <w:cantSplit/>
        </w:trPr>
        <w:tc>
          <w:tcPr>
            <w:tcW w:w="967" w:type="pct"/>
            <w:vAlign w:val="bottom"/>
          </w:tcPr>
          <w:p w14:paraId="2D3D0E3B"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1A57AC9A" w14:textId="77777777" w:rsidR="004449D0" w:rsidRPr="00BB1696" w:rsidRDefault="004449D0" w:rsidP="008759DA">
            <w:pPr>
              <w:spacing w:before="0" w:after="0" w:line="240" w:lineRule="auto"/>
              <w:rPr>
                <w:rFonts w:cs="Arial"/>
                <w:szCs w:val="20"/>
              </w:rPr>
            </w:pPr>
            <w:r w:rsidRPr="00BB1696">
              <w:rPr>
                <w:rFonts w:cs="Arial"/>
                <w:szCs w:val="20"/>
              </w:rPr>
              <w:t xml:space="preserve">Burdekin </w:t>
            </w:r>
          </w:p>
        </w:tc>
      </w:tr>
      <w:tr w:rsidR="004449D0" w14:paraId="573FA97C" w14:textId="77777777" w:rsidTr="00F13D0D">
        <w:trPr>
          <w:cantSplit/>
        </w:trPr>
        <w:tc>
          <w:tcPr>
            <w:tcW w:w="967" w:type="pct"/>
            <w:vAlign w:val="bottom"/>
          </w:tcPr>
          <w:p w14:paraId="042D6FC3"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5E2547C8" w14:textId="77777777" w:rsidR="004449D0" w:rsidRPr="00BB1696" w:rsidRDefault="004449D0" w:rsidP="008759DA">
            <w:pPr>
              <w:spacing w:before="0" w:after="0" w:line="240" w:lineRule="auto"/>
              <w:rPr>
                <w:rFonts w:cs="Arial"/>
                <w:szCs w:val="20"/>
              </w:rPr>
            </w:pPr>
            <w:r w:rsidRPr="00BB1696">
              <w:rPr>
                <w:rFonts w:cs="Arial"/>
                <w:szCs w:val="20"/>
              </w:rPr>
              <w:t xml:space="preserve">Burke </w:t>
            </w:r>
          </w:p>
        </w:tc>
      </w:tr>
      <w:tr w:rsidR="004449D0" w14:paraId="10D5A787" w14:textId="77777777" w:rsidTr="00F13D0D">
        <w:trPr>
          <w:cantSplit/>
        </w:trPr>
        <w:tc>
          <w:tcPr>
            <w:tcW w:w="967" w:type="pct"/>
            <w:vAlign w:val="bottom"/>
          </w:tcPr>
          <w:p w14:paraId="4055CE1E"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36D12718" w14:textId="77777777" w:rsidR="004449D0" w:rsidRPr="00BB1696" w:rsidRDefault="004449D0" w:rsidP="008759DA">
            <w:pPr>
              <w:spacing w:before="0" w:after="0" w:line="240" w:lineRule="auto"/>
              <w:rPr>
                <w:rFonts w:cs="Arial"/>
                <w:szCs w:val="20"/>
              </w:rPr>
            </w:pPr>
            <w:r w:rsidRPr="00BB1696">
              <w:rPr>
                <w:rFonts w:cs="Arial"/>
                <w:szCs w:val="20"/>
              </w:rPr>
              <w:t xml:space="preserve">Carpentaria </w:t>
            </w:r>
          </w:p>
        </w:tc>
      </w:tr>
      <w:tr w:rsidR="004449D0" w14:paraId="54F3B283" w14:textId="77777777" w:rsidTr="00F13D0D">
        <w:trPr>
          <w:cantSplit/>
        </w:trPr>
        <w:tc>
          <w:tcPr>
            <w:tcW w:w="967" w:type="pct"/>
            <w:vAlign w:val="bottom"/>
          </w:tcPr>
          <w:p w14:paraId="6F88976B"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6625D89B" w14:textId="77777777" w:rsidR="004449D0" w:rsidRPr="00BB1696" w:rsidRDefault="004449D0" w:rsidP="008759DA">
            <w:pPr>
              <w:spacing w:before="0" w:after="0" w:line="240" w:lineRule="auto"/>
              <w:rPr>
                <w:rFonts w:cs="Arial"/>
                <w:szCs w:val="20"/>
              </w:rPr>
            </w:pPr>
            <w:r w:rsidRPr="00BB1696">
              <w:rPr>
                <w:rFonts w:cs="Arial"/>
                <w:szCs w:val="20"/>
              </w:rPr>
              <w:t xml:space="preserve">Cassowary Coast </w:t>
            </w:r>
          </w:p>
        </w:tc>
      </w:tr>
      <w:tr w:rsidR="004449D0" w14:paraId="285F1029" w14:textId="77777777" w:rsidTr="008759DA">
        <w:trPr>
          <w:cantSplit/>
        </w:trPr>
        <w:tc>
          <w:tcPr>
            <w:tcW w:w="967" w:type="pct"/>
            <w:vAlign w:val="bottom"/>
          </w:tcPr>
          <w:p w14:paraId="24141D44"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32B36CBB" w14:textId="77777777" w:rsidR="004449D0" w:rsidRPr="00BB1696" w:rsidRDefault="004449D0" w:rsidP="008759DA">
            <w:pPr>
              <w:spacing w:before="0" w:after="0" w:line="240" w:lineRule="auto"/>
              <w:rPr>
                <w:rFonts w:cs="Arial"/>
                <w:szCs w:val="20"/>
              </w:rPr>
            </w:pPr>
            <w:r w:rsidRPr="00BB1696">
              <w:rPr>
                <w:rFonts w:cs="Arial"/>
                <w:szCs w:val="20"/>
              </w:rPr>
              <w:t>Central Highlands  (Qld)</w:t>
            </w:r>
          </w:p>
        </w:tc>
      </w:tr>
      <w:tr w:rsidR="004449D0" w14:paraId="1AB8E70B" w14:textId="77777777" w:rsidTr="00F13D0D">
        <w:trPr>
          <w:cantSplit/>
        </w:trPr>
        <w:tc>
          <w:tcPr>
            <w:tcW w:w="967" w:type="pct"/>
            <w:vAlign w:val="bottom"/>
          </w:tcPr>
          <w:p w14:paraId="61FBC0A5"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121A6C49" w14:textId="77777777" w:rsidR="004449D0" w:rsidRPr="00BB1696" w:rsidRDefault="004449D0" w:rsidP="008759DA">
            <w:pPr>
              <w:spacing w:before="0" w:after="0" w:line="240" w:lineRule="auto"/>
              <w:rPr>
                <w:rFonts w:cs="Arial"/>
                <w:szCs w:val="20"/>
              </w:rPr>
            </w:pPr>
            <w:r w:rsidRPr="00BB1696">
              <w:rPr>
                <w:rFonts w:cs="Arial"/>
                <w:szCs w:val="20"/>
              </w:rPr>
              <w:t xml:space="preserve">Charters Towers </w:t>
            </w:r>
          </w:p>
        </w:tc>
      </w:tr>
      <w:tr w:rsidR="004449D0" w14:paraId="13FB46A5" w14:textId="77777777" w:rsidTr="00F13D0D">
        <w:trPr>
          <w:cantSplit/>
        </w:trPr>
        <w:tc>
          <w:tcPr>
            <w:tcW w:w="967" w:type="pct"/>
            <w:vAlign w:val="bottom"/>
          </w:tcPr>
          <w:p w14:paraId="42843F27"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667790CF" w14:textId="77777777" w:rsidR="004449D0" w:rsidRPr="00BB1696" w:rsidRDefault="004449D0" w:rsidP="008759DA">
            <w:pPr>
              <w:spacing w:before="0" w:after="0" w:line="240" w:lineRule="auto"/>
              <w:rPr>
                <w:rFonts w:cs="Arial"/>
                <w:szCs w:val="20"/>
              </w:rPr>
            </w:pPr>
            <w:r w:rsidRPr="00BB1696">
              <w:rPr>
                <w:rFonts w:cs="Arial"/>
                <w:szCs w:val="20"/>
              </w:rPr>
              <w:t xml:space="preserve">Cook </w:t>
            </w:r>
          </w:p>
        </w:tc>
      </w:tr>
      <w:tr w:rsidR="004449D0" w14:paraId="42F9A6AB" w14:textId="77777777" w:rsidTr="008759DA">
        <w:trPr>
          <w:cantSplit/>
        </w:trPr>
        <w:tc>
          <w:tcPr>
            <w:tcW w:w="967" w:type="pct"/>
            <w:vAlign w:val="bottom"/>
          </w:tcPr>
          <w:p w14:paraId="29D1DB92"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72E12948" w14:textId="77777777" w:rsidR="004449D0" w:rsidRPr="00BB1696" w:rsidRDefault="004449D0" w:rsidP="008759DA">
            <w:pPr>
              <w:spacing w:before="0" w:after="0" w:line="240" w:lineRule="auto"/>
              <w:rPr>
                <w:rFonts w:cs="Arial"/>
                <w:szCs w:val="20"/>
              </w:rPr>
            </w:pPr>
            <w:r w:rsidRPr="00BB1696">
              <w:rPr>
                <w:rFonts w:cs="Arial"/>
                <w:szCs w:val="20"/>
              </w:rPr>
              <w:t xml:space="preserve">Croydon </w:t>
            </w:r>
          </w:p>
        </w:tc>
      </w:tr>
      <w:tr w:rsidR="004449D0" w14:paraId="7E939AEA" w14:textId="77777777" w:rsidTr="008759DA">
        <w:trPr>
          <w:cantSplit/>
        </w:trPr>
        <w:tc>
          <w:tcPr>
            <w:tcW w:w="967" w:type="pct"/>
            <w:vAlign w:val="bottom"/>
          </w:tcPr>
          <w:p w14:paraId="7E7BBD2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6C150CA9" w14:textId="77777777" w:rsidR="004449D0" w:rsidRPr="00BB1696" w:rsidRDefault="004449D0" w:rsidP="008759DA">
            <w:pPr>
              <w:spacing w:before="0" w:after="0" w:line="240" w:lineRule="auto"/>
              <w:rPr>
                <w:rFonts w:cs="Arial"/>
                <w:szCs w:val="20"/>
              </w:rPr>
            </w:pPr>
            <w:r w:rsidRPr="00BB1696">
              <w:rPr>
                <w:rFonts w:cs="Arial"/>
                <w:szCs w:val="20"/>
              </w:rPr>
              <w:t xml:space="preserve">Etheridge </w:t>
            </w:r>
          </w:p>
        </w:tc>
      </w:tr>
      <w:tr w:rsidR="004449D0" w14:paraId="775D0375" w14:textId="77777777" w:rsidTr="00F13D0D">
        <w:trPr>
          <w:cantSplit/>
        </w:trPr>
        <w:tc>
          <w:tcPr>
            <w:tcW w:w="967" w:type="pct"/>
            <w:vAlign w:val="bottom"/>
          </w:tcPr>
          <w:p w14:paraId="7FAAF605"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5CAD1720" w14:textId="77777777" w:rsidR="004449D0" w:rsidRPr="00BB1696" w:rsidRDefault="004449D0" w:rsidP="008759DA">
            <w:pPr>
              <w:spacing w:before="0" w:after="0" w:line="240" w:lineRule="auto"/>
              <w:rPr>
                <w:rFonts w:cs="Arial"/>
                <w:szCs w:val="20"/>
              </w:rPr>
            </w:pPr>
            <w:r w:rsidRPr="00BB1696">
              <w:rPr>
                <w:rFonts w:cs="Arial"/>
                <w:szCs w:val="20"/>
              </w:rPr>
              <w:t>Flinders  (Qld)</w:t>
            </w:r>
          </w:p>
        </w:tc>
      </w:tr>
      <w:tr w:rsidR="004449D0" w14:paraId="4D627DC7" w14:textId="77777777" w:rsidTr="00F13D0D">
        <w:trPr>
          <w:cantSplit/>
        </w:trPr>
        <w:tc>
          <w:tcPr>
            <w:tcW w:w="967" w:type="pct"/>
            <w:vAlign w:val="bottom"/>
          </w:tcPr>
          <w:p w14:paraId="465AA1BB"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1DFB5116" w14:textId="77777777" w:rsidR="004449D0" w:rsidRPr="00BB1696" w:rsidRDefault="004449D0" w:rsidP="008759DA">
            <w:pPr>
              <w:spacing w:before="0" w:after="0" w:line="240" w:lineRule="auto"/>
              <w:rPr>
                <w:rFonts w:cs="Arial"/>
                <w:szCs w:val="20"/>
              </w:rPr>
            </w:pPr>
            <w:r w:rsidRPr="00BB1696">
              <w:rPr>
                <w:rFonts w:cs="Arial"/>
                <w:szCs w:val="20"/>
              </w:rPr>
              <w:t xml:space="preserve">Fraser Coast </w:t>
            </w:r>
          </w:p>
        </w:tc>
      </w:tr>
      <w:tr w:rsidR="004449D0" w14:paraId="3E9B78C9" w14:textId="77777777" w:rsidTr="008759DA">
        <w:trPr>
          <w:cantSplit/>
        </w:trPr>
        <w:tc>
          <w:tcPr>
            <w:tcW w:w="967" w:type="pct"/>
            <w:vAlign w:val="bottom"/>
          </w:tcPr>
          <w:p w14:paraId="56800B64"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0941DBD7" w14:textId="77777777" w:rsidR="004449D0" w:rsidRPr="00BB1696" w:rsidRDefault="004449D0" w:rsidP="008759DA">
            <w:pPr>
              <w:spacing w:before="0" w:after="0" w:line="240" w:lineRule="auto"/>
              <w:rPr>
                <w:rFonts w:cs="Arial"/>
                <w:szCs w:val="20"/>
              </w:rPr>
            </w:pPr>
            <w:r w:rsidRPr="00BB1696">
              <w:rPr>
                <w:rFonts w:cs="Arial"/>
                <w:szCs w:val="20"/>
              </w:rPr>
              <w:t xml:space="preserve">Gladstone </w:t>
            </w:r>
          </w:p>
        </w:tc>
      </w:tr>
      <w:tr w:rsidR="004449D0" w14:paraId="3CA283B8" w14:textId="77777777" w:rsidTr="008759DA">
        <w:trPr>
          <w:cantSplit/>
        </w:trPr>
        <w:tc>
          <w:tcPr>
            <w:tcW w:w="967" w:type="pct"/>
            <w:vAlign w:val="bottom"/>
          </w:tcPr>
          <w:p w14:paraId="6D757AE7"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4EF8DF7C" w14:textId="77777777" w:rsidR="004449D0" w:rsidRPr="00BB1696" w:rsidRDefault="004449D0" w:rsidP="008759DA">
            <w:pPr>
              <w:spacing w:before="0" w:after="0" w:line="240" w:lineRule="auto"/>
              <w:rPr>
                <w:rFonts w:cs="Arial"/>
                <w:szCs w:val="20"/>
              </w:rPr>
            </w:pPr>
            <w:r w:rsidRPr="00BB1696">
              <w:rPr>
                <w:rFonts w:cs="Arial"/>
                <w:szCs w:val="20"/>
              </w:rPr>
              <w:t xml:space="preserve">Goondiwindi </w:t>
            </w:r>
          </w:p>
        </w:tc>
      </w:tr>
      <w:tr w:rsidR="004449D0" w14:paraId="015E5D4C" w14:textId="77777777" w:rsidTr="008759DA">
        <w:trPr>
          <w:cantSplit/>
        </w:trPr>
        <w:tc>
          <w:tcPr>
            <w:tcW w:w="967" w:type="pct"/>
            <w:vAlign w:val="bottom"/>
          </w:tcPr>
          <w:p w14:paraId="41A4045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4C480115" w14:textId="77777777" w:rsidR="004449D0" w:rsidRPr="00BB1696" w:rsidRDefault="004449D0" w:rsidP="008759DA">
            <w:pPr>
              <w:spacing w:before="0" w:after="0" w:line="240" w:lineRule="auto"/>
              <w:rPr>
                <w:rFonts w:cs="Arial"/>
                <w:szCs w:val="20"/>
              </w:rPr>
            </w:pPr>
            <w:r w:rsidRPr="00BB1696">
              <w:rPr>
                <w:rFonts w:cs="Arial"/>
                <w:szCs w:val="20"/>
              </w:rPr>
              <w:t xml:space="preserve">Gympie </w:t>
            </w:r>
          </w:p>
        </w:tc>
      </w:tr>
      <w:tr w:rsidR="004449D0" w14:paraId="107247AE" w14:textId="77777777" w:rsidTr="00F13D0D">
        <w:trPr>
          <w:cantSplit/>
        </w:trPr>
        <w:tc>
          <w:tcPr>
            <w:tcW w:w="967" w:type="pct"/>
            <w:vAlign w:val="bottom"/>
          </w:tcPr>
          <w:p w14:paraId="1C2DD7D8"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25BE4BE5" w14:textId="77777777" w:rsidR="004449D0" w:rsidRPr="00BB1696" w:rsidRDefault="004449D0" w:rsidP="008759DA">
            <w:pPr>
              <w:spacing w:before="0" w:after="0" w:line="240" w:lineRule="auto"/>
              <w:rPr>
                <w:rFonts w:cs="Arial"/>
                <w:szCs w:val="20"/>
              </w:rPr>
            </w:pPr>
            <w:r w:rsidRPr="00BB1696">
              <w:rPr>
                <w:rFonts w:cs="Arial"/>
                <w:szCs w:val="20"/>
              </w:rPr>
              <w:t xml:space="preserve">Hinchinbrook </w:t>
            </w:r>
          </w:p>
        </w:tc>
      </w:tr>
      <w:tr w:rsidR="004449D0" w14:paraId="27A9E8CA" w14:textId="77777777" w:rsidTr="008759DA">
        <w:trPr>
          <w:cantSplit/>
        </w:trPr>
        <w:tc>
          <w:tcPr>
            <w:tcW w:w="967" w:type="pct"/>
            <w:vAlign w:val="bottom"/>
          </w:tcPr>
          <w:p w14:paraId="0B3491E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7ACD0E48" w14:textId="77777777" w:rsidR="004449D0" w:rsidRPr="00BB1696" w:rsidRDefault="004449D0" w:rsidP="008759DA">
            <w:pPr>
              <w:spacing w:before="0" w:after="0" w:line="240" w:lineRule="auto"/>
              <w:rPr>
                <w:rFonts w:cs="Arial"/>
                <w:szCs w:val="20"/>
              </w:rPr>
            </w:pPr>
            <w:r w:rsidRPr="00BB1696">
              <w:rPr>
                <w:rFonts w:cs="Arial"/>
                <w:szCs w:val="20"/>
              </w:rPr>
              <w:t xml:space="preserve">Ipswich </w:t>
            </w:r>
          </w:p>
        </w:tc>
      </w:tr>
      <w:tr w:rsidR="004449D0" w14:paraId="79C6F126" w14:textId="77777777" w:rsidTr="008759DA">
        <w:trPr>
          <w:cantSplit/>
        </w:trPr>
        <w:tc>
          <w:tcPr>
            <w:tcW w:w="967" w:type="pct"/>
            <w:vAlign w:val="bottom"/>
          </w:tcPr>
          <w:p w14:paraId="3C545C95"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0B7099BF" w14:textId="77777777" w:rsidR="004449D0" w:rsidRPr="00BB1696" w:rsidRDefault="004449D0" w:rsidP="008759DA">
            <w:pPr>
              <w:spacing w:before="0" w:after="0" w:line="240" w:lineRule="auto"/>
              <w:rPr>
                <w:rFonts w:cs="Arial"/>
                <w:szCs w:val="20"/>
              </w:rPr>
            </w:pPr>
            <w:r w:rsidRPr="00BB1696">
              <w:rPr>
                <w:rFonts w:cs="Arial"/>
                <w:szCs w:val="20"/>
              </w:rPr>
              <w:t xml:space="preserve">Isaac </w:t>
            </w:r>
          </w:p>
        </w:tc>
      </w:tr>
      <w:tr w:rsidR="004449D0" w14:paraId="2C5803CD" w14:textId="77777777" w:rsidTr="008759DA">
        <w:trPr>
          <w:cantSplit/>
        </w:trPr>
        <w:tc>
          <w:tcPr>
            <w:tcW w:w="967" w:type="pct"/>
            <w:vAlign w:val="bottom"/>
          </w:tcPr>
          <w:p w14:paraId="601E4AE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052D0CFD" w14:textId="77777777" w:rsidR="004449D0" w:rsidRPr="00BB1696" w:rsidRDefault="004449D0" w:rsidP="008759DA">
            <w:pPr>
              <w:spacing w:before="0" w:after="0" w:line="240" w:lineRule="auto"/>
              <w:rPr>
                <w:rFonts w:cs="Arial"/>
                <w:szCs w:val="20"/>
              </w:rPr>
            </w:pPr>
            <w:r w:rsidRPr="00BB1696">
              <w:rPr>
                <w:rFonts w:cs="Arial"/>
                <w:szCs w:val="20"/>
              </w:rPr>
              <w:t xml:space="preserve">Livingstone </w:t>
            </w:r>
          </w:p>
        </w:tc>
      </w:tr>
      <w:tr w:rsidR="004449D0" w14:paraId="69C2FEB7" w14:textId="77777777" w:rsidTr="008759DA">
        <w:trPr>
          <w:cantSplit/>
        </w:trPr>
        <w:tc>
          <w:tcPr>
            <w:tcW w:w="967" w:type="pct"/>
            <w:vAlign w:val="bottom"/>
          </w:tcPr>
          <w:p w14:paraId="4796AAA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7A1DF167" w14:textId="77777777" w:rsidR="004449D0" w:rsidRPr="00BB1696" w:rsidRDefault="004449D0" w:rsidP="008759DA">
            <w:pPr>
              <w:spacing w:before="0" w:after="0" w:line="240" w:lineRule="auto"/>
              <w:rPr>
                <w:rFonts w:cs="Arial"/>
                <w:szCs w:val="20"/>
              </w:rPr>
            </w:pPr>
            <w:r w:rsidRPr="00BB1696">
              <w:rPr>
                <w:rFonts w:cs="Arial"/>
                <w:szCs w:val="20"/>
              </w:rPr>
              <w:t xml:space="preserve">Mackay </w:t>
            </w:r>
          </w:p>
        </w:tc>
      </w:tr>
      <w:tr w:rsidR="004449D0" w14:paraId="3204926D" w14:textId="77777777" w:rsidTr="00F13D0D">
        <w:trPr>
          <w:cantSplit/>
        </w:trPr>
        <w:tc>
          <w:tcPr>
            <w:tcW w:w="967" w:type="pct"/>
            <w:vAlign w:val="bottom"/>
          </w:tcPr>
          <w:p w14:paraId="78B2ADE2"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79C5BD85" w14:textId="77777777" w:rsidR="004449D0" w:rsidRPr="00BB1696" w:rsidRDefault="004449D0" w:rsidP="008759DA">
            <w:pPr>
              <w:spacing w:before="0" w:after="0" w:line="240" w:lineRule="auto"/>
              <w:rPr>
                <w:rFonts w:cs="Arial"/>
                <w:szCs w:val="20"/>
              </w:rPr>
            </w:pPr>
            <w:r w:rsidRPr="00BB1696">
              <w:rPr>
                <w:rFonts w:cs="Arial"/>
                <w:szCs w:val="20"/>
              </w:rPr>
              <w:t xml:space="preserve">Maranoa </w:t>
            </w:r>
          </w:p>
        </w:tc>
      </w:tr>
      <w:tr w:rsidR="004449D0" w14:paraId="13443574" w14:textId="77777777" w:rsidTr="008759DA">
        <w:trPr>
          <w:cantSplit/>
        </w:trPr>
        <w:tc>
          <w:tcPr>
            <w:tcW w:w="967" w:type="pct"/>
            <w:vAlign w:val="bottom"/>
          </w:tcPr>
          <w:p w14:paraId="747223DB"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59D6749B" w14:textId="77777777" w:rsidR="004449D0" w:rsidRPr="00BB1696" w:rsidRDefault="004449D0" w:rsidP="008759DA">
            <w:pPr>
              <w:spacing w:before="0" w:after="0" w:line="240" w:lineRule="auto"/>
              <w:rPr>
                <w:rFonts w:cs="Arial"/>
                <w:szCs w:val="20"/>
              </w:rPr>
            </w:pPr>
            <w:r w:rsidRPr="00BB1696">
              <w:rPr>
                <w:rFonts w:cs="Arial"/>
                <w:szCs w:val="20"/>
              </w:rPr>
              <w:t xml:space="preserve">Moreton Bay </w:t>
            </w:r>
          </w:p>
        </w:tc>
      </w:tr>
      <w:tr w:rsidR="004449D0" w14:paraId="1AF6BD0C" w14:textId="77777777" w:rsidTr="00F13D0D">
        <w:trPr>
          <w:cantSplit/>
        </w:trPr>
        <w:tc>
          <w:tcPr>
            <w:tcW w:w="967" w:type="pct"/>
            <w:vAlign w:val="bottom"/>
          </w:tcPr>
          <w:p w14:paraId="3AC36022"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744BCCA5" w14:textId="77777777" w:rsidR="004449D0" w:rsidRPr="00BB1696" w:rsidRDefault="004449D0" w:rsidP="008759DA">
            <w:pPr>
              <w:spacing w:before="0" w:after="0" w:line="240" w:lineRule="auto"/>
              <w:rPr>
                <w:rFonts w:cs="Arial"/>
                <w:szCs w:val="20"/>
              </w:rPr>
            </w:pPr>
            <w:r w:rsidRPr="00BB1696">
              <w:rPr>
                <w:rFonts w:cs="Arial"/>
                <w:szCs w:val="20"/>
              </w:rPr>
              <w:t xml:space="preserve">Mount Isa </w:t>
            </w:r>
          </w:p>
        </w:tc>
      </w:tr>
      <w:tr w:rsidR="004449D0" w14:paraId="1FEE5E66" w14:textId="77777777" w:rsidTr="008759DA">
        <w:trPr>
          <w:cantSplit/>
        </w:trPr>
        <w:tc>
          <w:tcPr>
            <w:tcW w:w="967" w:type="pct"/>
            <w:vAlign w:val="bottom"/>
          </w:tcPr>
          <w:p w14:paraId="06BF267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6E326F8D" w14:textId="77777777" w:rsidR="004449D0" w:rsidRPr="00BB1696" w:rsidRDefault="004449D0" w:rsidP="008759DA">
            <w:pPr>
              <w:spacing w:before="0" w:after="0" w:line="240" w:lineRule="auto"/>
              <w:rPr>
                <w:rFonts w:cs="Arial"/>
                <w:szCs w:val="20"/>
              </w:rPr>
            </w:pPr>
            <w:r w:rsidRPr="00BB1696">
              <w:rPr>
                <w:rFonts w:cs="Arial"/>
                <w:szCs w:val="20"/>
              </w:rPr>
              <w:t xml:space="preserve">Noosa </w:t>
            </w:r>
          </w:p>
        </w:tc>
      </w:tr>
      <w:tr w:rsidR="004449D0" w14:paraId="7743F801" w14:textId="77777777" w:rsidTr="00F13D0D">
        <w:trPr>
          <w:cantSplit/>
        </w:trPr>
        <w:tc>
          <w:tcPr>
            <w:tcW w:w="967" w:type="pct"/>
            <w:vAlign w:val="bottom"/>
          </w:tcPr>
          <w:p w14:paraId="16A8315E"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4D7AB379" w14:textId="77777777" w:rsidR="004449D0" w:rsidRPr="00BB1696" w:rsidRDefault="004449D0" w:rsidP="008759DA">
            <w:pPr>
              <w:spacing w:before="0" w:after="0" w:line="240" w:lineRule="auto"/>
              <w:rPr>
                <w:rFonts w:cs="Arial"/>
                <w:szCs w:val="20"/>
              </w:rPr>
            </w:pPr>
            <w:r w:rsidRPr="00BB1696">
              <w:rPr>
                <w:rFonts w:cs="Arial"/>
                <w:szCs w:val="20"/>
              </w:rPr>
              <w:t xml:space="preserve">North Burnett </w:t>
            </w:r>
          </w:p>
        </w:tc>
      </w:tr>
      <w:tr w:rsidR="004449D0" w14:paraId="4FED4C20" w14:textId="77777777" w:rsidTr="008759DA">
        <w:trPr>
          <w:cantSplit/>
        </w:trPr>
        <w:tc>
          <w:tcPr>
            <w:tcW w:w="967" w:type="pct"/>
            <w:vAlign w:val="bottom"/>
          </w:tcPr>
          <w:p w14:paraId="058E3068"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3AE3CAF1" w14:textId="77777777" w:rsidR="004449D0" w:rsidRPr="00BB1696" w:rsidRDefault="004449D0" w:rsidP="008759DA">
            <w:pPr>
              <w:spacing w:before="0" w:after="0" w:line="240" w:lineRule="auto"/>
              <w:rPr>
                <w:rFonts w:cs="Arial"/>
                <w:szCs w:val="20"/>
              </w:rPr>
            </w:pPr>
            <w:r w:rsidRPr="00BB1696">
              <w:rPr>
                <w:rFonts w:cs="Arial"/>
                <w:szCs w:val="20"/>
              </w:rPr>
              <w:t xml:space="preserve">Redland </w:t>
            </w:r>
          </w:p>
        </w:tc>
      </w:tr>
      <w:tr w:rsidR="004449D0" w14:paraId="694EA6A9" w14:textId="77777777" w:rsidTr="00F13D0D">
        <w:trPr>
          <w:cantSplit/>
        </w:trPr>
        <w:tc>
          <w:tcPr>
            <w:tcW w:w="967" w:type="pct"/>
            <w:vAlign w:val="bottom"/>
          </w:tcPr>
          <w:p w14:paraId="5D8E59E4"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391B59BE" w14:textId="77777777" w:rsidR="004449D0" w:rsidRPr="00BB1696" w:rsidRDefault="004449D0" w:rsidP="008759DA">
            <w:pPr>
              <w:spacing w:before="0" w:after="0" w:line="240" w:lineRule="auto"/>
              <w:rPr>
                <w:rFonts w:cs="Arial"/>
                <w:szCs w:val="20"/>
              </w:rPr>
            </w:pPr>
            <w:r w:rsidRPr="00BB1696">
              <w:rPr>
                <w:rFonts w:cs="Arial"/>
                <w:szCs w:val="20"/>
              </w:rPr>
              <w:t xml:space="preserve">Rockhampton </w:t>
            </w:r>
          </w:p>
        </w:tc>
      </w:tr>
      <w:tr w:rsidR="004449D0" w14:paraId="5A3D27AC" w14:textId="77777777" w:rsidTr="00F13D0D">
        <w:trPr>
          <w:cantSplit/>
        </w:trPr>
        <w:tc>
          <w:tcPr>
            <w:tcW w:w="967" w:type="pct"/>
            <w:vAlign w:val="bottom"/>
          </w:tcPr>
          <w:p w14:paraId="095C9D08"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4100E425" w14:textId="77777777" w:rsidR="004449D0" w:rsidRPr="00BB1696" w:rsidRDefault="004449D0" w:rsidP="008759DA">
            <w:pPr>
              <w:spacing w:before="0" w:after="0" w:line="240" w:lineRule="auto"/>
              <w:rPr>
                <w:rFonts w:cs="Arial"/>
                <w:szCs w:val="20"/>
              </w:rPr>
            </w:pPr>
            <w:r w:rsidRPr="00BB1696">
              <w:rPr>
                <w:rFonts w:cs="Arial"/>
                <w:szCs w:val="20"/>
              </w:rPr>
              <w:t xml:space="preserve">Scenic Rim </w:t>
            </w:r>
          </w:p>
        </w:tc>
      </w:tr>
      <w:tr w:rsidR="004449D0" w14:paraId="7D69FA81" w14:textId="77777777" w:rsidTr="00F13D0D">
        <w:trPr>
          <w:cantSplit/>
        </w:trPr>
        <w:tc>
          <w:tcPr>
            <w:tcW w:w="967" w:type="pct"/>
            <w:vAlign w:val="bottom"/>
          </w:tcPr>
          <w:p w14:paraId="7727CF37"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4D457A19" w14:textId="77777777" w:rsidR="004449D0" w:rsidRPr="00BB1696" w:rsidRDefault="004449D0" w:rsidP="008759DA">
            <w:pPr>
              <w:spacing w:before="0" w:after="0" w:line="240" w:lineRule="auto"/>
              <w:rPr>
                <w:rFonts w:cs="Arial"/>
                <w:szCs w:val="20"/>
              </w:rPr>
            </w:pPr>
            <w:r w:rsidRPr="00BB1696">
              <w:rPr>
                <w:rFonts w:cs="Arial"/>
                <w:szCs w:val="20"/>
              </w:rPr>
              <w:t xml:space="preserve">Somerset </w:t>
            </w:r>
          </w:p>
        </w:tc>
      </w:tr>
      <w:tr w:rsidR="004449D0" w14:paraId="67521C20" w14:textId="77777777" w:rsidTr="00F13D0D">
        <w:trPr>
          <w:cantSplit/>
        </w:trPr>
        <w:tc>
          <w:tcPr>
            <w:tcW w:w="967" w:type="pct"/>
            <w:vAlign w:val="bottom"/>
          </w:tcPr>
          <w:p w14:paraId="65BC1681"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7BB84593" w14:textId="77777777" w:rsidR="004449D0" w:rsidRPr="00BB1696" w:rsidRDefault="004449D0" w:rsidP="008759DA">
            <w:pPr>
              <w:spacing w:before="0" w:after="0" w:line="240" w:lineRule="auto"/>
              <w:rPr>
                <w:rFonts w:cs="Arial"/>
                <w:szCs w:val="20"/>
              </w:rPr>
            </w:pPr>
            <w:r w:rsidRPr="00BB1696">
              <w:rPr>
                <w:rFonts w:cs="Arial"/>
                <w:szCs w:val="20"/>
              </w:rPr>
              <w:t xml:space="preserve">South Burnett </w:t>
            </w:r>
          </w:p>
        </w:tc>
      </w:tr>
      <w:tr w:rsidR="004449D0" w14:paraId="01515BF1" w14:textId="77777777" w:rsidTr="008759DA">
        <w:trPr>
          <w:cantSplit/>
        </w:trPr>
        <w:tc>
          <w:tcPr>
            <w:tcW w:w="967" w:type="pct"/>
            <w:vAlign w:val="bottom"/>
          </w:tcPr>
          <w:p w14:paraId="540DDE0D"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330C7E2D" w14:textId="77777777" w:rsidR="004449D0" w:rsidRPr="00BB1696" w:rsidRDefault="004449D0" w:rsidP="008759DA">
            <w:pPr>
              <w:spacing w:before="0" w:after="0" w:line="240" w:lineRule="auto"/>
              <w:rPr>
                <w:rFonts w:cs="Arial"/>
                <w:szCs w:val="20"/>
              </w:rPr>
            </w:pPr>
            <w:r w:rsidRPr="00BB1696">
              <w:rPr>
                <w:rFonts w:cs="Arial"/>
                <w:szCs w:val="20"/>
              </w:rPr>
              <w:t xml:space="preserve">Southern Downs </w:t>
            </w:r>
          </w:p>
        </w:tc>
      </w:tr>
      <w:tr w:rsidR="004449D0" w14:paraId="6CF837F4" w14:textId="77777777" w:rsidTr="008759DA">
        <w:trPr>
          <w:cantSplit/>
        </w:trPr>
        <w:tc>
          <w:tcPr>
            <w:tcW w:w="967" w:type="pct"/>
            <w:vAlign w:val="bottom"/>
          </w:tcPr>
          <w:p w14:paraId="2940ECF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3AD087D8" w14:textId="77777777" w:rsidR="004449D0" w:rsidRPr="00BB1696" w:rsidRDefault="004449D0" w:rsidP="008759DA">
            <w:pPr>
              <w:spacing w:before="0" w:after="0" w:line="240" w:lineRule="auto"/>
              <w:rPr>
                <w:rFonts w:cs="Arial"/>
                <w:szCs w:val="20"/>
              </w:rPr>
            </w:pPr>
            <w:r w:rsidRPr="00BB1696">
              <w:rPr>
                <w:rFonts w:cs="Arial"/>
                <w:szCs w:val="20"/>
              </w:rPr>
              <w:t xml:space="preserve">Sunshine Coast </w:t>
            </w:r>
          </w:p>
        </w:tc>
      </w:tr>
      <w:tr w:rsidR="004449D0" w14:paraId="2EEC987B" w14:textId="77777777" w:rsidTr="008759DA">
        <w:trPr>
          <w:cantSplit/>
        </w:trPr>
        <w:tc>
          <w:tcPr>
            <w:tcW w:w="967" w:type="pct"/>
            <w:vAlign w:val="bottom"/>
          </w:tcPr>
          <w:p w14:paraId="098782EE"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2EB69E88" w14:textId="77777777" w:rsidR="004449D0" w:rsidRPr="00BB1696" w:rsidRDefault="004449D0" w:rsidP="008759DA">
            <w:pPr>
              <w:spacing w:before="0" w:after="0" w:line="240" w:lineRule="auto"/>
              <w:rPr>
                <w:rFonts w:cs="Arial"/>
                <w:szCs w:val="20"/>
              </w:rPr>
            </w:pPr>
            <w:r w:rsidRPr="00BB1696">
              <w:rPr>
                <w:rFonts w:cs="Arial"/>
                <w:szCs w:val="20"/>
              </w:rPr>
              <w:t xml:space="preserve">Tablelands </w:t>
            </w:r>
          </w:p>
        </w:tc>
      </w:tr>
      <w:tr w:rsidR="004449D0" w14:paraId="77D1F21B" w14:textId="77777777" w:rsidTr="008759DA">
        <w:trPr>
          <w:cantSplit/>
        </w:trPr>
        <w:tc>
          <w:tcPr>
            <w:tcW w:w="967" w:type="pct"/>
            <w:vAlign w:val="bottom"/>
          </w:tcPr>
          <w:p w14:paraId="45A26EB1"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037D4523" w14:textId="77777777" w:rsidR="004449D0" w:rsidRPr="00BB1696" w:rsidRDefault="004449D0" w:rsidP="008759DA">
            <w:pPr>
              <w:spacing w:before="0" w:after="0" w:line="240" w:lineRule="auto"/>
              <w:rPr>
                <w:rFonts w:cs="Arial"/>
                <w:szCs w:val="20"/>
              </w:rPr>
            </w:pPr>
            <w:r w:rsidRPr="00BB1696">
              <w:rPr>
                <w:rFonts w:cs="Arial"/>
                <w:szCs w:val="20"/>
              </w:rPr>
              <w:t xml:space="preserve">Toowoomba </w:t>
            </w:r>
          </w:p>
        </w:tc>
      </w:tr>
      <w:tr w:rsidR="004449D0" w14:paraId="3D36E511" w14:textId="77777777" w:rsidTr="00F13D0D">
        <w:trPr>
          <w:cantSplit/>
        </w:trPr>
        <w:tc>
          <w:tcPr>
            <w:tcW w:w="967" w:type="pct"/>
            <w:vAlign w:val="bottom"/>
          </w:tcPr>
          <w:p w14:paraId="4C41DDF5" w14:textId="77777777" w:rsidR="004449D0" w:rsidRPr="00BB1696" w:rsidRDefault="004449D0" w:rsidP="008759DA">
            <w:pPr>
              <w:spacing w:before="0" w:after="0" w:line="240" w:lineRule="auto"/>
              <w:jc w:val="center"/>
              <w:rPr>
                <w:rFonts w:cs="Arial"/>
                <w:szCs w:val="20"/>
              </w:rPr>
            </w:pPr>
            <w:r w:rsidRPr="00F13D0D">
              <w:rPr>
                <w:color w:val="000000"/>
              </w:rPr>
              <w:t>QLD</w:t>
            </w:r>
          </w:p>
        </w:tc>
        <w:tc>
          <w:tcPr>
            <w:tcW w:w="4033" w:type="pct"/>
            <w:vAlign w:val="bottom"/>
          </w:tcPr>
          <w:p w14:paraId="15ECEC6E" w14:textId="77777777" w:rsidR="004449D0" w:rsidRPr="00BB1696" w:rsidRDefault="004449D0" w:rsidP="008759DA">
            <w:pPr>
              <w:spacing w:before="0" w:after="0" w:line="240" w:lineRule="auto"/>
              <w:rPr>
                <w:rFonts w:cs="Arial"/>
                <w:szCs w:val="20"/>
              </w:rPr>
            </w:pPr>
            <w:r w:rsidRPr="00BB1696">
              <w:rPr>
                <w:rFonts w:cs="Arial"/>
                <w:szCs w:val="20"/>
              </w:rPr>
              <w:t xml:space="preserve">Torres </w:t>
            </w:r>
          </w:p>
        </w:tc>
      </w:tr>
      <w:tr w:rsidR="004449D0" w14:paraId="2528B38E" w14:textId="77777777" w:rsidTr="008759DA">
        <w:trPr>
          <w:cantSplit/>
        </w:trPr>
        <w:tc>
          <w:tcPr>
            <w:tcW w:w="967" w:type="pct"/>
            <w:vAlign w:val="bottom"/>
          </w:tcPr>
          <w:p w14:paraId="7DFEA459"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2CF3EF1B" w14:textId="77777777" w:rsidR="004449D0" w:rsidRPr="00BB1696" w:rsidRDefault="004449D0" w:rsidP="008759DA">
            <w:pPr>
              <w:spacing w:before="0" w:after="0" w:line="240" w:lineRule="auto"/>
              <w:rPr>
                <w:rFonts w:cs="Arial"/>
                <w:szCs w:val="20"/>
              </w:rPr>
            </w:pPr>
            <w:r w:rsidRPr="00BB1696">
              <w:rPr>
                <w:rFonts w:cs="Arial"/>
                <w:szCs w:val="20"/>
              </w:rPr>
              <w:t xml:space="preserve">Townsville </w:t>
            </w:r>
          </w:p>
        </w:tc>
      </w:tr>
      <w:tr w:rsidR="004449D0" w14:paraId="78C7390D" w14:textId="77777777" w:rsidTr="008759DA">
        <w:trPr>
          <w:cantSplit/>
        </w:trPr>
        <w:tc>
          <w:tcPr>
            <w:tcW w:w="967" w:type="pct"/>
            <w:vAlign w:val="bottom"/>
          </w:tcPr>
          <w:p w14:paraId="257D12C6"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4A45F4A5" w14:textId="77777777" w:rsidR="004449D0" w:rsidRPr="00BB1696" w:rsidRDefault="004449D0" w:rsidP="008759DA">
            <w:pPr>
              <w:spacing w:before="0" w:after="0" w:line="240" w:lineRule="auto"/>
              <w:rPr>
                <w:rFonts w:cs="Arial"/>
                <w:szCs w:val="20"/>
              </w:rPr>
            </w:pPr>
            <w:r w:rsidRPr="00BB1696">
              <w:rPr>
                <w:rFonts w:cs="Arial"/>
                <w:szCs w:val="20"/>
              </w:rPr>
              <w:t xml:space="preserve">Western Downs </w:t>
            </w:r>
          </w:p>
        </w:tc>
      </w:tr>
      <w:tr w:rsidR="004449D0" w14:paraId="6791C5D2" w14:textId="77777777" w:rsidTr="008759DA">
        <w:trPr>
          <w:cantSplit/>
        </w:trPr>
        <w:tc>
          <w:tcPr>
            <w:tcW w:w="967" w:type="pct"/>
            <w:vAlign w:val="bottom"/>
          </w:tcPr>
          <w:p w14:paraId="0DE4A322"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QLD</w:t>
            </w:r>
          </w:p>
        </w:tc>
        <w:tc>
          <w:tcPr>
            <w:tcW w:w="4033" w:type="pct"/>
            <w:vAlign w:val="bottom"/>
          </w:tcPr>
          <w:p w14:paraId="17530920" w14:textId="77777777" w:rsidR="004449D0" w:rsidRPr="00BB1696" w:rsidRDefault="004449D0" w:rsidP="008759DA">
            <w:pPr>
              <w:spacing w:before="0" w:after="0" w:line="240" w:lineRule="auto"/>
              <w:rPr>
                <w:rFonts w:cs="Arial"/>
                <w:szCs w:val="20"/>
              </w:rPr>
            </w:pPr>
            <w:r w:rsidRPr="00BB1696">
              <w:rPr>
                <w:rFonts w:cs="Arial"/>
                <w:szCs w:val="20"/>
              </w:rPr>
              <w:t xml:space="preserve">Whitsunday </w:t>
            </w:r>
          </w:p>
        </w:tc>
      </w:tr>
      <w:tr w:rsidR="004449D0" w14:paraId="628394C5" w14:textId="77777777" w:rsidTr="00F13D0D">
        <w:trPr>
          <w:cantSplit/>
        </w:trPr>
        <w:tc>
          <w:tcPr>
            <w:tcW w:w="967" w:type="pct"/>
            <w:vAlign w:val="bottom"/>
          </w:tcPr>
          <w:p w14:paraId="5E5F0824" w14:textId="77777777" w:rsidR="004449D0" w:rsidRPr="00BB1696"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7EC83AC5" w14:textId="77777777" w:rsidR="004449D0" w:rsidRPr="00BB1696" w:rsidRDefault="004449D0" w:rsidP="008759DA">
            <w:pPr>
              <w:spacing w:before="0" w:after="0" w:line="240" w:lineRule="auto"/>
              <w:rPr>
                <w:rFonts w:cs="Arial"/>
                <w:szCs w:val="20"/>
              </w:rPr>
            </w:pPr>
            <w:r w:rsidRPr="00BB1696">
              <w:rPr>
                <w:rFonts w:cs="Arial"/>
                <w:szCs w:val="20"/>
              </w:rPr>
              <w:t xml:space="preserve">Ashburton </w:t>
            </w:r>
          </w:p>
        </w:tc>
      </w:tr>
      <w:tr w:rsidR="004449D0" w14:paraId="4F09FC61" w14:textId="77777777" w:rsidTr="008759DA">
        <w:trPr>
          <w:cantSplit/>
        </w:trPr>
        <w:tc>
          <w:tcPr>
            <w:tcW w:w="967" w:type="pct"/>
            <w:vAlign w:val="bottom"/>
          </w:tcPr>
          <w:p w14:paraId="6CEF377C" w14:textId="77777777" w:rsidR="004449D0" w:rsidRPr="00BB1696"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30307BCC" w14:textId="77777777" w:rsidR="004449D0" w:rsidRPr="00BB1696" w:rsidRDefault="004449D0" w:rsidP="008759DA">
            <w:pPr>
              <w:spacing w:before="0" w:after="0" w:line="240" w:lineRule="auto"/>
              <w:rPr>
                <w:rFonts w:cs="Arial"/>
                <w:szCs w:val="20"/>
              </w:rPr>
            </w:pPr>
            <w:r w:rsidRPr="00BB1696">
              <w:rPr>
                <w:rFonts w:cs="Arial"/>
                <w:szCs w:val="20"/>
              </w:rPr>
              <w:t xml:space="preserve">Broome </w:t>
            </w:r>
          </w:p>
        </w:tc>
      </w:tr>
      <w:tr w:rsidR="004449D0" w14:paraId="1F16C79F" w14:textId="77777777" w:rsidTr="00F13D0D">
        <w:trPr>
          <w:cantSplit/>
        </w:trPr>
        <w:tc>
          <w:tcPr>
            <w:tcW w:w="967" w:type="pct"/>
            <w:vAlign w:val="bottom"/>
          </w:tcPr>
          <w:p w14:paraId="4D23E2B7"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74BD5946"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Carnamah </w:t>
            </w:r>
          </w:p>
        </w:tc>
      </w:tr>
      <w:tr w:rsidR="004449D0" w14:paraId="14E1DAF6" w14:textId="77777777" w:rsidTr="00F13D0D">
        <w:trPr>
          <w:cantSplit/>
        </w:trPr>
        <w:tc>
          <w:tcPr>
            <w:tcW w:w="967" w:type="pct"/>
            <w:vAlign w:val="bottom"/>
          </w:tcPr>
          <w:p w14:paraId="47F4D589"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16B0BA25"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Carnarvon </w:t>
            </w:r>
          </w:p>
        </w:tc>
      </w:tr>
      <w:tr w:rsidR="004449D0" w14:paraId="1970E35D" w14:textId="77777777" w:rsidTr="008759DA">
        <w:trPr>
          <w:cantSplit/>
        </w:trPr>
        <w:tc>
          <w:tcPr>
            <w:tcW w:w="967" w:type="pct"/>
            <w:vAlign w:val="bottom"/>
          </w:tcPr>
          <w:p w14:paraId="3799C7B7" w14:textId="77777777" w:rsidR="004449D0" w:rsidRPr="00BB1696" w:rsidDel="004713FB"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218F81BD"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East Pilbara </w:t>
            </w:r>
          </w:p>
        </w:tc>
      </w:tr>
      <w:tr w:rsidR="004449D0" w14:paraId="6A92F3E4" w14:textId="77777777" w:rsidTr="008759DA">
        <w:trPr>
          <w:cantSplit/>
        </w:trPr>
        <w:tc>
          <w:tcPr>
            <w:tcW w:w="967" w:type="pct"/>
            <w:vAlign w:val="bottom"/>
          </w:tcPr>
          <w:p w14:paraId="1ACF2700" w14:textId="77777777" w:rsidR="004449D0" w:rsidRPr="00BB1696" w:rsidDel="004713FB"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1817F807"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Exmouth </w:t>
            </w:r>
          </w:p>
        </w:tc>
      </w:tr>
      <w:tr w:rsidR="004449D0" w14:paraId="36D2E721" w14:textId="77777777" w:rsidTr="008759DA">
        <w:trPr>
          <w:cantSplit/>
        </w:trPr>
        <w:tc>
          <w:tcPr>
            <w:tcW w:w="967" w:type="pct"/>
            <w:vAlign w:val="bottom"/>
          </w:tcPr>
          <w:p w14:paraId="22A35962" w14:textId="77777777" w:rsidR="004449D0" w:rsidRPr="00BB1696" w:rsidDel="004713FB"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6FA8B920"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Karratha </w:t>
            </w:r>
          </w:p>
        </w:tc>
      </w:tr>
      <w:tr w:rsidR="004449D0" w14:paraId="746E6A30" w14:textId="77777777" w:rsidTr="00F13D0D">
        <w:trPr>
          <w:cantSplit/>
        </w:trPr>
        <w:tc>
          <w:tcPr>
            <w:tcW w:w="967" w:type="pct"/>
            <w:vAlign w:val="bottom"/>
          </w:tcPr>
          <w:p w14:paraId="53F9A30C"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2AF0D6D5"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Mingenew </w:t>
            </w:r>
          </w:p>
        </w:tc>
      </w:tr>
      <w:tr w:rsidR="004449D0" w14:paraId="6C70E7F8" w14:textId="77777777" w:rsidTr="00F13D0D">
        <w:trPr>
          <w:cantSplit/>
        </w:trPr>
        <w:tc>
          <w:tcPr>
            <w:tcW w:w="967" w:type="pct"/>
            <w:vAlign w:val="bottom"/>
          </w:tcPr>
          <w:p w14:paraId="4AECB836"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7663C45C"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Moora </w:t>
            </w:r>
          </w:p>
        </w:tc>
      </w:tr>
      <w:tr w:rsidR="004449D0" w14:paraId="68D058C7" w14:textId="77777777" w:rsidTr="00F13D0D">
        <w:trPr>
          <w:cantSplit/>
        </w:trPr>
        <w:tc>
          <w:tcPr>
            <w:tcW w:w="967" w:type="pct"/>
            <w:vAlign w:val="bottom"/>
          </w:tcPr>
          <w:p w14:paraId="427FFA52"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42B304EA"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Morawa </w:t>
            </w:r>
          </w:p>
        </w:tc>
      </w:tr>
      <w:tr w:rsidR="004449D0" w14:paraId="7A0E3D69" w14:textId="77777777" w:rsidTr="00F13D0D">
        <w:trPr>
          <w:cantSplit/>
        </w:trPr>
        <w:tc>
          <w:tcPr>
            <w:tcW w:w="967" w:type="pct"/>
            <w:vAlign w:val="bottom"/>
          </w:tcPr>
          <w:p w14:paraId="1BEAA6FB"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1414B91D"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Perenjori </w:t>
            </w:r>
          </w:p>
        </w:tc>
      </w:tr>
      <w:tr w:rsidR="004449D0" w14:paraId="766E8EAA" w14:textId="77777777" w:rsidTr="008759DA">
        <w:trPr>
          <w:cantSplit/>
        </w:trPr>
        <w:tc>
          <w:tcPr>
            <w:tcW w:w="967" w:type="pct"/>
            <w:vAlign w:val="bottom"/>
          </w:tcPr>
          <w:p w14:paraId="0F56E7F9" w14:textId="77777777" w:rsidR="004449D0" w:rsidRPr="00BB1696" w:rsidDel="004713FB"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140DF4A1"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Port Hedland </w:t>
            </w:r>
          </w:p>
        </w:tc>
      </w:tr>
      <w:tr w:rsidR="004449D0" w14:paraId="4FF958BC" w14:textId="77777777" w:rsidTr="008759DA">
        <w:trPr>
          <w:cantSplit/>
        </w:trPr>
        <w:tc>
          <w:tcPr>
            <w:tcW w:w="967" w:type="pct"/>
            <w:vAlign w:val="bottom"/>
          </w:tcPr>
          <w:p w14:paraId="0A640938" w14:textId="77777777" w:rsidR="004449D0" w:rsidRPr="00BB1696" w:rsidDel="004713FB" w:rsidRDefault="004449D0" w:rsidP="008759DA">
            <w:pPr>
              <w:spacing w:before="0" w:after="0" w:line="240" w:lineRule="auto"/>
              <w:jc w:val="center"/>
              <w:rPr>
                <w:rFonts w:cs="Arial"/>
                <w:szCs w:val="20"/>
              </w:rPr>
            </w:pPr>
            <w:r w:rsidRPr="00BB1696">
              <w:rPr>
                <w:rFonts w:cs="Arial"/>
                <w:color w:val="000000"/>
                <w:szCs w:val="20"/>
              </w:rPr>
              <w:t>WA</w:t>
            </w:r>
          </w:p>
        </w:tc>
        <w:tc>
          <w:tcPr>
            <w:tcW w:w="4033" w:type="pct"/>
            <w:vAlign w:val="bottom"/>
          </w:tcPr>
          <w:p w14:paraId="3AC26DC1"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Shark Bay </w:t>
            </w:r>
          </w:p>
        </w:tc>
      </w:tr>
      <w:tr w:rsidR="004449D0" w14:paraId="5998B589" w14:textId="77777777" w:rsidTr="00F13D0D">
        <w:trPr>
          <w:cantSplit/>
        </w:trPr>
        <w:tc>
          <w:tcPr>
            <w:tcW w:w="967" w:type="pct"/>
            <w:vAlign w:val="bottom"/>
          </w:tcPr>
          <w:p w14:paraId="2BCDF30C" w14:textId="77777777" w:rsidR="004449D0" w:rsidRPr="00BB1696" w:rsidDel="004713FB" w:rsidRDefault="004449D0" w:rsidP="008759DA">
            <w:pPr>
              <w:spacing w:before="0" w:after="0" w:line="240" w:lineRule="auto"/>
              <w:jc w:val="center"/>
              <w:rPr>
                <w:rFonts w:cs="Arial"/>
                <w:szCs w:val="20"/>
              </w:rPr>
            </w:pPr>
            <w:r w:rsidRPr="00F13D0D">
              <w:rPr>
                <w:color w:val="000000"/>
              </w:rPr>
              <w:t>WA</w:t>
            </w:r>
          </w:p>
        </w:tc>
        <w:tc>
          <w:tcPr>
            <w:tcW w:w="4033" w:type="pct"/>
            <w:vAlign w:val="bottom"/>
          </w:tcPr>
          <w:p w14:paraId="16F1E988" w14:textId="77777777" w:rsidR="004449D0" w:rsidRPr="00BB1696" w:rsidDel="004713FB" w:rsidRDefault="004449D0" w:rsidP="008759DA">
            <w:pPr>
              <w:spacing w:before="0" w:after="0" w:line="240" w:lineRule="auto"/>
              <w:rPr>
                <w:rFonts w:cs="Arial"/>
                <w:szCs w:val="20"/>
              </w:rPr>
            </w:pPr>
            <w:r w:rsidRPr="00BB1696">
              <w:rPr>
                <w:rFonts w:cs="Arial"/>
                <w:szCs w:val="20"/>
              </w:rPr>
              <w:t xml:space="preserve">Three Springs </w:t>
            </w:r>
          </w:p>
        </w:tc>
      </w:tr>
    </w:tbl>
    <w:p w14:paraId="54DE326F" w14:textId="2B433E9F" w:rsidR="00A6675D" w:rsidRDefault="00A6675D" w:rsidP="00A6675D">
      <w:pPr>
        <w:rPr>
          <w:b/>
        </w:rPr>
      </w:pPr>
      <w:r w:rsidRPr="003C1DE8">
        <w:rPr>
          <w:b/>
        </w:rPr>
        <w:t>Table 3 – Flood Risk LGAs</w:t>
      </w:r>
    </w:p>
    <w:p w14:paraId="3801771C" w14:textId="56FE99B2" w:rsidR="003C1DE8" w:rsidRPr="003C1DE8" w:rsidRDefault="003C1DE8" w:rsidP="003C1DE8">
      <w:pPr>
        <w:pStyle w:val="ListNumber2"/>
        <w:numPr>
          <w:ilvl w:val="0"/>
          <w:numId w:val="0"/>
        </w:numPr>
      </w:pPr>
      <w:r>
        <w:t>Applications for projects that address flood risks in the selected LGAs</w:t>
      </w:r>
      <w:r w:rsidDel="00E966B7">
        <w:t xml:space="preserve"> </w:t>
      </w:r>
      <w:r>
        <w:t xml:space="preserve">identified in the table below </w:t>
      </w:r>
      <w:proofErr w:type="gramStart"/>
      <w:r>
        <w:t>will be awarded</w:t>
      </w:r>
      <w:proofErr w:type="gramEnd"/>
      <w:r>
        <w:t xml:space="preserve"> an additional </w:t>
      </w:r>
      <w:r w:rsidR="006F7360">
        <w:t>2</w:t>
      </w:r>
      <w:r>
        <w:t>0 points</w:t>
      </w:r>
      <w:r w:rsidR="00A6032D">
        <w:t xml:space="preserve"> (You can only receive a maximum of 20 additional points per application)</w:t>
      </w:r>
      <w:r>
        <w:t xml:space="preserve">. </w:t>
      </w:r>
    </w:p>
    <w:tbl>
      <w:tblPr>
        <w:tblStyle w:val="TableGrid"/>
        <w:tblW w:w="4994" w:type="pct"/>
        <w:tblLook w:val="04A0" w:firstRow="1" w:lastRow="0" w:firstColumn="1" w:lastColumn="0" w:noHBand="0" w:noVBand="1"/>
      </w:tblPr>
      <w:tblGrid>
        <w:gridCol w:w="1696"/>
        <w:gridCol w:w="7071"/>
      </w:tblGrid>
      <w:tr w:rsidR="004449D0" w14:paraId="3458E36A" w14:textId="77777777" w:rsidTr="008759DA">
        <w:trPr>
          <w:cantSplit/>
          <w:tblHeader/>
        </w:trPr>
        <w:tc>
          <w:tcPr>
            <w:tcW w:w="967" w:type="pct"/>
            <w:shd w:val="clear" w:color="auto" w:fill="1F497D" w:themeFill="text2"/>
          </w:tcPr>
          <w:p w14:paraId="37C952D4" w14:textId="77777777" w:rsidR="004449D0" w:rsidRPr="00F81FF1" w:rsidRDefault="004449D0" w:rsidP="008759DA">
            <w:pPr>
              <w:spacing w:before="0" w:after="0" w:line="240" w:lineRule="auto"/>
              <w:jc w:val="center"/>
              <w:rPr>
                <w:b/>
                <w:color w:val="FFFFFF" w:themeColor="background1"/>
              </w:rPr>
            </w:pPr>
            <w:r w:rsidRPr="00F81FF1">
              <w:rPr>
                <w:b/>
                <w:color w:val="FFFFFF" w:themeColor="background1"/>
              </w:rPr>
              <w:t>State</w:t>
            </w:r>
          </w:p>
        </w:tc>
        <w:tc>
          <w:tcPr>
            <w:tcW w:w="4033" w:type="pct"/>
            <w:shd w:val="clear" w:color="auto" w:fill="1F497D" w:themeFill="text2"/>
          </w:tcPr>
          <w:p w14:paraId="417B5AD8" w14:textId="77777777" w:rsidR="004449D0" w:rsidRPr="00F81FF1" w:rsidRDefault="004449D0" w:rsidP="008759DA">
            <w:pPr>
              <w:spacing w:before="0" w:after="0" w:line="240" w:lineRule="auto"/>
              <w:rPr>
                <w:b/>
                <w:color w:val="FFFFFF" w:themeColor="background1"/>
              </w:rPr>
            </w:pPr>
            <w:r w:rsidRPr="00F81FF1">
              <w:rPr>
                <w:b/>
                <w:color w:val="FFFFFF" w:themeColor="background1"/>
              </w:rPr>
              <w:t>LGA</w:t>
            </w:r>
          </w:p>
        </w:tc>
      </w:tr>
      <w:tr w:rsidR="004449D0" w14:paraId="76A7B47C" w14:textId="77777777" w:rsidTr="00F13D0D">
        <w:trPr>
          <w:cantSplit/>
        </w:trPr>
        <w:tc>
          <w:tcPr>
            <w:tcW w:w="967" w:type="pct"/>
            <w:vAlign w:val="bottom"/>
          </w:tcPr>
          <w:p w14:paraId="51193645"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4F43C9F6" w14:textId="77777777" w:rsidR="004449D0" w:rsidRDefault="004449D0" w:rsidP="008759DA">
            <w:pPr>
              <w:spacing w:before="0" w:after="0" w:line="240" w:lineRule="auto"/>
            </w:pPr>
            <w:r w:rsidRPr="00BB1696">
              <w:t xml:space="preserve">Albury </w:t>
            </w:r>
          </w:p>
        </w:tc>
      </w:tr>
      <w:tr w:rsidR="004449D0" w14:paraId="7A7AEB9E" w14:textId="77777777" w:rsidTr="00F13D0D">
        <w:trPr>
          <w:cantSplit/>
        </w:trPr>
        <w:tc>
          <w:tcPr>
            <w:tcW w:w="967" w:type="pct"/>
            <w:vAlign w:val="bottom"/>
          </w:tcPr>
          <w:p w14:paraId="1AC3FC40"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BB0D8D2" w14:textId="77777777" w:rsidR="004449D0" w:rsidRDefault="004449D0" w:rsidP="008759DA">
            <w:pPr>
              <w:spacing w:before="0" w:after="0" w:line="240" w:lineRule="auto"/>
            </w:pPr>
            <w:r w:rsidRPr="00BB1696">
              <w:t xml:space="preserve">Ballina </w:t>
            </w:r>
          </w:p>
        </w:tc>
      </w:tr>
      <w:tr w:rsidR="004449D0" w14:paraId="6C7FB488" w14:textId="77777777" w:rsidTr="00F13D0D">
        <w:trPr>
          <w:cantSplit/>
        </w:trPr>
        <w:tc>
          <w:tcPr>
            <w:tcW w:w="967" w:type="pct"/>
            <w:vAlign w:val="bottom"/>
          </w:tcPr>
          <w:p w14:paraId="58AE0C00"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280F42BA" w14:textId="77777777" w:rsidR="004449D0" w:rsidRDefault="004449D0" w:rsidP="008759DA">
            <w:pPr>
              <w:spacing w:before="0" w:after="0" w:line="240" w:lineRule="auto"/>
            </w:pPr>
            <w:r w:rsidRPr="00BB1696">
              <w:t xml:space="preserve">Bayside </w:t>
            </w:r>
          </w:p>
        </w:tc>
      </w:tr>
      <w:tr w:rsidR="004449D0" w14:paraId="35DC57A4" w14:textId="77777777" w:rsidTr="00F13D0D">
        <w:trPr>
          <w:cantSplit/>
        </w:trPr>
        <w:tc>
          <w:tcPr>
            <w:tcW w:w="967" w:type="pct"/>
            <w:vAlign w:val="bottom"/>
          </w:tcPr>
          <w:p w14:paraId="7A3DB2E0"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2C0423C0" w14:textId="77777777" w:rsidR="004449D0" w:rsidRDefault="004449D0" w:rsidP="008759DA">
            <w:pPr>
              <w:spacing w:before="0" w:after="0" w:line="240" w:lineRule="auto"/>
            </w:pPr>
            <w:r w:rsidRPr="00BB1696">
              <w:t xml:space="preserve">Byron </w:t>
            </w:r>
          </w:p>
        </w:tc>
      </w:tr>
      <w:tr w:rsidR="004449D0" w14:paraId="27C24764" w14:textId="77777777" w:rsidTr="00F13D0D">
        <w:trPr>
          <w:cantSplit/>
        </w:trPr>
        <w:tc>
          <w:tcPr>
            <w:tcW w:w="967" w:type="pct"/>
            <w:vAlign w:val="bottom"/>
          </w:tcPr>
          <w:p w14:paraId="611AEEB7"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144CEE6" w14:textId="77777777" w:rsidR="004449D0" w:rsidRDefault="004449D0" w:rsidP="008759DA">
            <w:pPr>
              <w:spacing w:before="0" w:after="0" w:line="240" w:lineRule="auto"/>
            </w:pPr>
            <w:r w:rsidRPr="00BB1696">
              <w:t>Central Coast  (NSW)</w:t>
            </w:r>
          </w:p>
        </w:tc>
      </w:tr>
      <w:tr w:rsidR="004449D0" w14:paraId="0047AF29" w14:textId="77777777" w:rsidTr="00F13D0D">
        <w:trPr>
          <w:cantSplit/>
        </w:trPr>
        <w:tc>
          <w:tcPr>
            <w:tcW w:w="967" w:type="pct"/>
            <w:vAlign w:val="bottom"/>
          </w:tcPr>
          <w:p w14:paraId="63398824"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3128AB7D" w14:textId="77777777" w:rsidR="004449D0" w:rsidRDefault="004449D0" w:rsidP="008759DA">
            <w:pPr>
              <w:spacing w:before="0" w:after="0" w:line="240" w:lineRule="auto"/>
            </w:pPr>
            <w:r w:rsidRPr="00BB1696">
              <w:t xml:space="preserve">Clarence Valley </w:t>
            </w:r>
          </w:p>
        </w:tc>
      </w:tr>
      <w:tr w:rsidR="004449D0" w14:paraId="0CE08174" w14:textId="77777777" w:rsidTr="008759DA">
        <w:trPr>
          <w:cantSplit/>
        </w:trPr>
        <w:tc>
          <w:tcPr>
            <w:tcW w:w="967" w:type="pct"/>
            <w:vAlign w:val="bottom"/>
          </w:tcPr>
          <w:p w14:paraId="591755B7"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F40328F" w14:textId="77777777" w:rsidR="004449D0" w:rsidRDefault="004449D0" w:rsidP="008759DA">
            <w:pPr>
              <w:spacing w:before="0" w:after="0" w:line="240" w:lineRule="auto"/>
            </w:pPr>
            <w:r w:rsidRPr="00BB1696">
              <w:t xml:space="preserve">Hawkesbury </w:t>
            </w:r>
          </w:p>
        </w:tc>
      </w:tr>
      <w:tr w:rsidR="004449D0" w14:paraId="6240BEEC" w14:textId="77777777" w:rsidTr="008759DA">
        <w:trPr>
          <w:cantSplit/>
        </w:trPr>
        <w:tc>
          <w:tcPr>
            <w:tcW w:w="967" w:type="pct"/>
            <w:vAlign w:val="bottom"/>
          </w:tcPr>
          <w:p w14:paraId="1BD2E907"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054279A1" w14:textId="77777777" w:rsidR="004449D0" w:rsidRDefault="004449D0" w:rsidP="008759DA">
            <w:pPr>
              <w:spacing w:before="0" w:after="0" w:line="240" w:lineRule="auto"/>
            </w:pPr>
            <w:r w:rsidRPr="00BB1696">
              <w:t xml:space="preserve">Kempsey </w:t>
            </w:r>
          </w:p>
        </w:tc>
      </w:tr>
      <w:tr w:rsidR="004449D0" w14:paraId="5C152541" w14:textId="77777777" w:rsidTr="00F13D0D">
        <w:trPr>
          <w:cantSplit/>
        </w:trPr>
        <w:tc>
          <w:tcPr>
            <w:tcW w:w="967" w:type="pct"/>
            <w:vAlign w:val="bottom"/>
          </w:tcPr>
          <w:p w14:paraId="68E94EBB"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597E4475" w14:textId="77777777" w:rsidR="004449D0" w:rsidRDefault="004449D0" w:rsidP="008759DA">
            <w:pPr>
              <w:spacing w:before="0" w:after="0" w:line="240" w:lineRule="auto"/>
            </w:pPr>
            <w:r w:rsidRPr="00BB1696">
              <w:t xml:space="preserve">Lake Macquarie </w:t>
            </w:r>
          </w:p>
        </w:tc>
      </w:tr>
      <w:tr w:rsidR="004449D0" w14:paraId="36E5C3AC" w14:textId="77777777" w:rsidTr="00F13D0D">
        <w:trPr>
          <w:cantSplit/>
        </w:trPr>
        <w:tc>
          <w:tcPr>
            <w:tcW w:w="967" w:type="pct"/>
            <w:vAlign w:val="bottom"/>
          </w:tcPr>
          <w:p w14:paraId="324305E8"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50466035" w14:textId="77777777" w:rsidR="004449D0" w:rsidRDefault="004449D0" w:rsidP="008759DA">
            <w:pPr>
              <w:spacing w:before="0" w:after="0" w:line="240" w:lineRule="auto"/>
            </w:pPr>
            <w:r w:rsidRPr="00BB1696">
              <w:t xml:space="preserve">Liverpool </w:t>
            </w:r>
          </w:p>
        </w:tc>
      </w:tr>
      <w:tr w:rsidR="004449D0" w14:paraId="34E31594" w14:textId="77777777" w:rsidTr="00F13D0D">
        <w:trPr>
          <w:cantSplit/>
        </w:trPr>
        <w:tc>
          <w:tcPr>
            <w:tcW w:w="967" w:type="pct"/>
            <w:vAlign w:val="bottom"/>
          </w:tcPr>
          <w:p w14:paraId="27905EF9"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89846DA" w14:textId="77777777" w:rsidR="004449D0" w:rsidRDefault="004449D0" w:rsidP="008759DA">
            <w:pPr>
              <w:spacing w:before="0" w:after="0" w:line="240" w:lineRule="auto"/>
            </w:pPr>
            <w:r w:rsidRPr="00BB1696">
              <w:t xml:space="preserve">Mid-Coast </w:t>
            </w:r>
          </w:p>
        </w:tc>
      </w:tr>
      <w:tr w:rsidR="004449D0" w14:paraId="59527040" w14:textId="77777777" w:rsidTr="00F13D0D">
        <w:trPr>
          <w:cantSplit/>
        </w:trPr>
        <w:tc>
          <w:tcPr>
            <w:tcW w:w="967" w:type="pct"/>
            <w:vAlign w:val="bottom"/>
          </w:tcPr>
          <w:p w14:paraId="06BF9653"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7EF6B388" w14:textId="77777777" w:rsidR="004449D0" w:rsidRDefault="004449D0" w:rsidP="008759DA">
            <w:pPr>
              <w:spacing w:before="0" w:after="0" w:line="240" w:lineRule="auto"/>
            </w:pPr>
            <w:r w:rsidRPr="00BB1696">
              <w:t xml:space="preserve">Northern Beaches </w:t>
            </w:r>
          </w:p>
        </w:tc>
      </w:tr>
      <w:tr w:rsidR="004449D0" w14:paraId="3DC58538" w14:textId="77777777" w:rsidTr="00F13D0D">
        <w:trPr>
          <w:cantSplit/>
        </w:trPr>
        <w:tc>
          <w:tcPr>
            <w:tcW w:w="967" w:type="pct"/>
            <w:vAlign w:val="bottom"/>
          </w:tcPr>
          <w:p w14:paraId="4AA92D3A"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5738EC13" w14:textId="77777777" w:rsidR="004449D0" w:rsidRDefault="004449D0" w:rsidP="008759DA">
            <w:pPr>
              <w:spacing w:before="0" w:after="0" w:line="240" w:lineRule="auto"/>
            </w:pPr>
            <w:r w:rsidRPr="00BB1696">
              <w:t xml:space="preserve">Parramatta </w:t>
            </w:r>
          </w:p>
        </w:tc>
      </w:tr>
      <w:tr w:rsidR="004449D0" w14:paraId="5594D224" w14:textId="77777777" w:rsidTr="008759DA">
        <w:trPr>
          <w:cantSplit/>
        </w:trPr>
        <w:tc>
          <w:tcPr>
            <w:tcW w:w="967" w:type="pct"/>
            <w:vAlign w:val="bottom"/>
          </w:tcPr>
          <w:p w14:paraId="5D9499E5"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28E0DD41" w14:textId="77777777" w:rsidR="004449D0" w:rsidRDefault="004449D0" w:rsidP="008759DA">
            <w:pPr>
              <w:spacing w:before="0" w:after="0" w:line="240" w:lineRule="auto"/>
            </w:pPr>
            <w:r w:rsidRPr="00BB1696">
              <w:t xml:space="preserve">Penrith </w:t>
            </w:r>
          </w:p>
        </w:tc>
      </w:tr>
      <w:tr w:rsidR="004449D0" w14:paraId="4B1C6723" w14:textId="77777777" w:rsidTr="00F13D0D">
        <w:trPr>
          <w:cantSplit/>
        </w:trPr>
        <w:tc>
          <w:tcPr>
            <w:tcW w:w="967" w:type="pct"/>
            <w:vAlign w:val="bottom"/>
          </w:tcPr>
          <w:p w14:paraId="494E8C83"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5716AD5" w14:textId="77777777" w:rsidR="004449D0" w:rsidRDefault="004449D0" w:rsidP="008759DA">
            <w:pPr>
              <w:spacing w:before="0" w:after="0" w:line="240" w:lineRule="auto"/>
            </w:pPr>
            <w:r w:rsidRPr="00BB1696">
              <w:t xml:space="preserve">Port Macquarie-Hastings </w:t>
            </w:r>
          </w:p>
        </w:tc>
      </w:tr>
      <w:tr w:rsidR="004449D0" w14:paraId="3583D613" w14:textId="77777777" w:rsidTr="00F13D0D">
        <w:trPr>
          <w:cantSplit/>
        </w:trPr>
        <w:tc>
          <w:tcPr>
            <w:tcW w:w="967" w:type="pct"/>
            <w:vAlign w:val="bottom"/>
          </w:tcPr>
          <w:p w14:paraId="1BAD89ED"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6B910543" w14:textId="77777777" w:rsidR="004449D0" w:rsidRDefault="004449D0" w:rsidP="008759DA">
            <w:pPr>
              <w:spacing w:before="0" w:after="0" w:line="240" w:lineRule="auto"/>
            </w:pPr>
            <w:r w:rsidRPr="00BB1696">
              <w:t xml:space="preserve">Richmond Valley </w:t>
            </w:r>
          </w:p>
        </w:tc>
      </w:tr>
      <w:tr w:rsidR="004449D0" w14:paraId="48A0124B" w14:textId="77777777" w:rsidTr="00F13D0D">
        <w:trPr>
          <w:cantSplit/>
        </w:trPr>
        <w:tc>
          <w:tcPr>
            <w:tcW w:w="967" w:type="pct"/>
            <w:vAlign w:val="bottom"/>
          </w:tcPr>
          <w:p w14:paraId="1DB85EC3"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451819BC" w14:textId="77777777" w:rsidR="004449D0" w:rsidRDefault="004449D0" w:rsidP="008759DA">
            <w:pPr>
              <w:spacing w:before="0" w:after="0" w:line="240" w:lineRule="auto"/>
            </w:pPr>
            <w:r w:rsidRPr="00BB1696">
              <w:t xml:space="preserve">Shoalhaven </w:t>
            </w:r>
          </w:p>
        </w:tc>
      </w:tr>
      <w:tr w:rsidR="004449D0" w14:paraId="532D235B" w14:textId="77777777" w:rsidTr="00F13D0D">
        <w:trPr>
          <w:cantSplit/>
        </w:trPr>
        <w:tc>
          <w:tcPr>
            <w:tcW w:w="967" w:type="pct"/>
            <w:vAlign w:val="bottom"/>
          </w:tcPr>
          <w:p w14:paraId="3FEAAEA6" w14:textId="77777777" w:rsidR="004449D0" w:rsidRPr="00BB1696" w:rsidRDefault="004449D0" w:rsidP="008759DA">
            <w:pPr>
              <w:spacing w:before="0" w:after="0" w:line="240" w:lineRule="auto"/>
              <w:jc w:val="center"/>
              <w:rPr>
                <w:rFonts w:cs="Arial"/>
                <w:szCs w:val="20"/>
              </w:rPr>
            </w:pPr>
            <w:r w:rsidRPr="00BB1696">
              <w:rPr>
                <w:rFonts w:cs="Arial"/>
                <w:szCs w:val="20"/>
              </w:rPr>
              <w:t>NSW</w:t>
            </w:r>
          </w:p>
        </w:tc>
        <w:tc>
          <w:tcPr>
            <w:tcW w:w="4033" w:type="pct"/>
            <w:vAlign w:val="bottom"/>
          </w:tcPr>
          <w:p w14:paraId="293AE342" w14:textId="77777777" w:rsidR="004449D0" w:rsidRDefault="004449D0" w:rsidP="008759DA">
            <w:pPr>
              <w:spacing w:before="0" w:after="0" w:line="240" w:lineRule="auto"/>
            </w:pPr>
            <w:r w:rsidRPr="00BB1696">
              <w:t xml:space="preserve">Wollongong </w:t>
            </w:r>
          </w:p>
        </w:tc>
      </w:tr>
      <w:tr w:rsidR="004449D0" w14:paraId="1B208C71" w14:textId="77777777" w:rsidTr="008759DA">
        <w:trPr>
          <w:cantSplit/>
        </w:trPr>
        <w:tc>
          <w:tcPr>
            <w:tcW w:w="967" w:type="pct"/>
            <w:vAlign w:val="bottom"/>
          </w:tcPr>
          <w:p w14:paraId="05B245BC" w14:textId="77777777" w:rsidR="004449D0" w:rsidRPr="00BB1696" w:rsidRDefault="004449D0" w:rsidP="008759DA">
            <w:pPr>
              <w:spacing w:before="0" w:after="0" w:line="240" w:lineRule="auto"/>
              <w:jc w:val="center"/>
              <w:rPr>
                <w:rFonts w:cs="Arial"/>
                <w:szCs w:val="20"/>
              </w:rPr>
            </w:pPr>
            <w:r w:rsidRPr="00BB1696">
              <w:rPr>
                <w:rFonts w:cs="Arial"/>
                <w:szCs w:val="20"/>
              </w:rPr>
              <w:t>NT</w:t>
            </w:r>
          </w:p>
        </w:tc>
        <w:tc>
          <w:tcPr>
            <w:tcW w:w="4033" w:type="pct"/>
            <w:vAlign w:val="bottom"/>
          </w:tcPr>
          <w:p w14:paraId="2329F173" w14:textId="77777777" w:rsidR="004449D0" w:rsidRDefault="004449D0" w:rsidP="008759DA">
            <w:pPr>
              <w:spacing w:before="0" w:after="0" w:line="240" w:lineRule="auto"/>
            </w:pPr>
            <w:r w:rsidRPr="00BB1696">
              <w:t xml:space="preserve">Barkly </w:t>
            </w:r>
          </w:p>
        </w:tc>
      </w:tr>
      <w:tr w:rsidR="004449D0" w14:paraId="7CD91CAA" w14:textId="77777777" w:rsidTr="008759DA">
        <w:trPr>
          <w:cantSplit/>
        </w:trPr>
        <w:tc>
          <w:tcPr>
            <w:tcW w:w="967" w:type="pct"/>
            <w:vAlign w:val="bottom"/>
          </w:tcPr>
          <w:p w14:paraId="4AB87F5A" w14:textId="77777777" w:rsidR="004449D0" w:rsidRPr="00BB1696" w:rsidRDefault="004449D0" w:rsidP="008759DA">
            <w:pPr>
              <w:spacing w:before="0" w:after="0" w:line="240" w:lineRule="auto"/>
              <w:jc w:val="center"/>
              <w:rPr>
                <w:rFonts w:cs="Arial"/>
                <w:szCs w:val="20"/>
              </w:rPr>
            </w:pPr>
            <w:r w:rsidRPr="00BB1696">
              <w:rPr>
                <w:rFonts w:cs="Arial"/>
                <w:szCs w:val="20"/>
              </w:rPr>
              <w:t>NT</w:t>
            </w:r>
          </w:p>
        </w:tc>
        <w:tc>
          <w:tcPr>
            <w:tcW w:w="4033" w:type="pct"/>
            <w:vAlign w:val="bottom"/>
          </w:tcPr>
          <w:p w14:paraId="22FA714B" w14:textId="77777777" w:rsidR="004449D0" w:rsidRDefault="004449D0" w:rsidP="008759DA">
            <w:pPr>
              <w:spacing w:before="0" w:after="0" w:line="240" w:lineRule="auto"/>
            </w:pPr>
            <w:r w:rsidRPr="00BB1696">
              <w:t xml:space="preserve">East Arnhem </w:t>
            </w:r>
          </w:p>
        </w:tc>
      </w:tr>
      <w:tr w:rsidR="004449D0" w14:paraId="6A3DFBD3" w14:textId="77777777" w:rsidTr="008759DA">
        <w:trPr>
          <w:cantSplit/>
        </w:trPr>
        <w:tc>
          <w:tcPr>
            <w:tcW w:w="967" w:type="pct"/>
            <w:vAlign w:val="bottom"/>
          </w:tcPr>
          <w:p w14:paraId="302D9E78" w14:textId="77777777" w:rsidR="004449D0" w:rsidRPr="00BB1696" w:rsidRDefault="004449D0" w:rsidP="008759DA">
            <w:pPr>
              <w:spacing w:before="0" w:after="0" w:line="240" w:lineRule="auto"/>
              <w:jc w:val="center"/>
              <w:rPr>
                <w:rFonts w:cs="Arial"/>
                <w:szCs w:val="20"/>
              </w:rPr>
            </w:pPr>
            <w:r w:rsidRPr="00BB1696">
              <w:rPr>
                <w:rFonts w:cs="Arial"/>
                <w:szCs w:val="20"/>
              </w:rPr>
              <w:t>NT</w:t>
            </w:r>
          </w:p>
        </w:tc>
        <w:tc>
          <w:tcPr>
            <w:tcW w:w="4033" w:type="pct"/>
            <w:vAlign w:val="bottom"/>
          </w:tcPr>
          <w:p w14:paraId="61252D0B" w14:textId="77777777" w:rsidR="004449D0" w:rsidRPr="00065A8B" w:rsidRDefault="004449D0" w:rsidP="008759DA">
            <w:pPr>
              <w:spacing w:before="0" w:after="0" w:line="240" w:lineRule="auto"/>
            </w:pPr>
            <w:r w:rsidRPr="00BB1696">
              <w:t xml:space="preserve">Roper Gulf </w:t>
            </w:r>
          </w:p>
        </w:tc>
      </w:tr>
      <w:tr w:rsidR="004449D0" w14:paraId="7F61F678" w14:textId="77777777" w:rsidTr="008759DA">
        <w:trPr>
          <w:cantSplit/>
        </w:trPr>
        <w:tc>
          <w:tcPr>
            <w:tcW w:w="967" w:type="pct"/>
            <w:vAlign w:val="bottom"/>
          </w:tcPr>
          <w:p w14:paraId="66F2BF04" w14:textId="77777777" w:rsidR="004449D0" w:rsidRPr="00BB1696" w:rsidRDefault="004449D0" w:rsidP="008759DA">
            <w:pPr>
              <w:spacing w:before="0" w:after="0" w:line="240" w:lineRule="auto"/>
              <w:jc w:val="center"/>
              <w:rPr>
                <w:rFonts w:cs="Arial"/>
                <w:szCs w:val="20"/>
              </w:rPr>
            </w:pPr>
            <w:r w:rsidRPr="00BB1696">
              <w:rPr>
                <w:rFonts w:cs="Arial"/>
                <w:szCs w:val="20"/>
              </w:rPr>
              <w:t>NT</w:t>
            </w:r>
          </w:p>
        </w:tc>
        <w:tc>
          <w:tcPr>
            <w:tcW w:w="4033" w:type="pct"/>
            <w:vAlign w:val="bottom"/>
          </w:tcPr>
          <w:p w14:paraId="0996F5D7" w14:textId="77777777" w:rsidR="004449D0" w:rsidRPr="00065A8B" w:rsidRDefault="004449D0" w:rsidP="008759DA">
            <w:pPr>
              <w:spacing w:before="0" w:after="0" w:line="240" w:lineRule="auto"/>
            </w:pPr>
            <w:r w:rsidRPr="00BB1696">
              <w:t xml:space="preserve">Victoria Daly </w:t>
            </w:r>
          </w:p>
        </w:tc>
      </w:tr>
      <w:tr w:rsidR="004449D0" w14:paraId="02195D19" w14:textId="77777777" w:rsidTr="00F13D0D">
        <w:trPr>
          <w:cantSplit/>
        </w:trPr>
        <w:tc>
          <w:tcPr>
            <w:tcW w:w="967" w:type="pct"/>
            <w:vAlign w:val="bottom"/>
          </w:tcPr>
          <w:p w14:paraId="6C3950BA"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6DDAE894" w14:textId="77777777" w:rsidR="004449D0" w:rsidRPr="00065A8B" w:rsidRDefault="004449D0" w:rsidP="008759DA">
            <w:pPr>
              <w:spacing w:before="0" w:after="0" w:line="240" w:lineRule="auto"/>
            </w:pPr>
            <w:r w:rsidRPr="00BB1696">
              <w:t xml:space="preserve">Brisbane </w:t>
            </w:r>
          </w:p>
        </w:tc>
      </w:tr>
      <w:tr w:rsidR="004449D0" w14:paraId="478CC705" w14:textId="77777777" w:rsidTr="00F13D0D">
        <w:trPr>
          <w:cantSplit/>
        </w:trPr>
        <w:tc>
          <w:tcPr>
            <w:tcW w:w="967" w:type="pct"/>
            <w:vAlign w:val="bottom"/>
          </w:tcPr>
          <w:p w14:paraId="221527C7"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20A3D0C5" w14:textId="77777777" w:rsidR="004449D0" w:rsidRPr="00065A8B" w:rsidRDefault="004449D0" w:rsidP="008759DA">
            <w:pPr>
              <w:spacing w:before="0" w:after="0" w:line="240" w:lineRule="auto"/>
            </w:pPr>
            <w:r w:rsidRPr="00BB1696">
              <w:t xml:space="preserve">Bundaberg </w:t>
            </w:r>
          </w:p>
        </w:tc>
      </w:tr>
      <w:tr w:rsidR="004449D0" w14:paraId="18024B7E" w14:textId="77777777" w:rsidTr="00F13D0D">
        <w:trPr>
          <w:cantSplit/>
        </w:trPr>
        <w:tc>
          <w:tcPr>
            <w:tcW w:w="967" w:type="pct"/>
            <w:vAlign w:val="bottom"/>
          </w:tcPr>
          <w:p w14:paraId="7EBBE028"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08935A77" w14:textId="77777777" w:rsidR="004449D0" w:rsidRPr="00065A8B" w:rsidRDefault="004449D0" w:rsidP="008759DA">
            <w:pPr>
              <w:spacing w:before="0" w:after="0" w:line="240" w:lineRule="auto"/>
            </w:pPr>
            <w:r w:rsidRPr="00BB1696">
              <w:t xml:space="preserve">Cairns </w:t>
            </w:r>
          </w:p>
        </w:tc>
      </w:tr>
      <w:tr w:rsidR="004449D0" w14:paraId="4E0AF68E" w14:textId="77777777" w:rsidTr="00F13D0D">
        <w:trPr>
          <w:cantSplit/>
        </w:trPr>
        <w:tc>
          <w:tcPr>
            <w:tcW w:w="967" w:type="pct"/>
            <w:vAlign w:val="bottom"/>
          </w:tcPr>
          <w:p w14:paraId="2B16E675"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2893ED7F" w14:textId="77777777" w:rsidR="004449D0" w:rsidRPr="00065A8B" w:rsidRDefault="004449D0" w:rsidP="008759DA">
            <w:pPr>
              <w:spacing w:before="0" w:after="0" w:line="240" w:lineRule="auto"/>
            </w:pPr>
            <w:r w:rsidRPr="00BB1696">
              <w:t xml:space="preserve">Cassowary Coast </w:t>
            </w:r>
          </w:p>
        </w:tc>
      </w:tr>
      <w:tr w:rsidR="004449D0" w14:paraId="41EEF685" w14:textId="77777777" w:rsidTr="008759DA">
        <w:trPr>
          <w:cantSplit/>
        </w:trPr>
        <w:tc>
          <w:tcPr>
            <w:tcW w:w="967" w:type="pct"/>
            <w:vAlign w:val="bottom"/>
          </w:tcPr>
          <w:p w14:paraId="15A18220"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7009C59C" w14:textId="77777777" w:rsidR="004449D0" w:rsidRPr="00065A8B" w:rsidRDefault="004449D0" w:rsidP="008759DA">
            <w:pPr>
              <w:spacing w:before="0" w:after="0" w:line="240" w:lineRule="auto"/>
            </w:pPr>
            <w:r w:rsidRPr="00BB1696">
              <w:t>Central Highlands  (Qld)</w:t>
            </w:r>
          </w:p>
        </w:tc>
      </w:tr>
      <w:tr w:rsidR="004449D0" w14:paraId="6330CB6F" w14:textId="77777777" w:rsidTr="00F13D0D">
        <w:trPr>
          <w:cantSplit/>
        </w:trPr>
        <w:tc>
          <w:tcPr>
            <w:tcW w:w="967" w:type="pct"/>
            <w:vAlign w:val="bottom"/>
          </w:tcPr>
          <w:p w14:paraId="0774281B"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0E335AD8" w14:textId="77777777" w:rsidR="004449D0" w:rsidRPr="00065A8B" w:rsidRDefault="004449D0" w:rsidP="008759DA">
            <w:pPr>
              <w:spacing w:before="0" w:after="0" w:line="240" w:lineRule="auto"/>
            </w:pPr>
            <w:r w:rsidRPr="00BB1696">
              <w:t xml:space="preserve">Fraser Coast </w:t>
            </w:r>
          </w:p>
        </w:tc>
      </w:tr>
      <w:tr w:rsidR="004449D0" w14:paraId="017B739C" w14:textId="77777777" w:rsidTr="00F13D0D">
        <w:trPr>
          <w:cantSplit/>
        </w:trPr>
        <w:tc>
          <w:tcPr>
            <w:tcW w:w="967" w:type="pct"/>
            <w:vAlign w:val="bottom"/>
          </w:tcPr>
          <w:p w14:paraId="61F95FA7"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36D76CF3" w14:textId="77777777" w:rsidR="004449D0" w:rsidRPr="00065A8B" w:rsidRDefault="004449D0" w:rsidP="008759DA">
            <w:pPr>
              <w:spacing w:before="0" w:after="0" w:line="240" w:lineRule="auto"/>
            </w:pPr>
            <w:r w:rsidRPr="00BB1696">
              <w:t xml:space="preserve">Gold Coast </w:t>
            </w:r>
          </w:p>
        </w:tc>
      </w:tr>
      <w:tr w:rsidR="004449D0" w14:paraId="339FE5DD" w14:textId="77777777" w:rsidTr="008759DA">
        <w:trPr>
          <w:cantSplit/>
        </w:trPr>
        <w:tc>
          <w:tcPr>
            <w:tcW w:w="967" w:type="pct"/>
            <w:vAlign w:val="bottom"/>
          </w:tcPr>
          <w:p w14:paraId="780EC62A"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69D536B0" w14:textId="77777777" w:rsidR="004449D0" w:rsidRPr="00D94C45" w:rsidRDefault="004449D0" w:rsidP="008759DA">
            <w:pPr>
              <w:spacing w:before="0" w:after="0" w:line="240" w:lineRule="auto"/>
            </w:pPr>
            <w:r w:rsidRPr="00BB1696">
              <w:t xml:space="preserve">Hinchinbrook </w:t>
            </w:r>
          </w:p>
        </w:tc>
      </w:tr>
      <w:tr w:rsidR="004449D0" w14:paraId="51EFD09B" w14:textId="77777777" w:rsidTr="00F13D0D">
        <w:trPr>
          <w:cantSplit/>
        </w:trPr>
        <w:tc>
          <w:tcPr>
            <w:tcW w:w="967" w:type="pct"/>
            <w:vAlign w:val="bottom"/>
          </w:tcPr>
          <w:p w14:paraId="184226A7"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3CD1A691" w14:textId="77777777" w:rsidR="004449D0" w:rsidRPr="00D94C45" w:rsidRDefault="004449D0" w:rsidP="008759DA">
            <w:pPr>
              <w:spacing w:before="0" w:after="0" w:line="240" w:lineRule="auto"/>
            </w:pPr>
            <w:r w:rsidRPr="00BB1696">
              <w:t xml:space="preserve">Ipswich </w:t>
            </w:r>
          </w:p>
        </w:tc>
      </w:tr>
      <w:tr w:rsidR="004449D0" w14:paraId="2760E7DE" w14:textId="77777777" w:rsidTr="00F13D0D">
        <w:trPr>
          <w:cantSplit/>
        </w:trPr>
        <w:tc>
          <w:tcPr>
            <w:tcW w:w="967" w:type="pct"/>
            <w:vAlign w:val="bottom"/>
          </w:tcPr>
          <w:p w14:paraId="7822B288"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6627FEA5" w14:textId="77777777" w:rsidR="004449D0" w:rsidRPr="00D94C45" w:rsidRDefault="004449D0" w:rsidP="008759DA">
            <w:pPr>
              <w:spacing w:before="0" w:after="0" w:line="240" w:lineRule="auto"/>
            </w:pPr>
            <w:r w:rsidRPr="00BB1696">
              <w:t xml:space="preserve">Mackay </w:t>
            </w:r>
          </w:p>
        </w:tc>
      </w:tr>
      <w:tr w:rsidR="004449D0" w14:paraId="1118A2A1" w14:textId="77777777" w:rsidTr="008759DA">
        <w:trPr>
          <w:cantSplit/>
        </w:trPr>
        <w:tc>
          <w:tcPr>
            <w:tcW w:w="967" w:type="pct"/>
            <w:vAlign w:val="bottom"/>
          </w:tcPr>
          <w:p w14:paraId="4BAC0704"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2195F65A" w14:textId="77777777" w:rsidR="004449D0" w:rsidRPr="00D94C45" w:rsidRDefault="004449D0" w:rsidP="008759DA">
            <w:pPr>
              <w:spacing w:before="0" w:after="0" w:line="240" w:lineRule="auto"/>
            </w:pPr>
            <w:r w:rsidRPr="00BB1696">
              <w:t xml:space="preserve">Moreton Bay </w:t>
            </w:r>
          </w:p>
        </w:tc>
      </w:tr>
      <w:tr w:rsidR="004449D0" w14:paraId="1D5FE9F8" w14:textId="77777777" w:rsidTr="00F13D0D">
        <w:trPr>
          <w:cantSplit/>
        </w:trPr>
        <w:tc>
          <w:tcPr>
            <w:tcW w:w="967" w:type="pct"/>
            <w:vAlign w:val="bottom"/>
          </w:tcPr>
          <w:p w14:paraId="7923BC59" w14:textId="77777777" w:rsidR="004449D0" w:rsidRPr="00BB1696"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6AFD9592" w14:textId="77777777" w:rsidR="004449D0" w:rsidRPr="00065A8B" w:rsidRDefault="004449D0" w:rsidP="008759DA">
            <w:pPr>
              <w:spacing w:before="0" w:after="0" w:line="240" w:lineRule="auto"/>
            </w:pPr>
            <w:r w:rsidRPr="00BB1696">
              <w:t xml:space="preserve">Rockhampton </w:t>
            </w:r>
          </w:p>
        </w:tc>
      </w:tr>
      <w:tr w:rsidR="004449D0" w14:paraId="6D989F01" w14:textId="77777777" w:rsidTr="00F13D0D">
        <w:trPr>
          <w:cantSplit/>
        </w:trPr>
        <w:tc>
          <w:tcPr>
            <w:tcW w:w="967" w:type="pct"/>
            <w:vAlign w:val="bottom"/>
          </w:tcPr>
          <w:p w14:paraId="039F802D"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1904F0DA" w14:textId="77777777" w:rsidR="004449D0" w:rsidRPr="00D94C45" w:rsidDel="004713FB" w:rsidRDefault="004449D0" w:rsidP="008759DA">
            <w:pPr>
              <w:spacing w:before="0" w:after="0" w:line="240" w:lineRule="auto"/>
            </w:pPr>
            <w:r w:rsidRPr="00BB1696">
              <w:t xml:space="preserve">Sunshine Coast </w:t>
            </w:r>
          </w:p>
        </w:tc>
      </w:tr>
      <w:tr w:rsidR="004449D0" w14:paraId="205EB12A" w14:textId="77777777" w:rsidTr="008759DA">
        <w:trPr>
          <w:cantSplit/>
        </w:trPr>
        <w:tc>
          <w:tcPr>
            <w:tcW w:w="967" w:type="pct"/>
            <w:vAlign w:val="bottom"/>
          </w:tcPr>
          <w:p w14:paraId="1318D1F7"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3A3BBA16" w14:textId="77777777" w:rsidR="004449D0" w:rsidRPr="00D94C45" w:rsidDel="004713FB" w:rsidRDefault="004449D0" w:rsidP="008759DA">
            <w:pPr>
              <w:spacing w:before="0" w:after="0" w:line="240" w:lineRule="auto"/>
            </w:pPr>
            <w:r w:rsidRPr="00BB1696">
              <w:t xml:space="preserve">Toowoomba </w:t>
            </w:r>
          </w:p>
        </w:tc>
      </w:tr>
      <w:tr w:rsidR="004449D0" w14:paraId="52AC58B7" w14:textId="77777777" w:rsidTr="00F13D0D">
        <w:trPr>
          <w:cantSplit/>
        </w:trPr>
        <w:tc>
          <w:tcPr>
            <w:tcW w:w="967" w:type="pct"/>
            <w:vAlign w:val="bottom"/>
          </w:tcPr>
          <w:p w14:paraId="6BBF638F"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285B53D8" w14:textId="77777777" w:rsidR="004449D0" w:rsidRPr="00D94C45" w:rsidDel="004713FB" w:rsidRDefault="004449D0" w:rsidP="008759DA">
            <w:pPr>
              <w:spacing w:before="0" w:after="0" w:line="240" w:lineRule="auto"/>
            </w:pPr>
            <w:r w:rsidRPr="00BB1696">
              <w:t xml:space="preserve">Townsville </w:t>
            </w:r>
          </w:p>
        </w:tc>
      </w:tr>
      <w:tr w:rsidR="004449D0" w14:paraId="3DE23E4D" w14:textId="77777777" w:rsidTr="00F13D0D">
        <w:trPr>
          <w:cantSplit/>
        </w:trPr>
        <w:tc>
          <w:tcPr>
            <w:tcW w:w="967" w:type="pct"/>
            <w:vAlign w:val="bottom"/>
          </w:tcPr>
          <w:p w14:paraId="38D436C1"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QLD</w:t>
            </w:r>
          </w:p>
        </w:tc>
        <w:tc>
          <w:tcPr>
            <w:tcW w:w="4033" w:type="pct"/>
            <w:vAlign w:val="bottom"/>
          </w:tcPr>
          <w:p w14:paraId="40454E86" w14:textId="77777777" w:rsidR="004449D0" w:rsidRPr="00D94C45" w:rsidDel="004713FB" w:rsidRDefault="004449D0" w:rsidP="008759DA">
            <w:pPr>
              <w:spacing w:before="0" w:after="0" w:line="240" w:lineRule="auto"/>
            </w:pPr>
            <w:r w:rsidRPr="00BB1696">
              <w:t xml:space="preserve">Western Downs </w:t>
            </w:r>
          </w:p>
        </w:tc>
      </w:tr>
      <w:tr w:rsidR="004449D0" w14:paraId="7501795E" w14:textId="77777777" w:rsidTr="008759DA">
        <w:trPr>
          <w:cantSplit/>
        </w:trPr>
        <w:tc>
          <w:tcPr>
            <w:tcW w:w="967" w:type="pct"/>
            <w:vAlign w:val="bottom"/>
          </w:tcPr>
          <w:p w14:paraId="2B7CDEB9"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7079355F" w14:textId="77777777" w:rsidR="004449D0" w:rsidRPr="00D94C45" w:rsidDel="004713FB" w:rsidRDefault="004449D0" w:rsidP="008759DA">
            <w:pPr>
              <w:spacing w:before="0" w:after="0" w:line="240" w:lineRule="auto"/>
            </w:pPr>
            <w:r w:rsidRPr="00BB1696">
              <w:t xml:space="preserve">Adelaide Plains </w:t>
            </w:r>
          </w:p>
        </w:tc>
      </w:tr>
      <w:tr w:rsidR="004449D0" w14:paraId="2A3FC62D" w14:textId="77777777" w:rsidTr="00F13D0D">
        <w:trPr>
          <w:cantSplit/>
        </w:trPr>
        <w:tc>
          <w:tcPr>
            <w:tcW w:w="967" w:type="pct"/>
            <w:vAlign w:val="bottom"/>
          </w:tcPr>
          <w:p w14:paraId="5499EEBA"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30683ED9" w14:textId="77777777" w:rsidR="004449D0" w:rsidRPr="00D94C45" w:rsidDel="004713FB" w:rsidRDefault="004449D0" w:rsidP="008759DA">
            <w:pPr>
              <w:spacing w:before="0" w:after="0" w:line="240" w:lineRule="auto"/>
            </w:pPr>
            <w:r w:rsidRPr="00BB1696">
              <w:t xml:space="preserve">Burnside </w:t>
            </w:r>
          </w:p>
        </w:tc>
      </w:tr>
      <w:tr w:rsidR="004449D0" w14:paraId="5F839095" w14:textId="77777777" w:rsidTr="008759DA">
        <w:trPr>
          <w:cantSplit/>
        </w:trPr>
        <w:tc>
          <w:tcPr>
            <w:tcW w:w="967" w:type="pct"/>
            <w:vAlign w:val="bottom"/>
          </w:tcPr>
          <w:p w14:paraId="6BA280CA"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5433BA6B" w14:textId="77777777" w:rsidR="004449D0" w:rsidRPr="00D94C45" w:rsidDel="004713FB" w:rsidRDefault="004449D0" w:rsidP="008759DA">
            <w:pPr>
              <w:spacing w:before="0" w:after="0" w:line="240" w:lineRule="auto"/>
            </w:pPr>
            <w:r w:rsidRPr="00BB1696">
              <w:t>Campbelltown  (SA)</w:t>
            </w:r>
          </w:p>
        </w:tc>
      </w:tr>
      <w:tr w:rsidR="004449D0" w14:paraId="6BD33E95" w14:textId="77777777" w:rsidTr="008759DA">
        <w:trPr>
          <w:cantSplit/>
        </w:trPr>
        <w:tc>
          <w:tcPr>
            <w:tcW w:w="967" w:type="pct"/>
            <w:vAlign w:val="bottom"/>
          </w:tcPr>
          <w:p w14:paraId="554E8BAE"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41516D19" w14:textId="77777777" w:rsidR="004449D0" w:rsidRPr="00D94C45" w:rsidDel="004713FB" w:rsidRDefault="004449D0" w:rsidP="008759DA">
            <w:pPr>
              <w:spacing w:before="0" w:after="0" w:line="240" w:lineRule="auto"/>
            </w:pPr>
            <w:r w:rsidRPr="00BB1696">
              <w:t xml:space="preserve">Charles Sturt </w:t>
            </w:r>
          </w:p>
        </w:tc>
      </w:tr>
      <w:tr w:rsidR="004449D0" w14:paraId="53356759" w14:textId="77777777" w:rsidTr="008759DA">
        <w:trPr>
          <w:cantSplit/>
        </w:trPr>
        <w:tc>
          <w:tcPr>
            <w:tcW w:w="967" w:type="pct"/>
            <w:vAlign w:val="bottom"/>
          </w:tcPr>
          <w:p w14:paraId="2214C68D"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1211E2C5" w14:textId="77777777" w:rsidR="004449D0" w:rsidRPr="00D94C45" w:rsidDel="004713FB" w:rsidRDefault="004449D0" w:rsidP="008759DA">
            <w:pPr>
              <w:spacing w:before="0" w:after="0" w:line="240" w:lineRule="auto"/>
            </w:pPr>
            <w:r w:rsidRPr="00BB1696">
              <w:t xml:space="preserve">Holdfast Bay </w:t>
            </w:r>
          </w:p>
        </w:tc>
      </w:tr>
      <w:tr w:rsidR="004449D0" w14:paraId="12F259C5" w14:textId="77777777" w:rsidTr="008759DA">
        <w:trPr>
          <w:cantSplit/>
        </w:trPr>
        <w:tc>
          <w:tcPr>
            <w:tcW w:w="967" w:type="pct"/>
            <w:vAlign w:val="bottom"/>
          </w:tcPr>
          <w:p w14:paraId="42CA9B9F"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71C0F7E1" w14:textId="77777777" w:rsidR="004449D0" w:rsidRPr="00D94C45" w:rsidDel="004713FB" w:rsidRDefault="004449D0" w:rsidP="008759DA">
            <w:pPr>
              <w:spacing w:before="0" w:after="0" w:line="240" w:lineRule="auto"/>
            </w:pPr>
            <w:r w:rsidRPr="00BB1696">
              <w:t xml:space="preserve">Marion </w:t>
            </w:r>
          </w:p>
        </w:tc>
      </w:tr>
      <w:tr w:rsidR="004449D0" w14:paraId="4175E838" w14:textId="77777777" w:rsidTr="008759DA">
        <w:trPr>
          <w:cantSplit/>
        </w:trPr>
        <w:tc>
          <w:tcPr>
            <w:tcW w:w="967" w:type="pct"/>
            <w:vAlign w:val="bottom"/>
          </w:tcPr>
          <w:p w14:paraId="766A84BF"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6F739DB4" w14:textId="77777777" w:rsidR="004449D0" w:rsidRPr="00D94C45" w:rsidDel="004713FB" w:rsidRDefault="004449D0" w:rsidP="008759DA">
            <w:pPr>
              <w:spacing w:before="0" w:after="0" w:line="240" w:lineRule="auto"/>
            </w:pPr>
            <w:r w:rsidRPr="00BB1696">
              <w:t xml:space="preserve">Norwood Payneham St Peters </w:t>
            </w:r>
          </w:p>
        </w:tc>
      </w:tr>
      <w:tr w:rsidR="004449D0" w14:paraId="78222B15" w14:textId="77777777" w:rsidTr="008759DA">
        <w:trPr>
          <w:cantSplit/>
        </w:trPr>
        <w:tc>
          <w:tcPr>
            <w:tcW w:w="967" w:type="pct"/>
            <w:vAlign w:val="bottom"/>
          </w:tcPr>
          <w:p w14:paraId="635A807D"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22001494" w14:textId="77777777" w:rsidR="004449D0" w:rsidRPr="00D94C45" w:rsidDel="004713FB" w:rsidRDefault="004449D0" w:rsidP="008759DA">
            <w:pPr>
              <w:spacing w:before="0" w:after="0" w:line="240" w:lineRule="auto"/>
            </w:pPr>
            <w:r w:rsidRPr="00BB1696">
              <w:t xml:space="preserve">Onkaparinga </w:t>
            </w:r>
          </w:p>
        </w:tc>
      </w:tr>
      <w:tr w:rsidR="004449D0" w14:paraId="774AD5A0" w14:textId="77777777" w:rsidTr="008759DA">
        <w:trPr>
          <w:cantSplit/>
        </w:trPr>
        <w:tc>
          <w:tcPr>
            <w:tcW w:w="967" w:type="pct"/>
            <w:vAlign w:val="bottom"/>
          </w:tcPr>
          <w:p w14:paraId="51DBC31B"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76D8D406" w14:textId="77777777" w:rsidR="004449D0" w:rsidRPr="00D94C45" w:rsidDel="004713FB" w:rsidRDefault="004449D0" w:rsidP="008759DA">
            <w:pPr>
              <w:spacing w:before="0" w:after="0" w:line="240" w:lineRule="auto"/>
            </w:pPr>
            <w:proofErr w:type="spellStart"/>
            <w:r w:rsidRPr="00BB1696">
              <w:t>Playford</w:t>
            </w:r>
            <w:proofErr w:type="spellEnd"/>
            <w:r w:rsidRPr="00BB1696">
              <w:t xml:space="preserve"> </w:t>
            </w:r>
          </w:p>
        </w:tc>
      </w:tr>
      <w:tr w:rsidR="004449D0" w14:paraId="43834B00" w14:textId="77777777" w:rsidTr="008759DA">
        <w:trPr>
          <w:cantSplit/>
        </w:trPr>
        <w:tc>
          <w:tcPr>
            <w:tcW w:w="967" w:type="pct"/>
            <w:vAlign w:val="bottom"/>
          </w:tcPr>
          <w:p w14:paraId="0CF24740"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45A419EC" w14:textId="77777777" w:rsidR="004449D0" w:rsidRPr="00D94C45" w:rsidDel="004713FB" w:rsidRDefault="004449D0" w:rsidP="008759DA">
            <w:pPr>
              <w:spacing w:before="0" w:after="0" w:line="240" w:lineRule="auto"/>
            </w:pPr>
            <w:r w:rsidRPr="00BB1696">
              <w:t xml:space="preserve">Port Adelaide Enfield </w:t>
            </w:r>
          </w:p>
        </w:tc>
      </w:tr>
      <w:tr w:rsidR="004449D0" w14:paraId="7776FE36" w14:textId="77777777" w:rsidTr="008759DA">
        <w:trPr>
          <w:cantSplit/>
        </w:trPr>
        <w:tc>
          <w:tcPr>
            <w:tcW w:w="967" w:type="pct"/>
            <w:vAlign w:val="bottom"/>
          </w:tcPr>
          <w:p w14:paraId="1EE117CB"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3C5A8397" w14:textId="77777777" w:rsidR="004449D0" w:rsidRPr="00D94C45" w:rsidDel="004713FB" w:rsidRDefault="004449D0" w:rsidP="008759DA">
            <w:pPr>
              <w:spacing w:before="0" w:after="0" w:line="240" w:lineRule="auto"/>
            </w:pPr>
            <w:r w:rsidRPr="00BB1696">
              <w:t xml:space="preserve">Salisbury </w:t>
            </w:r>
          </w:p>
        </w:tc>
      </w:tr>
      <w:tr w:rsidR="004449D0" w14:paraId="458DEF19" w14:textId="77777777" w:rsidTr="008759DA">
        <w:trPr>
          <w:cantSplit/>
        </w:trPr>
        <w:tc>
          <w:tcPr>
            <w:tcW w:w="967" w:type="pct"/>
            <w:vAlign w:val="bottom"/>
          </w:tcPr>
          <w:p w14:paraId="2B034CF6"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38AC5036" w14:textId="77777777" w:rsidR="004449D0" w:rsidRPr="00D94C45" w:rsidDel="004713FB" w:rsidRDefault="004449D0" w:rsidP="008759DA">
            <w:pPr>
              <w:spacing w:before="0" w:after="0" w:line="240" w:lineRule="auto"/>
            </w:pPr>
            <w:r w:rsidRPr="00BB1696">
              <w:t xml:space="preserve">Unley </w:t>
            </w:r>
          </w:p>
        </w:tc>
      </w:tr>
      <w:tr w:rsidR="004449D0" w14:paraId="2A7CE936" w14:textId="77777777" w:rsidTr="008759DA">
        <w:trPr>
          <w:cantSplit/>
        </w:trPr>
        <w:tc>
          <w:tcPr>
            <w:tcW w:w="967" w:type="pct"/>
            <w:vAlign w:val="bottom"/>
          </w:tcPr>
          <w:p w14:paraId="711A76DC"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SA</w:t>
            </w:r>
          </w:p>
        </w:tc>
        <w:tc>
          <w:tcPr>
            <w:tcW w:w="4033" w:type="pct"/>
            <w:vAlign w:val="bottom"/>
          </w:tcPr>
          <w:p w14:paraId="1F4EBB87" w14:textId="77777777" w:rsidR="004449D0" w:rsidRPr="00D94C45" w:rsidDel="004713FB" w:rsidRDefault="004449D0" w:rsidP="008759DA">
            <w:pPr>
              <w:spacing w:before="0" w:after="0" w:line="240" w:lineRule="auto"/>
            </w:pPr>
            <w:r w:rsidRPr="00BB1696">
              <w:t xml:space="preserve">West Torrens </w:t>
            </w:r>
          </w:p>
        </w:tc>
      </w:tr>
      <w:tr w:rsidR="004449D0" w14:paraId="0ACD56D5" w14:textId="77777777" w:rsidTr="008759DA">
        <w:trPr>
          <w:cantSplit/>
        </w:trPr>
        <w:tc>
          <w:tcPr>
            <w:tcW w:w="967" w:type="pct"/>
            <w:vAlign w:val="bottom"/>
          </w:tcPr>
          <w:p w14:paraId="150B74D1"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TAS</w:t>
            </w:r>
          </w:p>
        </w:tc>
        <w:tc>
          <w:tcPr>
            <w:tcW w:w="4033" w:type="pct"/>
            <w:vAlign w:val="bottom"/>
          </w:tcPr>
          <w:p w14:paraId="738D323E" w14:textId="77777777" w:rsidR="004449D0" w:rsidRPr="00D94C45" w:rsidDel="004713FB" w:rsidRDefault="004449D0" w:rsidP="008759DA">
            <w:pPr>
              <w:spacing w:before="0" w:after="0" w:line="240" w:lineRule="auto"/>
            </w:pPr>
            <w:r w:rsidRPr="00BB1696">
              <w:t xml:space="preserve">Break </w:t>
            </w:r>
            <w:proofErr w:type="spellStart"/>
            <w:r w:rsidRPr="00BB1696">
              <w:t>O'Day</w:t>
            </w:r>
            <w:proofErr w:type="spellEnd"/>
            <w:r w:rsidRPr="00BB1696">
              <w:t xml:space="preserve"> </w:t>
            </w:r>
          </w:p>
        </w:tc>
      </w:tr>
      <w:tr w:rsidR="004449D0" w14:paraId="58BED255" w14:textId="77777777" w:rsidTr="008759DA">
        <w:trPr>
          <w:cantSplit/>
        </w:trPr>
        <w:tc>
          <w:tcPr>
            <w:tcW w:w="967" w:type="pct"/>
            <w:vAlign w:val="bottom"/>
          </w:tcPr>
          <w:p w14:paraId="0288E8D9"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TAS</w:t>
            </w:r>
          </w:p>
        </w:tc>
        <w:tc>
          <w:tcPr>
            <w:tcW w:w="4033" w:type="pct"/>
            <w:vAlign w:val="bottom"/>
          </w:tcPr>
          <w:p w14:paraId="59597A89" w14:textId="77777777" w:rsidR="004449D0" w:rsidRPr="00D94C45" w:rsidDel="004713FB" w:rsidRDefault="004449D0" w:rsidP="008759DA">
            <w:pPr>
              <w:spacing w:before="0" w:after="0" w:line="240" w:lineRule="auto"/>
            </w:pPr>
            <w:r w:rsidRPr="00BB1696">
              <w:t xml:space="preserve">Derwent Valley </w:t>
            </w:r>
          </w:p>
        </w:tc>
      </w:tr>
      <w:tr w:rsidR="004449D0" w14:paraId="6E760D36" w14:textId="77777777" w:rsidTr="008759DA">
        <w:trPr>
          <w:cantSplit/>
        </w:trPr>
        <w:tc>
          <w:tcPr>
            <w:tcW w:w="967" w:type="pct"/>
            <w:vAlign w:val="bottom"/>
          </w:tcPr>
          <w:p w14:paraId="2B97DB53" w14:textId="77777777" w:rsidR="004449D0" w:rsidRPr="00BB1696" w:rsidDel="004713FB" w:rsidRDefault="004449D0" w:rsidP="008759DA">
            <w:pPr>
              <w:spacing w:before="0" w:after="0" w:line="240" w:lineRule="auto"/>
              <w:jc w:val="center"/>
              <w:rPr>
                <w:rFonts w:cs="Arial"/>
                <w:szCs w:val="20"/>
              </w:rPr>
            </w:pPr>
            <w:r w:rsidRPr="00BB1696">
              <w:rPr>
                <w:rFonts w:cs="Arial"/>
                <w:szCs w:val="20"/>
              </w:rPr>
              <w:t>WA</w:t>
            </w:r>
          </w:p>
        </w:tc>
        <w:tc>
          <w:tcPr>
            <w:tcW w:w="4033" w:type="pct"/>
            <w:vAlign w:val="bottom"/>
          </w:tcPr>
          <w:p w14:paraId="7BC5CDD3" w14:textId="77777777" w:rsidR="004449D0" w:rsidRPr="00D94C45" w:rsidDel="004713FB" w:rsidRDefault="004449D0" w:rsidP="008759DA">
            <w:pPr>
              <w:spacing w:before="0" w:after="0" w:line="240" w:lineRule="auto"/>
            </w:pPr>
            <w:r w:rsidRPr="00BB1696">
              <w:t xml:space="preserve">Carnarvon </w:t>
            </w:r>
          </w:p>
        </w:tc>
      </w:tr>
      <w:tr w:rsidR="004449D0" w14:paraId="489497D9" w14:textId="77777777" w:rsidTr="008759DA">
        <w:trPr>
          <w:cantSplit/>
        </w:trPr>
        <w:tc>
          <w:tcPr>
            <w:tcW w:w="967" w:type="pct"/>
            <w:vAlign w:val="bottom"/>
          </w:tcPr>
          <w:p w14:paraId="41E5D0AB" w14:textId="77777777" w:rsidR="004449D0" w:rsidRPr="00BB1696" w:rsidRDefault="004449D0" w:rsidP="008759DA">
            <w:pPr>
              <w:spacing w:before="0" w:after="0" w:line="240" w:lineRule="auto"/>
              <w:jc w:val="center"/>
              <w:rPr>
                <w:rFonts w:cs="Arial"/>
                <w:szCs w:val="20"/>
              </w:rPr>
            </w:pPr>
            <w:r w:rsidRPr="00BB1696">
              <w:rPr>
                <w:rFonts w:cs="Arial"/>
                <w:szCs w:val="20"/>
              </w:rPr>
              <w:t>WA</w:t>
            </w:r>
          </w:p>
        </w:tc>
        <w:tc>
          <w:tcPr>
            <w:tcW w:w="4033" w:type="pct"/>
            <w:vAlign w:val="bottom"/>
          </w:tcPr>
          <w:p w14:paraId="28831A4C" w14:textId="77777777" w:rsidR="004449D0" w:rsidRPr="00BB1696" w:rsidRDefault="004449D0" w:rsidP="008759DA">
            <w:pPr>
              <w:spacing w:before="0" w:after="0" w:line="240" w:lineRule="auto"/>
            </w:pPr>
            <w:r w:rsidRPr="00BB1696">
              <w:t xml:space="preserve">East Pilbara </w:t>
            </w:r>
          </w:p>
        </w:tc>
      </w:tr>
      <w:tr w:rsidR="004449D0" w14:paraId="5B08D0F9" w14:textId="77777777" w:rsidTr="008759DA">
        <w:trPr>
          <w:cantSplit/>
        </w:trPr>
        <w:tc>
          <w:tcPr>
            <w:tcW w:w="967" w:type="pct"/>
            <w:vAlign w:val="bottom"/>
          </w:tcPr>
          <w:p w14:paraId="07922931" w14:textId="77777777" w:rsidR="004449D0" w:rsidRPr="00BB1696" w:rsidRDefault="004449D0" w:rsidP="008759DA">
            <w:pPr>
              <w:spacing w:before="0" w:after="0" w:line="240" w:lineRule="auto"/>
              <w:jc w:val="center"/>
              <w:rPr>
                <w:rFonts w:cs="Arial"/>
                <w:szCs w:val="20"/>
              </w:rPr>
            </w:pPr>
            <w:r w:rsidRPr="00BB1696">
              <w:rPr>
                <w:rFonts w:cs="Arial"/>
                <w:szCs w:val="20"/>
              </w:rPr>
              <w:t>WA</w:t>
            </w:r>
          </w:p>
        </w:tc>
        <w:tc>
          <w:tcPr>
            <w:tcW w:w="4033" w:type="pct"/>
            <w:vAlign w:val="bottom"/>
          </w:tcPr>
          <w:p w14:paraId="0D42E99C" w14:textId="77777777" w:rsidR="004449D0" w:rsidRPr="00BB1696" w:rsidRDefault="004449D0" w:rsidP="008759DA">
            <w:pPr>
              <w:spacing w:before="0" w:after="0" w:line="240" w:lineRule="auto"/>
            </w:pPr>
            <w:r w:rsidRPr="00BB1696">
              <w:t xml:space="preserve">Moora </w:t>
            </w:r>
          </w:p>
        </w:tc>
      </w:tr>
      <w:tr w:rsidR="004449D0" w14:paraId="691C29E5" w14:textId="77777777" w:rsidTr="008759DA">
        <w:trPr>
          <w:cantSplit/>
        </w:trPr>
        <w:tc>
          <w:tcPr>
            <w:tcW w:w="967" w:type="pct"/>
            <w:vAlign w:val="bottom"/>
          </w:tcPr>
          <w:p w14:paraId="7C45CF59" w14:textId="77777777" w:rsidR="004449D0" w:rsidRPr="00BB1696" w:rsidRDefault="004449D0" w:rsidP="008759DA">
            <w:pPr>
              <w:spacing w:before="0" w:after="0" w:line="240" w:lineRule="auto"/>
              <w:jc w:val="center"/>
              <w:rPr>
                <w:rFonts w:cs="Arial"/>
                <w:szCs w:val="20"/>
              </w:rPr>
            </w:pPr>
            <w:r w:rsidRPr="00BB1696">
              <w:rPr>
                <w:rFonts w:cs="Arial"/>
                <w:szCs w:val="20"/>
              </w:rPr>
              <w:t>WA</w:t>
            </w:r>
          </w:p>
        </w:tc>
        <w:tc>
          <w:tcPr>
            <w:tcW w:w="4033" w:type="pct"/>
            <w:vAlign w:val="bottom"/>
          </w:tcPr>
          <w:p w14:paraId="1D3082F1" w14:textId="77777777" w:rsidR="004449D0" w:rsidRPr="00BB1696" w:rsidRDefault="004449D0" w:rsidP="008759DA">
            <w:pPr>
              <w:spacing w:before="0" w:after="0" w:line="240" w:lineRule="auto"/>
            </w:pPr>
            <w:r w:rsidRPr="00BB1696">
              <w:t xml:space="preserve">Port Hedland </w:t>
            </w:r>
          </w:p>
        </w:tc>
      </w:tr>
    </w:tbl>
    <w:p w14:paraId="5C38EFA1" w14:textId="77777777" w:rsidR="003E4ABD" w:rsidRDefault="003E4ABD">
      <w:pPr>
        <w:spacing w:before="0" w:after="0" w:line="240" w:lineRule="auto"/>
        <w:rPr>
          <w:rFonts w:cstheme="minorHAnsi"/>
          <w:b/>
          <w:bCs/>
          <w:iCs w:val="0"/>
          <w:color w:val="264F90"/>
          <w:sz w:val="32"/>
          <w:szCs w:val="32"/>
        </w:rPr>
      </w:pPr>
      <w:r>
        <w:br w:type="page"/>
      </w:r>
    </w:p>
    <w:p w14:paraId="0F4DCE74" w14:textId="77777777" w:rsidR="00CA4C1B" w:rsidRDefault="00CA4C1B" w:rsidP="00CA4C1B">
      <w:pPr>
        <w:pStyle w:val="Heading2Appendix"/>
        <w:numPr>
          <w:ilvl w:val="0"/>
          <w:numId w:val="33"/>
        </w:numPr>
      </w:pPr>
      <w:bookmarkStart w:id="615" w:name="_Toc80870688"/>
      <w:bookmarkStart w:id="616" w:name="_Toc81229281"/>
      <w:bookmarkStart w:id="617" w:name="_Toc83047325"/>
      <w:bookmarkStart w:id="618" w:name="_Toc83722079"/>
      <w:bookmarkStart w:id="619" w:name="_Toc84398492"/>
      <w:r>
        <w:t>Eligible expenditure</w:t>
      </w:r>
      <w:bookmarkEnd w:id="612"/>
      <w:bookmarkEnd w:id="613"/>
      <w:bookmarkEnd w:id="614"/>
      <w:bookmarkEnd w:id="615"/>
      <w:bookmarkEnd w:id="616"/>
      <w:bookmarkEnd w:id="617"/>
      <w:bookmarkEnd w:id="618"/>
      <w:bookmarkEnd w:id="619"/>
    </w:p>
    <w:p w14:paraId="36F5FF40" w14:textId="2C68A659" w:rsidR="00CA4C1B" w:rsidRDefault="00CA4C1B" w:rsidP="00CA4C1B">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 so </w:t>
      </w:r>
      <w:r>
        <w:t>you should make sure you have</w:t>
      </w:r>
      <w:r w:rsidRPr="00E162FF">
        <w:t xml:space="preserve"> the current version from the </w:t>
      </w:r>
      <w:hyperlink r:id="rId55" w:anchor="key-documents"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64DFC31" w14:textId="77777777" w:rsidR="00CA4C1B" w:rsidRDefault="00CA4C1B" w:rsidP="00CA4C1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8D09148" w14:textId="77777777" w:rsidR="00CA4C1B" w:rsidRDefault="00CA4C1B" w:rsidP="00CA4C1B">
      <w:r>
        <w:t>To be eligible, expenditure must:</w:t>
      </w:r>
    </w:p>
    <w:p w14:paraId="04625AD1" w14:textId="77777777" w:rsidR="00CA4C1B" w:rsidRDefault="00CA4C1B" w:rsidP="00CA4C1B">
      <w:pPr>
        <w:pStyle w:val="ListBullet"/>
      </w:pPr>
      <w:r>
        <w:t>be incurred by you within the project period</w:t>
      </w:r>
    </w:p>
    <w:p w14:paraId="4C42A75E" w14:textId="77777777" w:rsidR="00CA4C1B" w:rsidRDefault="00CA4C1B" w:rsidP="00CA4C1B">
      <w:pPr>
        <w:pStyle w:val="ListBullet"/>
      </w:pPr>
      <w:r>
        <w:t xml:space="preserve">be a direct cost of the project </w:t>
      </w:r>
    </w:p>
    <w:p w14:paraId="341B97C4" w14:textId="77777777" w:rsidR="00CA4C1B" w:rsidRDefault="00CA4C1B" w:rsidP="00CA4C1B">
      <w:pPr>
        <w:pStyle w:val="ListBullet"/>
      </w:pPr>
      <w:r>
        <w:t>be incurred by you to undertake required project audit activities</w:t>
      </w:r>
    </w:p>
    <w:p w14:paraId="219A1325" w14:textId="77777777" w:rsidR="00CA4C1B" w:rsidRDefault="00CA4C1B" w:rsidP="00CA4C1B">
      <w:pPr>
        <w:pStyle w:val="ListBullet"/>
      </w:pPr>
      <w:proofErr w:type="gramStart"/>
      <w:r>
        <w:t>meet</w:t>
      </w:r>
      <w:proofErr w:type="gramEnd"/>
      <w:r>
        <w:t xml:space="preserve"> the eligible expenditure guidelines.</w:t>
      </w:r>
    </w:p>
    <w:p w14:paraId="2EDD3D39" w14:textId="77777777" w:rsidR="00CA4C1B" w:rsidRPr="006F6212" w:rsidRDefault="00CA4C1B" w:rsidP="00CA4C1B">
      <w:pPr>
        <w:pStyle w:val="Heading3Appendix"/>
        <w:numPr>
          <w:ilvl w:val="1"/>
          <w:numId w:val="12"/>
        </w:numPr>
      </w:pPr>
      <w:bookmarkStart w:id="620" w:name="_Toc496536710"/>
      <w:bookmarkStart w:id="621" w:name="_Toc531277538"/>
      <w:bookmarkStart w:id="622" w:name="_Toc955348"/>
      <w:bookmarkStart w:id="623" w:name="_Toc26443764"/>
      <w:bookmarkStart w:id="624" w:name="_Toc80190359"/>
      <w:bookmarkStart w:id="625" w:name="_Toc80190436"/>
      <w:bookmarkStart w:id="626" w:name="_Toc80870689"/>
      <w:bookmarkStart w:id="627" w:name="_Toc81229282"/>
      <w:bookmarkStart w:id="628" w:name="_Toc83047326"/>
      <w:bookmarkStart w:id="629" w:name="_Toc83722080"/>
      <w:bookmarkStart w:id="630" w:name="_Toc84398493"/>
      <w:r w:rsidRPr="006F6212">
        <w:t>How we verify eligible expenditure</w:t>
      </w:r>
      <w:bookmarkEnd w:id="620"/>
      <w:bookmarkEnd w:id="621"/>
      <w:bookmarkEnd w:id="622"/>
      <w:bookmarkEnd w:id="623"/>
      <w:bookmarkEnd w:id="624"/>
      <w:bookmarkEnd w:id="625"/>
      <w:bookmarkEnd w:id="626"/>
      <w:bookmarkEnd w:id="627"/>
      <w:bookmarkEnd w:id="628"/>
      <w:bookmarkEnd w:id="629"/>
      <w:bookmarkEnd w:id="630"/>
    </w:p>
    <w:p w14:paraId="788271D2" w14:textId="77777777" w:rsidR="00CA4C1B" w:rsidRPr="009B6938" w:rsidRDefault="00CA4C1B" w:rsidP="00CA4C1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3F557562" w14:textId="77777777" w:rsidR="00CA4C1B" w:rsidRDefault="00CA4C1B" w:rsidP="00CA4C1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4C850040" w14:textId="77777777" w:rsidR="00CA4C1B" w:rsidRDefault="00CA4C1B" w:rsidP="00CA4C1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25677450" w14:textId="77777777" w:rsidR="00CA4C1B" w:rsidRDefault="00CA4C1B" w:rsidP="00CA4C1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CE5EB78" w14:textId="77777777" w:rsidR="00CA4C1B" w:rsidRPr="00E162FF" w:rsidRDefault="00CA4C1B" w:rsidP="00CA4C1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6B871C3B" w14:textId="77777777" w:rsidR="00CA4C1B" w:rsidRPr="006F6212" w:rsidRDefault="00CA4C1B" w:rsidP="00CA4C1B">
      <w:pPr>
        <w:pStyle w:val="Heading3Appendix"/>
        <w:numPr>
          <w:ilvl w:val="1"/>
          <w:numId w:val="12"/>
        </w:numPr>
      </w:pPr>
      <w:bookmarkStart w:id="631" w:name="_Toc496536714"/>
      <w:bookmarkStart w:id="632" w:name="_Toc531277542"/>
      <w:bookmarkStart w:id="633" w:name="_Toc955352"/>
      <w:bookmarkStart w:id="634" w:name="_Toc26443768"/>
      <w:bookmarkStart w:id="635" w:name="_Toc80190360"/>
      <w:bookmarkStart w:id="636" w:name="_Toc80190437"/>
      <w:bookmarkStart w:id="637" w:name="_Toc80870690"/>
      <w:bookmarkStart w:id="638" w:name="_Toc81229283"/>
      <w:bookmarkStart w:id="639" w:name="_Toc83047327"/>
      <w:bookmarkStart w:id="640" w:name="_Toc83722081"/>
      <w:bookmarkStart w:id="641" w:name="_Toc84398494"/>
      <w:r w:rsidRPr="006F6212">
        <w:t>Hired/leased plant</w:t>
      </w:r>
      <w:bookmarkEnd w:id="631"/>
      <w:bookmarkEnd w:id="632"/>
      <w:bookmarkEnd w:id="633"/>
      <w:bookmarkEnd w:id="634"/>
      <w:bookmarkEnd w:id="635"/>
      <w:bookmarkEnd w:id="636"/>
      <w:bookmarkEnd w:id="637"/>
      <w:bookmarkEnd w:id="638"/>
      <w:bookmarkEnd w:id="639"/>
      <w:bookmarkEnd w:id="640"/>
      <w:bookmarkEnd w:id="641"/>
    </w:p>
    <w:p w14:paraId="3952E1C5" w14:textId="77777777" w:rsidR="00CA4C1B" w:rsidRPr="00594E1F" w:rsidRDefault="00CA4C1B" w:rsidP="00CA4C1B">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 If you purchase plant under a hire purchase agreement, or you use a lease to finance the purchase of the plant, the cost of the item of plant, excluding interest, is capitalised, and then depreciated.</w:t>
      </w:r>
    </w:p>
    <w:p w14:paraId="3BAC106B" w14:textId="77777777" w:rsidR="00CA4C1B" w:rsidRPr="00594E1F" w:rsidRDefault="00CA4C1B" w:rsidP="00CA4C1B">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 and repairs and maintenance.</w:t>
      </w:r>
    </w:p>
    <w:p w14:paraId="52FEA825" w14:textId="77777777" w:rsidR="00CA4C1B" w:rsidRPr="006F6212" w:rsidRDefault="00CA4C1B" w:rsidP="00CA4C1B">
      <w:pPr>
        <w:pStyle w:val="Heading3Appendix"/>
        <w:numPr>
          <w:ilvl w:val="1"/>
          <w:numId w:val="12"/>
        </w:numPr>
      </w:pPr>
      <w:bookmarkStart w:id="642" w:name="_Toc496536718"/>
      <w:bookmarkStart w:id="643" w:name="_Toc531277546"/>
      <w:bookmarkStart w:id="644" w:name="_Toc955356"/>
      <w:bookmarkStart w:id="645" w:name="_Toc26443772"/>
      <w:bookmarkStart w:id="646" w:name="_Toc80190361"/>
      <w:bookmarkStart w:id="647" w:name="_Toc80190438"/>
      <w:bookmarkStart w:id="648" w:name="_Toc80870691"/>
      <w:bookmarkStart w:id="649" w:name="_Toc81229284"/>
      <w:bookmarkStart w:id="650" w:name="_Toc83047328"/>
      <w:bookmarkStart w:id="651" w:name="_Toc83722082"/>
      <w:bookmarkStart w:id="652" w:name="_Toc84398495"/>
      <w:r w:rsidRPr="006F6212">
        <w:t>Labour expenditure</w:t>
      </w:r>
      <w:bookmarkEnd w:id="642"/>
      <w:bookmarkEnd w:id="643"/>
      <w:bookmarkEnd w:id="644"/>
      <w:bookmarkEnd w:id="645"/>
      <w:bookmarkEnd w:id="646"/>
      <w:bookmarkEnd w:id="647"/>
      <w:bookmarkEnd w:id="648"/>
      <w:bookmarkEnd w:id="649"/>
      <w:bookmarkEnd w:id="650"/>
      <w:bookmarkEnd w:id="651"/>
      <w:bookmarkEnd w:id="652"/>
    </w:p>
    <w:p w14:paraId="0E857407" w14:textId="77777777" w:rsidR="00CA4C1B" w:rsidRPr="00594E1F" w:rsidRDefault="00CA4C1B" w:rsidP="00CA4C1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30C0E931" w14:textId="77777777" w:rsidR="00CA4C1B" w:rsidRPr="00594E1F" w:rsidRDefault="00CA4C1B" w:rsidP="00CA4C1B">
      <w:r w:rsidRPr="00594E1F">
        <w:t xml:space="preserve">We consider costs for project management activities eligible labour expenditure. However, </w:t>
      </w:r>
      <w:r>
        <w:t xml:space="preserve">we limit </w:t>
      </w:r>
      <w:r w:rsidRPr="00594E1F">
        <w:t>these costs to 10 per cent of the total amount of eligible labour expenditure claimed.</w:t>
      </w:r>
    </w:p>
    <w:p w14:paraId="73BEBC90" w14:textId="77777777" w:rsidR="00CA4C1B" w:rsidRPr="00594E1F" w:rsidRDefault="00CA4C1B" w:rsidP="00CA4C1B">
      <w:r w:rsidRPr="00594E1F">
        <w:t>We do not consider labour expenditure for leadership or administrative staff (such as CEOs, CFOs, accountants and lawyers) as eligible expenditure, even if they are doing project management tasks.</w:t>
      </w:r>
    </w:p>
    <w:p w14:paraId="7754D041" w14:textId="77777777" w:rsidR="00CA4C1B" w:rsidRPr="00594E1F" w:rsidRDefault="00CA4C1B" w:rsidP="00CA4C1B">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BC635D8" w14:textId="77777777" w:rsidR="00CA4C1B" w:rsidRPr="00594E1F" w:rsidRDefault="00CA4C1B" w:rsidP="00CA4C1B">
      <w:r w:rsidRPr="00594E1F">
        <w:t>The maximum salary for an employee, director or shareholder, including packaged components that you can claim through the grant is $1</w:t>
      </w:r>
      <w:r>
        <w:t>7</w:t>
      </w:r>
      <w:r w:rsidRPr="00594E1F">
        <w:t xml:space="preserve">5,000 per financial year. </w:t>
      </w:r>
    </w:p>
    <w:p w14:paraId="4E0C460E" w14:textId="77777777" w:rsidR="00CA4C1B" w:rsidRPr="00594E1F" w:rsidRDefault="00CA4C1B" w:rsidP="00CA4C1B">
      <w:r w:rsidRPr="00594E1F">
        <w:t>For periods of the project that do not make a full financial year,</w:t>
      </w:r>
      <w:r>
        <w:t xml:space="preserve"> you must reduce</w:t>
      </w:r>
      <w:r w:rsidRPr="00594E1F">
        <w:t xml:space="preserve"> the maximum salary amount you claim </w:t>
      </w:r>
      <w:r>
        <w:t>proportionally.</w:t>
      </w:r>
    </w:p>
    <w:p w14:paraId="47E875D4" w14:textId="77777777" w:rsidR="00CA4C1B" w:rsidRPr="00594E1F" w:rsidRDefault="00CA4C1B" w:rsidP="00CA4C1B">
      <w:r w:rsidRPr="00594E1F">
        <w:t xml:space="preserve">You can only claim eligible salary costs when an employee is working directly on agreed project activities during the agreed project period. </w:t>
      </w:r>
    </w:p>
    <w:p w14:paraId="3BFD31B0" w14:textId="77777777" w:rsidR="00CA4C1B" w:rsidRPr="006F6212" w:rsidRDefault="00CA4C1B" w:rsidP="00CA4C1B">
      <w:pPr>
        <w:pStyle w:val="Heading3Appendix"/>
        <w:numPr>
          <w:ilvl w:val="1"/>
          <w:numId w:val="12"/>
        </w:numPr>
      </w:pPr>
      <w:bookmarkStart w:id="653" w:name="_Toc496536719"/>
      <w:bookmarkStart w:id="654" w:name="_Toc531277547"/>
      <w:bookmarkStart w:id="655" w:name="_Toc955357"/>
      <w:bookmarkStart w:id="656" w:name="_Toc26443773"/>
      <w:bookmarkStart w:id="657" w:name="_Toc80190362"/>
      <w:bookmarkStart w:id="658" w:name="_Toc80190439"/>
      <w:bookmarkStart w:id="659" w:name="_Toc80870692"/>
      <w:bookmarkStart w:id="660" w:name="_Toc81229285"/>
      <w:bookmarkStart w:id="661" w:name="_Toc83047329"/>
      <w:bookmarkStart w:id="662" w:name="_Toc83722083"/>
      <w:bookmarkStart w:id="663" w:name="_Toc84398496"/>
      <w:r w:rsidRPr="006F6212">
        <w:t>Labour on-costs and administrative overhead</w:t>
      </w:r>
      <w:bookmarkEnd w:id="653"/>
      <w:bookmarkEnd w:id="654"/>
      <w:bookmarkEnd w:id="655"/>
      <w:bookmarkEnd w:id="656"/>
      <w:bookmarkEnd w:id="657"/>
      <w:bookmarkEnd w:id="658"/>
      <w:bookmarkEnd w:id="659"/>
      <w:bookmarkEnd w:id="660"/>
      <w:bookmarkEnd w:id="661"/>
      <w:bookmarkEnd w:id="662"/>
      <w:bookmarkEnd w:id="663"/>
    </w:p>
    <w:p w14:paraId="7B680773" w14:textId="77777777" w:rsidR="00CA4C1B" w:rsidRDefault="00CA4C1B" w:rsidP="00CA4C1B">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664" w:name="OLE_LINK17"/>
      <w:bookmarkStart w:id="665" w:name="OLE_LINK16"/>
      <w:bookmarkEnd w:id="664"/>
      <w:bookmarkEnd w:id="665"/>
    </w:p>
    <w:p w14:paraId="60F2B0CD" w14:textId="77777777" w:rsidR="00CA4C1B" w:rsidRDefault="00CA4C1B" w:rsidP="00CA4C1B">
      <w:r>
        <w:t>You should calculate e</w:t>
      </w:r>
      <w:r w:rsidRPr="00E162FF">
        <w:t>ligible salary costs using the formula below:</w:t>
      </w:r>
    </w:p>
    <w:p w14:paraId="59758336" w14:textId="77777777" w:rsidR="00CA4C1B" w:rsidRPr="006F0CE9" w:rsidRDefault="00CA4C1B" w:rsidP="00CA4C1B">
      <w:r>
        <w:rPr>
          <w:noProof/>
          <w:lang w:eastAsia="en-AU"/>
        </w:rPr>
        <w:drawing>
          <wp:inline distT="0" distB="0" distL="0" distR="0" wp14:anchorId="2EF6510D" wp14:editId="3A903BA9">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0C378730" w14:textId="77777777" w:rsidR="00CA4C1B" w:rsidRDefault="00CA4C1B" w:rsidP="00CA4C1B">
      <w:r w:rsidRPr="00E162FF">
        <w:t xml:space="preserve">Evidence </w:t>
      </w:r>
      <w:r>
        <w:t>you will need to provide</w:t>
      </w:r>
      <w:r w:rsidRPr="00E162FF">
        <w:t xml:space="preserve"> can include:</w:t>
      </w:r>
    </w:p>
    <w:p w14:paraId="4949E460" w14:textId="77777777" w:rsidR="00CA4C1B" w:rsidRPr="009B6938" w:rsidRDefault="00CA4C1B" w:rsidP="00CA4C1B">
      <w:pPr>
        <w:pStyle w:val="ListBullet"/>
      </w:pPr>
      <w:bookmarkStart w:id="666" w:name="OLE_LINK22"/>
      <w:r w:rsidRPr="009B6938">
        <w:t>details of all personnel working on the project, including name, title, function, time spent on the project and salary</w:t>
      </w:r>
    </w:p>
    <w:bookmarkEnd w:id="666"/>
    <w:p w14:paraId="32CB0999" w14:textId="77777777" w:rsidR="00CA4C1B" w:rsidRPr="009B6938" w:rsidRDefault="00CA4C1B" w:rsidP="00CA4C1B">
      <w:pPr>
        <w:pStyle w:val="ListBullet"/>
      </w:pPr>
      <w:r w:rsidRPr="009B6938">
        <w:t>ATO payment summaries, pay slips and employment contracts.</w:t>
      </w:r>
    </w:p>
    <w:p w14:paraId="323BFA70" w14:textId="77777777" w:rsidR="00CA4C1B" w:rsidRPr="006F6212" w:rsidRDefault="00CA4C1B" w:rsidP="00CA4C1B">
      <w:pPr>
        <w:pStyle w:val="Heading3Appendix"/>
        <w:numPr>
          <w:ilvl w:val="1"/>
          <w:numId w:val="12"/>
        </w:numPr>
      </w:pPr>
      <w:bookmarkStart w:id="667" w:name="_Toc496536720"/>
      <w:bookmarkStart w:id="668" w:name="_Toc531277548"/>
      <w:bookmarkStart w:id="669" w:name="_Toc955358"/>
      <w:bookmarkStart w:id="670" w:name="_Toc26443774"/>
      <w:bookmarkStart w:id="671" w:name="_Toc80190363"/>
      <w:bookmarkStart w:id="672" w:name="_Toc80190440"/>
      <w:bookmarkStart w:id="673" w:name="_Toc80870693"/>
      <w:bookmarkStart w:id="674" w:name="_Toc81229286"/>
      <w:bookmarkStart w:id="675" w:name="_Toc83047330"/>
      <w:bookmarkStart w:id="676" w:name="_Toc83722084"/>
      <w:bookmarkStart w:id="677" w:name="_Toc84398497"/>
      <w:r w:rsidRPr="006F6212">
        <w:t>Contract expenditure</w:t>
      </w:r>
      <w:bookmarkEnd w:id="667"/>
      <w:bookmarkEnd w:id="668"/>
      <w:bookmarkEnd w:id="669"/>
      <w:bookmarkEnd w:id="670"/>
      <w:bookmarkEnd w:id="671"/>
      <w:bookmarkEnd w:id="672"/>
      <w:bookmarkEnd w:id="673"/>
      <w:bookmarkEnd w:id="674"/>
      <w:bookmarkEnd w:id="675"/>
      <w:bookmarkEnd w:id="676"/>
      <w:bookmarkEnd w:id="677"/>
    </w:p>
    <w:p w14:paraId="42037BF2" w14:textId="77777777" w:rsidR="00CA4C1B" w:rsidRDefault="00CA4C1B" w:rsidP="00CA4C1B">
      <w:r w:rsidRPr="00E162FF">
        <w:t>Eligible contract expenditure is the cost of any agreed project activities</w:t>
      </w:r>
      <w:r>
        <w:t xml:space="preserve"> that you contract others to do. These can include contracting:</w:t>
      </w:r>
    </w:p>
    <w:p w14:paraId="1AB6C3EA" w14:textId="77777777" w:rsidR="00CA4C1B" w:rsidRPr="009B6938" w:rsidRDefault="00CA4C1B" w:rsidP="00CA4C1B">
      <w:pPr>
        <w:pStyle w:val="ListBullet"/>
      </w:pPr>
      <w:r>
        <w:t>another organisation</w:t>
      </w:r>
    </w:p>
    <w:p w14:paraId="7086A90B" w14:textId="77777777" w:rsidR="00CA4C1B" w:rsidRPr="009B6938" w:rsidRDefault="00CA4C1B" w:rsidP="00CA4C1B">
      <w:pPr>
        <w:pStyle w:val="ListBullet"/>
        <w:spacing w:after="120"/>
      </w:pPr>
      <w:proofErr w:type="gramStart"/>
      <w:r w:rsidRPr="009B6938">
        <w:t>an</w:t>
      </w:r>
      <w:proofErr w:type="gramEnd"/>
      <w:r w:rsidRPr="009B6938">
        <w:t xml:space="preserve"> individual who is not an employee, but engaged under a separate contract.</w:t>
      </w:r>
    </w:p>
    <w:p w14:paraId="790FFE4F" w14:textId="77777777" w:rsidR="00CA4C1B" w:rsidRDefault="00CA4C1B" w:rsidP="00CA4C1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759C0B84" w14:textId="77777777" w:rsidR="00CA4C1B" w:rsidRDefault="00CA4C1B" w:rsidP="00CA4C1B">
      <w:pPr>
        <w:pStyle w:val="ListBullet"/>
      </w:pPr>
      <w:r w:rsidRPr="00E162FF">
        <w:t xml:space="preserve">the nature of the work </w:t>
      </w:r>
      <w:r>
        <w:t>they perform</w:t>
      </w:r>
      <w:r w:rsidRPr="00E162FF">
        <w:t xml:space="preserve"> </w:t>
      </w:r>
    </w:p>
    <w:p w14:paraId="7E72B9AA" w14:textId="77777777" w:rsidR="00CA4C1B" w:rsidRDefault="00CA4C1B" w:rsidP="00CA4C1B">
      <w:pPr>
        <w:pStyle w:val="ListBullet"/>
        <w:spacing w:after="120"/>
      </w:pPr>
      <w:proofErr w:type="gramStart"/>
      <w:r w:rsidRPr="00E162FF">
        <w:t>the</w:t>
      </w:r>
      <w:proofErr w:type="gramEnd"/>
      <w:r w:rsidRPr="00E162FF">
        <w:t xml:space="preserve"> applicable fees, charges and other costs payable.</w:t>
      </w:r>
    </w:p>
    <w:p w14:paraId="1249B28F" w14:textId="77777777" w:rsidR="00CA4C1B" w:rsidRDefault="00CA4C1B" w:rsidP="00CA4C1B">
      <w:pPr>
        <w:spacing w:after="80"/>
      </w:pPr>
      <w:r w:rsidRPr="00E162FF">
        <w:t xml:space="preserve">Invoices from contractors must </w:t>
      </w:r>
      <w:r>
        <w:t>contain:</w:t>
      </w:r>
    </w:p>
    <w:p w14:paraId="3053DEE8" w14:textId="77777777" w:rsidR="00CA4C1B" w:rsidRDefault="00CA4C1B" w:rsidP="00CA4C1B">
      <w:pPr>
        <w:pStyle w:val="ListBullet"/>
      </w:pPr>
      <w:r w:rsidRPr="00E162FF">
        <w:t>a detailed description of the nature of the work</w:t>
      </w:r>
    </w:p>
    <w:p w14:paraId="1C9B44A6" w14:textId="77777777" w:rsidR="00CA4C1B" w:rsidRDefault="00CA4C1B" w:rsidP="00CA4C1B">
      <w:pPr>
        <w:pStyle w:val="ListBullet"/>
      </w:pPr>
      <w:r w:rsidRPr="00E162FF">
        <w:t>the hours and hourly rates involved</w:t>
      </w:r>
    </w:p>
    <w:p w14:paraId="0BA54A08" w14:textId="77777777" w:rsidR="00CA4C1B" w:rsidRDefault="00CA4C1B" w:rsidP="00CA4C1B">
      <w:pPr>
        <w:pStyle w:val="ListBullet"/>
        <w:spacing w:after="120"/>
      </w:pPr>
      <w:proofErr w:type="gramStart"/>
      <w:r w:rsidRPr="00E162FF">
        <w:t>any</w:t>
      </w:r>
      <w:proofErr w:type="gramEnd"/>
      <w:r w:rsidRPr="00E162FF">
        <w:t xml:space="preserve"> specific plant expenses paid. </w:t>
      </w:r>
    </w:p>
    <w:p w14:paraId="5F15D172" w14:textId="77777777" w:rsidR="00CA4C1B" w:rsidRPr="00E162FF" w:rsidRDefault="00CA4C1B" w:rsidP="00CA4C1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310F9A0" w14:textId="77777777" w:rsidR="00CA4C1B" w:rsidRDefault="00CA4C1B" w:rsidP="00CA4C1B">
      <w:r>
        <w:t>We will require e</w:t>
      </w:r>
      <w:r w:rsidRPr="00E162FF">
        <w:t xml:space="preserve">vidence </w:t>
      </w:r>
      <w:r>
        <w:t>of contractor expenditure that</w:t>
      </w:r>
      <w:r w:rsidRPr="00E162FF">
        <w:t xml:space="preserve"> may include</w:t>
      </w:r>
      <w:r>
        <w:t>:</w:t>
      </w:r>
    </w:p>
    <w:p w14:paraId="1D454898" w14:textId="77777777" w:rsidR="00CA4C1B" w:rsidRDefault="00CA4C1B" w:rsidP="00CA4C1B">
      <w:pPr>
        <w:pStyle w:val="ListBullet"/>
      </w:pPr>
      <w:r w:rsidRPr="00E162FF">
        <w:t>an exchange of letters (including email) setting out the terms and conditions of the proposed contract work</w:t>
      </w:r>
    </w:p>
    <w:p w14:paraId="05FE9E0E" w14:textId="77777777" w:rsidR="00CA4C1B" w:rsidRDefault="00CA4C1B" w:rsidP="00CA4C1B">
      <w:pPr>
        <w:pStyle w:val="ListBullet"/>
      </w:pPr>
      <w:r w:rsidRPr="00E162FF">
        <w:t>purchase order</w:t>
      </w:r>
      <w:r>
        <w:t>s</w:t>
      </w:r>
    </w:p>
    <w:p w14:paraId="1402205B" w14:textId="77777777" w:rsidR="00CA4C1B" w:rsidRDefault="00CA4C1B" w:rsidP="00CA4C1B">
      <w:pPr>
        <w:pStyle w:val="ListBullet"/>
      </w:pPr>
      <w:r w:rsidRPr="00E162FF">
        <w:t>supply agreements</w:t>
      </w:r>
    </w:p>
    <w:p w14:paraId="30A00F69" w14:textId="77777777" w:rsidR="00CA4C1B" w:rsidRPr="00E162FF" w:rsidRDefault="00CA4C1B" w:rsidP="00CA4C1B">
      <w:pPr>
        <w:pStyle w:val="ListBullet"/>
        <w:spacing w:after="120"/>
      </w:pPr>
      <w:proofErr w:type="gramStart"/>
      <w:r w:rsidRPr="00E162FF">
        <w:t>invoices</w:t>
      </w:r>
      <w:proofErr w:type="gramEnd"/>
      <w:r w:rsidRPr="00E162FF">
        <w:t xml:space="preserve"> and payment documents.</w:t>
      </w:r>
    </w:p>
    <w:p w14:paraId="077C0C82" w14:textId="77777777" w:rsidR="00CA4C1B" w:rsidRPr="00E162FF" w:rsidRDefault="00CA4C1B" w:rsidP="00CA4C1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CF89724" w14:textId="77777777" w:rsidR="00CA4C1B" w:rsidRPr="006F6212" w:rsidRDefault="00CA4C1B" w:rsidP="00CA4C1B">
      <w:pPr>
        <w:pStyle w:val="Heading3Appendix"/>
        <w:numPr>
          <w:ilvl w:val="1"/>
          <w:numId w:val="12"/>
        </w:numPr>
      </w:pPr>
      <w:bookmarkStart w:id="678" w:name="_Toc496536721"/>
      <w:bookmarkStart w:id="679" w:name="_Toc531277549"/>
      <w:bookmarkStart w:id="680" w:name="_Toc955359"/>
      <w:bookmarkStart w:id="681" w:name="_Toc26443775"/>
      <w:bookmarkStart w:id="682" w:name="_Toc80190364"/>
      <w:bookmarkStart w:id="683" w:name="_Toc80190441"/>
      <w:bookmarkStart w:id="684" w:name="_Toc80870694"/>
      <w:bookmarkStart w:id="685" w:name="_Toc81229287"/>
      <w:bookmarkStart w:id="686" w:name="_Toc83047331"/>
      <w:bookmarkStart w:id="687" w:name="_Toc83722085"/>
      <w:bookmarkStart w:id="688" w:name="_Toc84398498"/>
      <w:r w:rsidRPr="006F6212">
        <w:t>Travel expenditure</w:t>
      </w:r>
      <w:bookmarkEnd w:id="678"/>
      <w:bookmarkEnd w:id="679"/>
      <w:bookmarkEnd w:id="680"/>
      <w:bookmarkEnd w:id="681"/>
      <w:bookmarkEnd w:id="682"/>
      <w:bookmarkEnd w:id="683"/>
      <w:bookmarkEnd w:id="684"/>
      <w:bookmarkEnd w:id="685"/>
      <w:bookmarkEnd w:id="686"/>
      <w:bookmarkEnd w:id="687"/>
      <w:bookmarkEnd w:id="688"/>
    </w:p>
    <w:p w14:paraId="27CB1799" w14:textId="77777777" w:rsidR="00CA4C1B" w:rsidRDefault="00CA4C1B" w:rsidP="00CA4C1B">
      <w:pPr>
        <w:spacing w:after="80"/>
      </w:pPr>
      <w:r>
        <w:t>Eligible travel may include</w:t>
      </w:r>
    </w:p>
    <w:p w14:paraId="3555020E" w14:textId="77777777" w:rsidR="00CA4C1B" w:rsidRPr="00982D64" w:rsidRDefault="00CA4C1B" w:rsidP="00CA4C1B">
      <w:pPr>
        <w:pStyle w:val="ListBullet"/>
      </w:pPr>
      <w:r w:rsidRPr="00831451">
        <w:t>domestic travel limited to the reasonable cost of accommodation</w:t>
      </w:r>
      <w:r w:rsidR="00E1183E">
        <w:t>,</w:t>
      </w:r>
      <w:r w:rsidRPr="00831451">
        <w:t xml:space="preserve"> transportation </w:t>
      </w:r>
      <w:r w:rsidR="00E1183E">
        <w:t xml:space="preserve">and food </w:t>
      </w:r>
      <w:r w:rsidRPr="00831451">
        <w:t>required to conduct agreed project and collaboration activities in Australia</w:t>
      </w:r>
    </w:p>
    <w:p w14:paraId="193C92C7" w14:textId="77777777" w:rsidR="00CA4C1B" w:rsidRPr="00982D64" w:rsidRDefault="00CA4C1B" w:rsidP="00CA4C1B">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43D79EE8" w14:textId="77777777" w:rsidR="00CA4C1B" w:rsidRPr="006F6212" w:rsidRDefault="00CA4C1B" w:rsidP="00CA4C1B">
      <w:pPr>
        <w:pStyle w:val="Heading3Appendix"/>
        <w:numPr>
          <w:ilvl w:val="1"/>
          <w:numId w:val="12"/>
        </w:numPr>
      </w:pPr>
      <w:bookmarkStart w:id="689" w:name="_Toc496536722"/>
      <w:bookmarkStart w:id="690" w:name="_Toc531277550"/>
      <w:bookmarkStart w:id="691" w:name="_Toc955360"/>
      <w:bookmarkStart w:id="692" w:name="_Toc26443776"/>
      <w:bookmarkStart w:id="693" w:name="_Toc80190365"/>
      <w:bookmarkStart w:id="694" w:name="_Toc80190442"/>
      <w:bookmarkStart w:id="695" w:name="_Toc81229288"/>
      <w:bookmarkStart w:id="696" w:name="_Toc83047332"/>
      <w:bookmarkStart w:id="697" w:name="_Toc83722086"/>
      <w:bookmarkStart w:id="698" w:name="_Toc84398499"/>
      <w:bookmarkStart w:id="699" w:name="_Toc80870695"/>
      <w:r w:rsidRPr="006F6212">
        <w:t>Other eligible expenditure</w:t>
      </w:r>
      <w:bookmarkEnd w:id="689"/>
      <w:bookmarkEnd w:id="690"/>
      <w:bookmarkEnd w:id="691"/>
      <w:bookmarkEnd w:id="692"/>
      <w:bookmarkEnd w:id="693"/>
      <w:bookmarkEnd w:id="694"/>
      <w:bookmarkEnd w:id="695"/>
      <w:bookmarkEnd w:id="696"/>
      <w:bookmarkEnd w:id="697"/>
      <w:bookmarkEnd w:id="698"/>
    </w:p>
    <w:bookmarkEnd w:id="699"/>
    <w:p w14:paraId="41F7F01D" w14:textId="77777777" w:rsidR="00CA4C1B" w:rsidRDefault="00CA4C1B" w:rsidP="00CA4C1B">
      <w:r w:rsidRPr="00E162FF">
        <w:t>Other eligible expenditure</w:t>
      </w:r>
      <w:r>
        <w:t>s</w:t>
      </w:r>
      <w:r w:rsidRPr="00E162FF">
        <w:t xml:space="preserve"> </w:t>
      </w:r>
      <w:r>
        <w:t>for</w:t>
      </w:r>
      <w:r w:rsidRPr="00E162FF">
        <w:t xml:space="preserve"> the project </w:t>
      </w:r>
      <w:r>
        <w:t>may include</w:t>
      </w:r>
      <w:r w:rsidRPr="00E162FF">
        <w:t>:</w:t>
      </w:r>
    </w:p>
    <w:p w14:paraId="5FC36D76" w14:textId="20C01D7D" w:rsidR="00CA4C1B" w:rsidRPr="00E162FF" w:rsidRDefault="00CA4C1B" w:rsidP="00CA4C1B">
      <w:pPr>
        <w:pStyle w:val="ListBullet"/>
      </w:pPr>
      <w:proofErr w:type="gramStart"/>
      <w:r w:rsidRPr="00E162FF">
        <w:t>building</w:t>
      </w:r>
      <w:proofErr w:type="gramEnd"/>
      <w:r w:rsidRPr="00E162FF">
        <w:t xml:space="preserve">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123608">
        <w:t>project</w:t>
      </w:r>
      <w:r w:rsidRPr="00E162FF">
        <w:t>.</w:t>
      </w:r>
    </w:p>
    <w:p w14:paraId="674B3B68" w14:textId="77777777" w:rsidR="00CA4C1B" w:rsidRPr="00E162FF" w:rsidRDefault="00CA4C1B" w:rsidP="00CA4C1B">
      <w:pPr>
        <w:pStyle w:val="ListBullet"/>
      </w:pPr>
      <w:r w:rsidRPr="00E162FF">
        <w:t>staff training that directly supports the achievement of</w:t>
      </w:r>
      <w:r>
        <w:t xml:space="preserve"> </w:t>
      </w:r>
      <w:r w:rsidRPr="00E162FF">
        <w:t>project outcomes</w:t>
      </w:r>
    </w:p>
    <w:p w14:paraId="4C32E211" w14:textId="77777777" w:rsidR="00CA4C1B" w:rsidRPr="00E162FF" w:rsidRDefault="00CA4C1B" w:rsidP="00CA4C1B">
      <w:pPr>
        <w:pStyle w:val="ListBullet"/>
      </w:pPr>
      <w:r w:rsidRPr="00E162FF">
        <w:t>financial audit</w:t>
      </w:r>
      <w:r>
        <w:t>ing</w:t>
      </w:r>
      <w:r w:rsidRPr="00E162FF">
        <w:t xml:space="preserve"> of project expenditure</w:t>
      </w:r>
    </w:p>
    <w:p w14:paraId="5717857C" w14:textId="77777777" w:rsidR="00CA4C1B" w:rsidRPr="00E162FF" w:rsidRDefault="00CA4C1B" w:rsidP="00CA4C1B">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3C68C1AF" w14:textId="77777777" w:rsidR="00CA4C1B" w:rsidRDefault="00CA4C1B" w:rsidP="00CA4C1B">
      <w:pPr>
        <w:pStyle w:val="ListBullet"/>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DB3609" w14:textId="77777777" w:rsidR="00CA4C1B" w:rsidRDefault="00CA4C1B" w:rsidP="00CA4C1B">
      <w:r w:rsidRPr="00E162FF">
        <w:t>Other specific expenditure</w:t>
      </w:r>
      <w:r>
        <w:t>s</w:t>
      </w:r>
      <w:r w:rsidRPr="00E162FF">
        <w:t xml:space="preserve"> may be eligible as determined by the </w:t>
      </w:r>
      <w:r>
        <w:t>Program</w:t>
      </w:r>
      <w:r w:rsidRPr="00E162FF">
        <w:t xml:space="preserve"> Delegate.</w:t>
      </w:r>
    </w:p>
    <w:p w14:paraId="09B4BA7C" w14:textId="77777777" w:rsidR="00CA4C1B" w:rsidRDefault="00CA4C1B" w:rsidP="00CA4C1B">
      <w:r w:rsidRPr="00E162FF">
        <w:t xml:space="preserve">Evidence </w:t>
      </w:r>
      <w:r>
        <w:t>you need to supply can</w:t>
      </w:r>
      <w:r w:rsidRPr="00E162FF">
        <w:t xml:space="preserve"> include supplier contracts, purchase orders, invoices and supplier confirmation of payments.</w:t>
      </w:r>
    </w:p>
    <w:p w14:paraId="7562D7E6" w14:textId="77777777" w:rsidR="00CA4C1B" w:rsidRDefault="00CA4C1B" w:rsidP="00CA4C1B">
      <w:pPr>
        <w:sectPr w:rsidR="00CA4C1B" w:rsidSect="0002331D">
          <w:pgSz w:w="11907" w:h="16840" w:code="9"/>
          <w:pgMar w:top="1418" w:right="1418" w:bottom="1276" w:left="1701" w:header="709" w:footer="709" w:gutter="0"/>
          <w:cols w:space="720"/>
          <w:docGrid w:linePitch="360"/>
        </w:sectPr>
      </w:pPr>
    </w:p>
    <w:p w14:paraId="6C017CE0" w14:textId="77777777" w:rsidR="00CA4C1B" w:rsidRDefault="00CA4C1B" w:rsidP="00CA4C1B">
      <w:pPr>
        <w:pStyle w:val="Heading2Appendix"/>
        <w:numPr>
          <w:ilvl w:val="0"/>
          <w:numId w:val="12"/>
        </w:numPr>
      </w:pPr>
      <w:bookmarkStart w:id="700" w:name="_Toc383003259"/>
      <w:bookmarkStart w:id="701" w:name="_Toc496536723"/>
      <w:bookmarkStart w:id="702" w:name="_Toc531277551"/>
      <w:bookmarkStart w:id="703" w:name="_Toc955361"/>
      <w:bookmarkStart w:id="704" w:name="_Toc26443777"/>
      <w:bookmarkStart w:id="705" w:name="_Toc80190366"/>
      <w:bookmarkStart w:id="706" w:name="_Toc80190443"/>
      <w:bookmarkStart w:id="707" w:name="_Toc80870696"/>
      <w:bookmarkStart w:id="708" w:name="_Toc81229289"/>
      <w:bookmarkStart w:id="709" w:name="_Toc83047333"/>
      <w:bookmarkStart w:id="710" w:name="_Toc83722087"/>
      <w:bookmarkStart w:id="711" w:name="_Toc84398500"/>
      <w:r>
        <w:t>Ineligible expenditure</w:t>
      </w:r>
      <w:bookmarkEnd w:id="700"/>
      <w:bookmarkEnd w:id="701"/>
      <w:bookmarkEnd w:id="702"/>
      <w:bookmarkEnd w:id="703"/>
      <w:bookmarkEnd w:id="704"/>
      <w:bookmarkEnd w:id="705"/>
      <w:bookmarkEnd w:id="706"/>
      <w:bookmarkEnd w:id="707"/>
      <w:bookmarkEnd w:id="708"/>
      <w:bookmarkEnd w:id="709"/>
      <w:bookmarkEnd w:id="710"/>
      <w:bookmarkEnd w:id="711"/>
    </w:p>
    <w:p w14:paraId="102093FD" w14:textId="77777777" w:rsidR="00CA4C1B" w:rsidRDefault="00CA4C1B" w:rsidP="00CA4C1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4CDA1911" w14:textId="77777777" w:rsidR="00CA4C1B" w:rsidRDefault="00CA4C1B" w:rsidP="00CA4C1B">
      <w:r>
        <w:t>The Program Delegate may impose limitations or exclude expenditure, or further include some ineligible expenditure listed in these guidelines in a grant agreement or otherwise by notice to you.</w:t>
      </w:r>
    </w:p>
    <w:p w14:paraId="660077F1" w14:textId="77777777" w:rsidR="00CA4C1B" w:rsidRDefault="00CA4C1B" w:rsidP="00CA4C1B">
      <w:r>
        <w:t>Examples of i</w:t>
      </w:r>
      <w:r w:rsidRPr="00E162FF">
        <w:t>neligible expenditure include:</w:t>
      </w:r>
    </w:p>
    <w:p w14:paraId="3B063F6E" w14:textId="77777777" w:rsidR="00CA4C1B" w:rsidRDefault="00CA4C1B" w:rsidP="00CA4C1B">
      <w:pPr>
        <w:pStyle w:val="ListBullet"/>
      </w:pPr>
      <w:r>
        <w:t>research not directly supporting eligible activities</w:t>
      </w:r>
    </w:p>
    <w:p w14:paraId="79BC217E" w14:textId="77777777" w:rsidR="00CA4C1B" w:rsidRDefault="00CA4C1B" w:rsidP="00CA4C1B">
      <w:pPr>
        <w:pStyle w:val="ListBullet"/>
      </w:pPr>
      <w:r>
        <w:t>activities, equipment or supplies that are already being supported through other sources</w:t>
      </w:r>
    </w:p>
    <w:p w14:paraId="415DEA5D" w14:textId="77777777" w:rsidR="00CA4C1B" w:rsidRPr="00F21B18" w:rsidRDefault="00CA4C1B" w:rsidP="00CA4C1B">
      <w:pPr>
        <w:pStyle w:val="ListBullet"/>
      </w:pPr>
      <w:r w:rsidRPr="00F21B18">
        <w:t xml:space="preserve">costs incurred prior to us notifying you that the application is eligible and complete </w:t>
      </w:r>
    </w:p>
    <w:p w14:paraId="2E7EF06A" w14:textId="77777777" w:rsidR="00CA4C1B" w:rsidRDefault="00CA4C1B" w:rsidP="00CA4C1B">
      <w:pPr>
        <w:pStyle w:val="ListBullet"/>
      </w:pPr>
      <w:r>
        <w:t>financing</w:t>
      </w:r>
      <w:r w:rsidRPr="00E162FF">
        <w:t xml:space="preserve"> costs</w:t>
      </w:r>
      <w:r>
        <w:t>,</w:t>
      </w:r>
      <w:r w:rsidRPr="00E162FF">
        <w:t xml:space="preserve"> including interest</w:t>
      </w:r>
    </w:p>
    <w:p w14:paraId="56D9EF31" w14:textId="4A23E41A" w:rsidR="00CA4C1B" w:rsidRDefault="00CA4C1B" w:rsidP="00CA4C1B">
      <w:pPr>
        <w:pStyle w:val="ListBullet"/>
      </w:pPr>
      <w:r>
        <w:t>capital expenditure for the purchase of assets such as office furniture and equipment, motor vehicles, computers, printers or photocopiers</w:t>
      </w:r>
    </w:p>
    <w:p w14:paraId="01BA1F18" w14:textId="77777777" w:rsidR="00CA4C1B" w:rsidRDefault="00CA4C1B" w:rsidP="00CA4C1B">
      <w:pPr>
        <w:pStyle w:val="ListBullet"/>
      </w:pPr>
      <w:r>
        <w:t>costs involved in the purchase or upgrade/hire of software (including user licences) and ICT hardware (unless it directly relates to the project)</w:t>
      </w:r>
    </w:p>
    <w:p w14:paraId="5C478B99" w14:textId="7D2A08E8" w:rsidR="00CA4C1B" w:rsidRDefault="00CA4C1B" w:rsidP="00CA4C1B">
      <w:pPr>
        <w:pStyle w:val="ListBullet"/>
      </w:pPr>
      <w:r>
        <w:t>cost</w:t>
      </w:r>
      <w:r w:rsidR="005E4B08">
        <w:t xml:space="preserve">s such as rental </w:t>
      </w:r>
      <w:r>
        <w:t>and utilities</w:t>
      </w:r>
    </w:p>
    <w:p w14:paraId="3FC3490C" w14:textId="77777777" w:rsidR="00CA4C1B" w:rsidRDefault="00CA4C1B" w:rsidP="00CA4C1B">
      <w:pPr>
        <w:pStyle w:val="ListBullet"/>
      </w:pPr>
      <w:r>
        <w:t>non-project-related staff training and development costs</w:t>
      </w:r>
    </w:p>
    <w:p w14:paraId="41D62162" w14:textId="77777777" w:rsidR="00CA4C1B" w:rsidRPr="00BD4BB0" w:rsidRDefault="00CA4C1B" w:rsidP="00CA4C1B">
      <w:pPr>
        <w:pStyle w:val="ListBullet"/>
      </w:pPr>
      <w:r w:rsidRPr="00BD4BB0">
        <w:t>insurance costs (the participants must effect and maintain adequate insurance or similar coverage for any liability arising as a result of its participation in funded activities)</w:t>
      </w:r>
    </w:p>
    <w:p w14:paraId="4ECB8624" w14:textId="77777777" w:rsidR="00CA4C1B" w:rsidRPr="00BD4BB0" w:rsidRDefault="00CA4C1B" w:rsidP="00CA4C1B">
      <w:pPr>
        <w:pStyle w:val="ListBullet"/>
      </w:pPr>
      <w:r w:rsidRPr="00BD4BB0">
        <w:t>debt financing</w:t>
      </w:r>
    </w:p>
    <w:p w14:paraId="70E5EF3D" w14:textId="77777777" w:rsidR="00CA4C1B" w:rsidRPr="00E162FF" w:rsidRDefault="00CA4C1B" w:rsidP="00CA4C1B">
      <w:pPr>
        <w:pStyle w:val="ListBullet"/>
      </w:pPr>
      <w:r>
        <w:t xml:space="preserve">costs related to </w:t>
      </w:r>
      <w:r w:rsidRPr="00E162FF">
        <w:t>obtaining resources used on the project, including interest on loans, job advertising and recruiting, and contract negotiations</w:t>
      </w:r>
    </w:p>
    <w:p w14:paraId="4017E109" w14:textId="77777777" w:rsidR="00CA4C1B" w:rsidRDefault="00CA4C1B" w:rsidP="00CA4C1B">
      <w:pPr>
        <w:pStyle w:val="ListBullet"/>
      </w:pPr>
      <w:r w:rsidRPr="00E162FF">
        <w:t>depreciation of plant and equipment</w:t>
      </w:r>
      <w:r>
        <w:t xml:space="preserve"> beyond the life of the project</w:t>
      </w:r>
    </w:p>
    <w:p w14:paraId="6F20E312" w14:textId="77777777" w:rsidR="00CA4C1B" w:rsidRPr="00E162FF" w:rsidRDefault="00CA4C1B" w:rsidP="00CA4C1B">
      <w:pPr>
        <w:pStyle w:val="ListBullet"/>
      </w:pPr>
      <w:r>
        <w:t>maintenance costs</w:t>
      </w:r>
    </w:p>
    <w:p w14:paraId="5BB40A58" w14:textId="56A8DE56" w:rsidR="00CA4C1B" w:rsidRPr="00E162FF" w:rsidRDefault="00CA4C1B" w:rsidP="00CA4C1B">
      <w:pPr>
        <w:pStyle w:val="ListBullet"/>
      </w:pPr>
      <w:r>
        <w:t>costs of p</w:t>
      </w:r>
      <w:r w:rsidRPr="00E162FF">
        <w:t>urchas</w:t>
      </w:r>
      <w:r>
        <w:t>ing</w:t>
      </w:r>
      <w:r w:rsidRPr="00E162FF">
        <w:t>, leas</w:t>
      </w:r>
      <w:r>
        <w:t>ing</w:t>
      </w:r>
      <w:r w:rsidRPr="00E162FF">
        <w:t>, depreciation</w:t>
      </w:r>
      <w:r>
        <w:t xml:space="preserve"> of,</w:t>
      </w:r>
      <w:r w:rsidRPr="00E162FF">
        <w:t xml:space="preserve"> or developme</w:t>
      </w:r>
      <w:r w:rsidR="00E95458">
        <w:t>nt of land</w:t>
      </w:r>
      <w:r w:rsidR="00B67FF9">
        <w:t xml:space="preserve"> </w:t>
      </w: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24FDC5E3" w14:textId="77777777" w:rsidR="00CA4C1B" w:rsidRPr="00E162FF" w:rsidRDefault="00CA4C1B" w:rsidP="00CA4C1B">
      <w:pPr>
        <w:pStyle w:val="ListBullet"/>
      </w:pPr>
      <w:r w:rsidRPr="00E162FF">
        <w:t>costs of manufacturing production inputs</w:t>
      </w:r>
    </w:p>
    <w:p w14:paraId="369D48DE" w14:textId="77777777" w:rsidR="00CA4C1B" w:rsidRPr="00E162FF" w:rsidRDefault="00CA4C1B" w:rsidP="00CA4C1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4B01375A" w14:textId="77777777" w:rsidR="00CA4C1B" w:rsidRDefault="00CA4C1B" w:rsidP="00CA4C1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8B55536" w14:textId="77777777" w:rsidR="00CA4C1B" w:rsidRPr="00E162FF" w:rsidRDefault="00CA4C1B" w:rsidP="00CA4C1B">
      <w:pPr>
        <w:pStyle w:val="ListBullet"/>
        <w:spacing w:after="120"/>
      </w:pPr>
      <w:proofErr w:type="gramStart"/>
      <w:r>
        <w:t>travel</w:t>
      </w:r>
      <w:proofErr w:type="gramEnd"/>
      <w:r>
        <w:t xml:space="preserve"> costs that exceed 10% of total project costs except where otherwise approved by the Program Delegate.</w:t>
      </w:r>
    </w:p>
    <w:p w14:paraId="2F92A01B" w14:textId="77777777" w:rsidR="00CA4C1B" w:rsidRDefault="00CA4C1B" w:rsidP="00CA4C1B">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714FB16" w14:textId="77777777" w:rsidR="00F11991" w:rsidRDefault="00CA4C1B" w:rsidP="00CA4C1B">
      <w:r>
        <w:t>You must ensure you have adequate funds to meet the costs of any ineligible expenditure associated with the project.</w:t>
      </w:r>
    </w:p>
    <w:sectPr w:rsidR="00F1199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0162" w14:textId="77777777" w:rsidR="00BA2847" w:rsidRDefault="00BA2847" w:rsidP="00077C3D">
      <w:r>
        <w:separator/>
      </w:r>
    </w:p>
  </w:endnote>
  <w:endnote w:type="continuationSeparator" w:id="0">
    <w:p w14:paraId="07DD8495" w14:textId="77777777" w:rsidR="00BA2847" w:rsidRDefault="00BA2847" w:rsidP="00077C3D">
      <w:r>
        <w:continuationSeparator/>
      </w:r>
    </w:p>
  </w:endnote>
  <w:endnote w:type="continuationNotice" w:id="1">
    <w:p w14:paraId="5E1A118A" w14:textId="77777777" w:rsidR="00BA2847" w:rsidRDefault="00BA284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EDC8" w14:textId="77777777" w:rsidR="000B3AE1" w:rsidRDefault="000B3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C9E2" w14:textId="77777777" w:rsidR="000B3AE1" w:rsidRDefault="000B3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85B9" w14:textId="77777777" w:rsidR="00BA2847" w:rsidRPr="0059733A" w:rsidRDefault="00BA2847"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37093" w14:textId="77777777" w:rsidR="00BA2847" w:rsidRDefault="00BA2847" w:rsidP="00007E4B">
    <w:pPr>
      <w:pStyle w:val="Footer"/>
      <w:tabs>
        <w:tab w:val="clear" w:pos="4153"/>
        <w:tab w:val="clear" w:pos="8306"/>
        <w:tab w:val="center" w:pos="4962"/>
        <w:tab w:val="right" w:pos="8789"/>
      </w:tabs>
    </w:pPr>
    <w:r>
      <w:t>Preparing Australian Communities – Local Stream</w:t>
    </w:r>
  </w:p>
  <w:p w14:paraId="5DB29A3B" w14:textId="1A2E1BF6" w:rsidR="00BA2847" w:rsidRDefault="002B0F56" w:rsidP="00E963B8">
    <w:pPr>
      <w:pStyle w:val="Footer"/>
      <w:tabs>
        <w:tab w:val="clear" w:pos="4153"/>
        <w:tab w:val="clear" w:pos="8306"/>
        <w:tab w:val="center" w:pos="4962"/>
        <w:tab w:val="right" w:pos="8789"/>
      </w:tabs>
      <w:rPr>
        <w:noProof/>
      </w:rPr>
    </w:pPr>
    <w:sdt>
      <w:sdtPr>
        <w:alias w:val="Title"/>
        <w:tag w:val=""/>
        <w:id w:val="-1194534969"/>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A2847">
          <w:t>Grant opportunity guidelines</w:t>
        </w:r>
      </w:sdtContent>
    </w:sdt>
    <w:r w:rsidR="00BA2847">
      <w:tab/>
      <w:t>November 2021</w:t>
    </w:r>
    <w:r w:rsidR="00BA2847" w:rsidRPr="005B72F4">
      <w:tab/>
      <w:t xml:space="preserve">Page </w:t>
    </w:r>
    <w:r w:rsidR="00BA2847" w:rsidRPr="005B72F4">
      <w:fldChar w:fldCharType="begin"/>
    </w:r>
    <w:r w:rsidR="00BA2847" w:rsidRPr="005B72F4">
      <w:instrText xml:space="preserve"> PAGE </w:instrText>
    </w:r>
    <w:r w:rsidR="00BA2847" w:rsidRPr="005B72F4">
      <w:fldChar w:fldCharType="separate"/>
    </w:r>
    <w:r>
      <w:rPr>
        <w:noProof/>
      </w:rPr>
      <w:t>25</w:t>
    </w:r>
    <w:r w:rsidR="00BA2847" w:rsidRPr="005B72F4">
      <w:fldChar w:fldCharType="end"/>
    </w:r>
    <w:r w:rsidR="00BA2847" w:rsidRPr="005B72F4">
      <w:t xml:space="preserve"> of </w:t>
    </w:r>
    <w:r w:rsidR="00BA2847">
      <w:rPr>
        <w:noProof/>
      </w:rPr>
      <w:fldChar w:fldCharType="begin"/>
    </w:r>
    <w:r w:rsidR="00BA2847">
      <w:rPr>
        <w:noProof/>
      </w:rPr>
      <w:instrText xml:space="preserve"> NUMPAGES </w:instrText>
    </w:r>
    <w:r w:rsidR="00BA2847">
      <w:rPr>
        <w:noProof/>
      </w:rPr>
      <w:fldChar w:fldCharType="separate"/>
    </w:r>
    <w:r>
      <w:rPr>
        <w:noProof/>
      </w:rPr>
      <w:t>35</w:t>
    </w:r>
    <w:r w:rsidR="00BA2847">
      <w:rPr>
        <w:noProof/>
      </w:rPr>
      <w:fldChar w:fldCharType="end"/>
    </w:r>
    <w:bookmarkStart w:id="1" w:name="_Toc164844258"/>
    <w:bookmarkStart w:id="2" w:name="_Toc383003250"/>
    <w:bookmarkStart w:id="3" w:name="_Toc164844257"/>
    <w:bookmarkEnd w:id="1"/>
    <w:bookmarkEnd w:id="2"/>
    <w:bookmarkEnd w:id="3"/>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9DF4F" w14:textId="77777777" w:rsidR="00BA2847" w:rsidRDefault="00BA2847"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1F9E" w14:textId="77777777" w:rsidR="00BA2847" w:rsidRDefault="00BA2847" w:rsidP="00077C3D">
      <w:r>
        <w:separator/>
      </w:r>
    </w:p>
  </w:footnote>
  <w:footnote w:type="continuationSeparator" w:id="0">
    <w:p w14:paraId="1662FEB0" w14:textId="77777777" w:rsidR="00BA2847" w:rsidRDefault="00BA2847" w:rsidP="00077C3D">
      <w:r>
        <w:continuationSeparator/>
      </w:r>
    </w:p>
  </w:footnote>
  <w:footnote w:type="continuationNotice" w:id="1">
    <w:p w14:paraId="744B3C0B" w14:textId="77777777" w:rsidR="00BA2847" w:rsidRDefault="00BA2847" w:rsidP="00077C3D"/>
  </w:footnote>
  <w:footnote w:id="2">
    <w:p w14:paraId="559D8EAA" w14:textId="3718080A" w:rsidR="00BA2847" w:rsidRDefault="00BA2847">
      <w:pPr>
        <w:pStyle w:val="FootnoteText"/>
      </w:pPr>
      <w:r>
        <w:rPr>
          <w:rStyle w:val="FootnoteReference"/>
        </w:rPr>
        <w:footnoteRef/>
      </w:r>
      <w:r>
        <w:t xml:space="preserve"> </w:t>
      </w:r>
      <w:hyperlink r:id="rId1" w:history="1">
        <w:r>
          <w:rPr>
            <w:rStyle w:val="Hyperlink"/>
          </w:rPr>
          <w:t>naturaldisaster.royalcommission.gov.au</w:t>
        </w:r>
      </w:hyperlink>
    </w:p>
  </w:footnote>
  <w:footnote w:id="3">
    <w:p w14:paraId="2A17B435" w14:textId="01674A95" w:rsidR="00BA2847" w:rsidRDefault="00BA2847" w:rsidP="004562CF">
      <w:pPr>
        <w:pStyle w:val="FootnoteText"/>
      </w:pPr>
      <w:r>
        <w:rPr>
          <w:rStyle w:val="FootnoteReference"/>
        </w:rPr>
        <w:footnoteRef/>
      </w:r>
      <w:r>
        <w:t xml:space="preserve"> </w:t>
      </w:r>
      <w:hyperlink r:id="rId2" w:history="1">
        <w:r w:rsidRPr="0062773F">
          <w:rPr>
            <w:rStyle w:val="Hyperlink"/>
          </w:rPr>
          <w:t>https://recovery.gov.au/latest-news/resilience-way-forward</w:t>
        </w:r>
      </w:hyperlink>
      <w:r>
        <w:t xml:space="preserve"> </w:t>
      </w:r>
    </w:p>
  </w:footnote>
  <w:footnote w:id="4">
    <w:p w14:paraId="7E479FC0" w14:textId="77777777" w:rsidR="00BA2847" w:rsidRDefault="00BA2847" w:rsidP="007539C8">
      <w:pPr>
        <w:pStyle w:val="FootnoteText"/>
      </w:pPr>
      <w:r>
        <w:rPr>
          <w:rStyle w:val="FootnoteReference"/>
        </w:rPr>
        <w:footnoteRef/>
      </w:r>
      <w:r>
        <w:t xml:space="preserve"> </w:t>
      </w:r>
      <w:hyperlink r:id="rId3" w:history="1">
        <w:r w:rsidRPr="00CD05A9">
          <w:rPr>
            <w:rStyle w:val="Hyperlink"/>
          </w:rPr>
          <w:t>https://www.finance.gov.au/government/commonwealth-grants/commonwealth-grants-rules-guidelines</w:t>
        </w:r>
      </w:hyperlink>
      <w:r>
        <w:rPr>
          <w:rStyle w:val="Hyperlink"/>
        </w:rPr>
        <w:t xml:space="preserve"> </w:t>
      </w:r>
    </w:p>
  </w:footnote>
  <w:footnote w:id="5">
    <w:p w14:paraId="1CC87FBD" w14:textId="77777777" w:rsidR="00BA2847" w:rsidRDefault="00BA2847" w:rsidP="00F11991">
      <w:pPr>
        <w:pStyle w:val="FootnoteText"/>
      </w:pPr>
      <w:r>
        <w:rPr>
          <w:rStyle w:val="FootnoteReference"/>
        </w:rPr>
        <w:footnoteRef/>
      </w:r>
      <w:r>
        <w:t xml:space="preserve"> </w:t>
      </w:r>
      <w:hyperlink r:id="rId4" w:history="1">
        <w:r w:rsidRPr="00A56BAC">
          <w:rPr>
            <w:rStyle w:val="Hyperlink"/>
          </w:rPr>
          <w:t>https://www.humanrights.gov.au/our-work/childrens-rights/national-principles-child-safe-organisations</w:t>
        </w:r>
      </w:hyperlink>
      <w:r>
        <w:t xml:space="preserve"> </w:t>
      </w:r>
    </w:p>
  </w:footnote>
  <w:footnote w:id="6">
    <w:p w14:paraId="52D93A38" w14:textId="77777777" w:rsidR="00BA2847" w:rsidRDefault="00BA2847" w:rsidP="0071709C">
      <w:pPr>
        <w:pStyle w:val="FootnoteText"/>
      </w:pPr>
      <w:r>
        <w:rPr>
          <w:rStyle w:val="FootnoteReference"/>
        </w:rPr>
        <w:footnoteRef/>
      </w:r>
      <w:r>
        <w:t xml:space="preserve"> </w:t>
      </w:r>
      <w:hyperlink r:id="rId5" w:history="1">
        <w:r>
          <w:rPr>
            <w:rStyle w:val="Hyperlink"/>
            <w:rFonts w:eastAsia="MS Mincho"/>
          </w:rPr>
          <w:t>https://www.abcc.gov.au/building-code/building-code-2016</w:t>
        </w:r>
      </w:hyperlink>
      <w:r>
        <w:t xml:space="preserve"> </w:t>
      </w:r>
    </w:p>
  </w:footnote>
  <w:footnote w:id="7">
    <w:p w14:paraId="729B57E6" w14:textId="77777777" w:rsidR="00BA2847" w:rsidRDefault="00BA2847" w:rsidP="0071709C">
      <w:pPr>
        <w:pStyle w:val="FootnoteText"/>
      </w:pPr>
      <w:r>
        <w:rPr>
          <w:rStyle w:val="FootnoteReference"/>
        </w:rPr>
        <w:footnoteRef/>
      </w:r>
      <w:r>
        <w:t xml:space="preserve"> </w:t>
      </w:r>
      <w:hyperlink r:id="rId6" w:history="1">
        <w:r>
          <w:rPr>
            <w:rStyle w:val="Hyperlink"/>
            <w:rFonts w:eastAsia="MS Mincho"/>
          </w:rPr>
          <w:t>http://www.fsc.gov.au/sites/fsc/needaccredited/accreditationscheme/pages/theaccreditationscheme</w:t>
        </w:r>
      </w:hyperlink>
      <w:r>
        <w:t xml:space="preserve"> </w:t>
      </w:r>
    </w:p>
  </w:footnote>
  <w:footnote w:id="8">
    <w:p w14:paraId="4C87FF6D" w14:textId="77777777" w:rsidR="00BA2847" w:rsidRDefault="00BA2847" w:rsidP="0071709C">
      <w:pPr>
        <w:pStyle w:val="FootnoteText"/>
      </w:pPr>
      <w:r>
        <w:rPr>
          <w:rStyle w:val="FootnoteReference"/>
        </w:rPr>
        <w:footnoteRef/>
      </w:r>
      <w:r>
        <w:t xml:space="preserve"> </w:t>
      </w:r>
      <w:hyperlink r:id="rId7" w:history="1">
        <w:r>
          <w:rPr>
            <w:rStyle w:val="Hyperlink"/>
            <w:rFonts w:eastAsia="MS Mincho"/>
          </w:rPr>
          <w:t>https://www.abcc.gov.au/</w:t>
        </w:r>
      </w:hyperlink>
      <w:r>
        <w:t xml:space="preserve"> </w:t>
      </w:r>
    </w:p>
  </w:footnote>
  <w:footnote w:id="9">
    <w:p w14:paraId="185ECF98" w14:textId="77777777" w:rsidR="00BA2847" w:rsidRDefault="00BA2847" w:rsidP="00843FB0">
      <w:pPr>
        <w:pStyle w:val="FootnoteText"/>
      </w:pPr>
      <w:r>
        <w:rPr>
          <w:rStyle w:val="FootnoteReference"/>
        </w:rPr>
        <w:footnoteRef/>
      </w:r>
      <w:r>
        <w:t xml:space="preserve"> http://www.fsc.gov.au/sites/FSC </w:t>
      </w:r>
    </w:p>
  </w:footnote>
  <w:footnote w:id="10">
    <w:p w14:paraId="084EA947" w14:textId="77777777" w:rsidR="00BA2847" w:rsidRPr="007C453D" w:rsidRDefault="00BA2847">
      <w:pPr>
        <w:pStyle w:val="FootnoteText"/>
      </w:pPr>
      <w:r>
        <w:rPr>
          <w:rStyle w:val="FootnoteReference"/>
        </w:rPr>
        <w:footnoteRef/>
      </w:r>
      <w:r>
        <w:t xml:space="preserve"> See </w:t>
      </w:r>
      <w:r w:rsidRPr="007941D7">
        <w:t>Australian Taxation Office ruling GSTR 2012/2</w:t>
      </w:r>
      <w:r>
        <w:t xml:space="preserve"> available at ato.gov.au</w:t>
      </w:r>
    </w:p>
  </w:footnote>
  <w:footnote w:id="11">
    <w:p w14:paraId="4CC0BEF7" w14:textId="77777777" w:rsidR="00BA2847" w:rsidRPr="005A61FE" w:rsidRDefault="00BA2847">
      <w:pPr>
        <w:pStyle w:val="FootnoteText"/>
        <w:rPr>
          <w:lang w:val="en-US"/>
        </w:rPr>
      </w:pPr>
      <w:r>
        <w:rPr>
          <w:rStyle w:val="FootnoteReference"/>
        </w:rPr>
        <w:footnoteRef/>
      </w:r>
      <w:r>
        <w:t xml:space="preserve"> </w:t>
      </w:r>
      <w:r w:rsidRPr="001D1072">
        <w:rPr>
          <w:rStyle w:val="Hyperlink"/>
        </w:rPr>
        <w:t>https://www.legislation.gov.au/Details/C2019C00057</w:t>
      </w:r>
    </w:p>
  </w:footnote>
  <w:footnote w:id="12">
    <w:p w14:paraId="196AF016" w14:textId="77777777" w:rsidR="00BA2847" w:rsidRDefault="00BA2847" w:rsidP="001A612B">
      <w:pPr>
        <w:pStyle w:val="FootnoteText"/>
      </w:pPr>
      <w:r>
        <w:rPr>
          <w:rStyle w:val="FootnoteReference"/>
        </w:rPr>
        <w:footnoteRef/>
      </w:r>
      <w:r>
        <w:t xml:space="preserve"> </w:t>
      </w:r>
      <w:hyperlink r:id="rId8" w:history="1">
        <w:r w:rsidRPr="006622A1">
          <w:rPr>
            <w:rStyle w:val="Hyperlink"/>
          </w:rPr>
          <w:t>https://www.industry.gov.au/sites/default/files/July%202018/document/pdf/conflict-of-interest-and-insider-trading-policy.pdf?acsf_files_redirect</w:t>
        </w:r>
      </w:hyperlink>
      <w:r>
        <w:t xml:space="preserve"> </w:t>
      </w:r>
    </w:p>
  </w:footnote>
  <w:footnote w:id="13">
    <w:p w14:paraId="3689341D" w14:textId="77777777" w:rsidR="00BA2847" w:rsidRDefault="00BA2847" w:rsidP="00E462A3">
      <w:pPr>
        <w:pStyle w:val="FootnoteText"/>
      </w:pPr>
      <w:r>
        <w:rPr>
          <w:rStyle w:val="FootnoteReference"/>
        </w:rPr>
        <w:footnoteRef/>
      </w:r>
      <w:r>
        <w:t xml:space="preserve"> </w:t>
      </w:r>
      <w:hyperlink r:id="rId9" w:history="1">
        <w:r w:rsidRPr="006622A1">
          <w:rPr>
            <w:rStyle w:val="Hyperlink"/>
          </w:rPr>
          <w:t>https://www.industry.gov.au/data-and-publications/privacy-policy</w:t>
        </w:r>
      </w:hyperlink>
      <w:r>
        <w:t xml:space="preserve"> </w:t>
      </w:r>
    </w:p>
  </w:footnote>
  <w:footnote w:id="14">
    <w:p w14:paraId="48A1183F" w14:textId="77777777" w:rsidR="00BA2847" w:rsidRDefault="00BA2847" w:rsidP="00E462A3">
      <w:pPr>
        <w:pStyle w:val="FootnoteText"/>
      </w:pPr>
      <w:r>
        <w:rPr>
          <w:rStyle w:val="FootnoteReference"/>
        </w:rPr>
        <w:footnoteRef/>
      </w:r>
      <w:r>
        <w:t xml:space="preserve"> </w:t>
      </w:r>
      <w:hyperlink r:id="rId10"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F118" w14:textId="77777777" w:rsidR="000B3AE1" w:rsidRDefault="000B3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56347" w14:textId="77777777" w:rsidR="000B3AE1" w:rsidRDefault="000B3A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D2E9" w14:textId="77777777" w:rsidR="00BA2847" w:rsidRPr="005326A9" w:rsidRDefault="00BA2847" w:rsidP="0041698F">
    <w:pPr>
      <w:pStyle w:val="NoSpacing"/>
    </w:pPr>
  </w:p>
  <w:p w14:paraId="4030106F" w14:textId="1E4B3823" w:rsidR="00BA2847" w:rsidRPr="005326A9" w:rsidRDefault="000B3AE1" w:rsidP="0041698F">
    <w:pPr>
      <w:pStyle w:val="NoSpacing"/>
    </w:pPr>
    <w:r>
      <w:rPr>
        <w:noProof/>
        <w:lang w:eastAsia="en-AU"/>
      </w:rPr>
      <w:drawing>
        <wp:inline distT="0" distB="0" distL="0" distR="0" wp14:anchorId="46B555F4" wp14:editId="7BBF9BFF">
          <wp:extent cx="4297958" cy="10069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58455" cy="1021172"/>
                  </a:xfrm>
                  <a:prstGeom prst="rect">
                    <a:avLst/>
                  </a:prstGeom>
                </pic:spPr>
              </pic:pic>
            </a:graphicData>
          </a:graphic>
        </wp:inline>
      </w:drawing>
    </w:r>
  </w:p>
  <w:p w14:paraId="0EF3505D" w14:textId="77777777" w:rsidR="00BA2847" w:rsidRPr="002B3327" w:rsidRDefault="00BA2847"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B22423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78399C"/>
    <w:multiLevelType w:val="hybridMultilevel"/>
    <w:tmpl w:val="58C627C4"/>
    <w:lvl w:ilvl="0" w:tplc="416093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FA02840"/>
    <w:multiLevelType w:val="hybridMultilevel"/>
    <w:tmpl w:val="43B262F4"/>
    <w:lvl w:ilvl="0" w:tplc="5E1CB3CC">
      <w:start w:val="68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B06B0"/>
    <w:multiLevelType w:val="hybridMultilevel"/>
    <w:tmpl w:val="9064F3B4"/>
    <w:lvl w:ilvl="0" w:tplc="CEFAE8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43570"/>
    <w:multiLevelType w:val="hybridMultilevel"/>
    <w:tmpl w:val="6E0AE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4FE20A10"/>
    <w:lvl w:ilvl="0">
      <w:start w:val="1"/>
      <w:numFmt w:val="bullet"/>
      <w:pStyle w:val="ListBullet"/>
      <w:lvlText w:val=""/>
      <w:lvlJc w:val="left"/>
      <w:pPr>
        <w:ind w:left="360" w:hanging="360"/>
      </w:pPr>
      <w:rPr>
        <w:rFonts w:ascii="Wingdings" w:hAnsi="Wingdings" w:hint="default"/>
        <w:strike w:val="0"/>
        <w:color w:val="264F90"/>
        <w:w w:val="100"/>
        <w:sz w:val="20"/>
        <w:szCs w:val="20"/>
      </w:rPr>
    </w:lvl>
    <w:lvl w:ilvl="1">
      <w:start w:val="1"/>
      <w:numFmt w:val="bullet"/>
      <w:lvlText w:val=""/>
      <w:lvlJc w:val="left"/>
      <w:pPr>
        <w:ind w:left="720" w:hanging="360"/>
      </w:pPr>
      <w:rPr>
        <w:rFonts w:ascii="Symbol" w:hAnsi="Symbol" w:hint="default"/>
        <w:strike w:val="0"/>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14F0928"/>
    <w:multiLevelType w:val="hybridMultilevel"/>
    <w:tmpl w:val="0DDC207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760C5"/>
    <w:multiLevelType w:val="hybridMultilevel"/>
    <w:tmpl w:val="72885B62"/>
    <w:lvl w:ilvl="0" w:tplc="0C090001">
      <w:start w:val="1"/>
      <w:numFmt w:val="bullet"/>
      <w:lvlText w:val=""/>
      <w:lvlJc w:val="left"/>
      <w:pPr>
        <w:ind w:left="360" w:hanging="360"/>
      </w:pPr>
      <w:rPr>
        <w:rFonts w:ascii="Symbol" w:hAnsi="Symbol" w:hint="default"/>
      </w:rPr>
    </w:lvl>
    <w:lvl w:ilvl="1" w:tplc="7E3C44EC">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B1312E1"/>
    <w:multiLevelType w:val="hybridMultilevel"/>
    <w:tmpl w:val="A21CB06A"/>
    <w:lvl w:ilvl="0" w:tplc="F87EAB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744E9"/>
    <w:multiLevelType w:val="multilevel"/>
    <w:tmpl w:val="D8A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D9220D"/>
    <w:multiLevelType w:val="hybridMultilevel"/>
    <w:tmpl w:val="267CC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8E43C3"/>
    <w:multiLevelType w:val="hybridMultilevel"/>
    <w:tmpl w:val="B8AAF28A"/>
    <w:lvl w:ilvl="0" w:tplc="B156B232">
      <w:numFmt w:val="bullet"/>
      <w:lvlText w:val=""/>
      <w:lvlJc w:val="left"/>
      <w:pPr>
        <w:ind w:left="720" w:hanging="360"/>
      </w:pPr>
      <w:rPr>
        <w:rFonts w:ascii="Wingdings" w:eastAsiaTheme="minorHAnsi" w:hAnsi="Wingdings" w:cstheme="minorBidi"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1B32BC"/>
    <w:multiLevelType w:val="hybridMultilevel"/>
    <w:tmpl w:val="BD54C0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28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90691B"/>
    <w:multiLevelType w:val="multilevel"/>
    <w:tmpl w:val="01C65DA2"/>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2"/>
  </w:num>
  <w:num w:numId="4">
    <w:abstractNumId w:val="15"/>
  </w:num>
  <w:num w:numId="5">
    <w:abstractNumId w:val="26"/>
  </w:num>
  <w:num w:numId="6">
    <w:abstractNumId w:val="25"/>
  </w:num>
  <w:num w:numId="7">
    <w:abstractNumId w:val="9"/>
  </w:num>
  <w:num w:numId="8">
    <w:abstractNumId w:val="5"/>
  </w:num>
  <w:num w:numId="9">
    <w:abstractNumId w:val="5"/>
    <w:lvlOverride w:ilvl="0">
      <w:startOverride w:val="1"/>
    </w:lvlOverride>
  </w:num>
  <w:num w:numId="10">
    <w:abstractNumId w:val="9"/>
  </w:num>
  <w:num w:numId="11">
    <w:abstractNumId w:val="5"/>
    <w:lvlOverride w:ilvl="0">
      <w:startOverride w:val="1"/>
    </w:lvlOverride>
  </w:num>
  <w:num w:numId="12">
    <w:abstractNumId w:val="16"/>
  </w:num>
  <w:num w:numId="13">
    <w:abstractNumId w:val="3"/>
  </w:num>
  <w:num w:numId="14">
    <w:abstractNumId w:val="21"/>
  </w:num>
  <w:num w:numId="15">
    <w:abstractNumId w:val="5"/>
    <w:lvlOverride w:ilvl="0">
      <w:startOverride w:val="1"/>
    </w:lvlOverride>
  </w:num>
  <w:num w:numId="16">
    <w:abstractNumId w:val="22"/>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16"/>
  </w:num>
  <w:num w:numId="31">
    <w:abstractNumId w:val="20"/>
  </w:num>
  <w:num w:numId="32">
    <w:abstractNumId w:val="2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1"/>
  </w:num>
  <w:num w:numId="36">
    <w:abstractNumId w:val="19"/>
  </w:num>
  <w:num w:numId="37">
    <w:abstractNumId w:val="18"/>
  </w:num>
  <w:num w:numId="38">
    <w:abstractNumId w:val="6"/>
  </w:num>
  <w:num w:numId="39">
    <w:abstractNumId w:val="11"/>
  </w:num>
  <w:num w:numId="40">
    <w:abstractNumId w:val="7"/>
  </w:num>
  <w:num w:numId="41">
    <w:abstractNumId w:val="9"/>
  </w:num>
  <w:num w:numId="42">
    <w:abstractNumId w:val="5"/>
    <w:lvlOverride w:ilvl="0">
      <w:startOverride w:val="1"/>
    </w:lvlOverride>
  </w:num>
  <w:num w:numId="43">
    <w:abstractNumId w:val="9"/>
  </w:num>
  <w:num w:numId="44">
    <w:abstractNumId w:val="13"/>
  </w:num>
  <w:num w:numId="45">
    <w:abstractNumId w:val="4"/>
  </w:num>
  <w:num w:numId="46">
    <w:abstractNumId w:val="8"/>
  </w:num>
  <w:num w:numId="47">
    <w:abstractNumId w:val="9"/>
  </w:num>
  <w:num w:numId="48">
    <w:abstractNumId w:val="9"/>
  </w:num>
  <w:num w:numId="49">
    <w:abstractNumId w:val="23"/>
  </w:num>
  <w:num w:numId="50">
    <w:abstractNumId w:val="5"/>
    <w:lvlOverride w:ilvl="0">
      <w:startOverride w:val="1"/>
    </w:lvlOverride>
  </w:num>
  <w:num w:numId="51">
    <w:abstractNumId w:val="21"/>
  </w:num>
  <w:num w:numId="52">
    <w:abstractNumId w:val="21"/>
  </w:num>
  <w:num w:numId="53">
    <w:abstractNumId w:val="21"/>
  </w:num>
  <w:num w:numId="54">
    <w:abstractNumId w:val="21"/>
  </w:num>
  <w:num w:numId="55">
    <w:abstractNumId w:val="14"/>
  </w:num>
  <w:num w:numId="56">
    <w:abstractNumId w:val="10"/>
  </w:num>
  <w:num w:numId="57">
    <w:abstractNumId w:val="17"/>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num>
  <w:num w:numId="60">
    <w:abstractNumId w:val="5"/>
    <w:lvlOverride w:ilvl="0">
      <w:startOverride w:val="1"/>
    </w:lvlOverride>
  </w:num>
  <w:num w:numId="61">
    <w:abstractNumId w:val="9"/>
  </w:num>
  <w:num w:numId="62">
    <w:abstractNumId w:val="9"/>
  </w:num>
  <w:num w:numId="63">
    <w:abstractNumId w:val="5"/>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29C"/>
    <w:rsid w:val="00003577"/>
    <w:rsid w:val="000035D8"/>
    <w:rsid w:val="000038A2"/>
    <w:rsid w:val="00005E68"/>
    <w:rsid w:val="000062D1"/>
    <w:rsid w:val="000062E1"/>
    <w:rsid w:val="00006C53"/>
    <w:rsid w:val="000071CC"/>
    <w:rsid w:val="00007480"/>
    <w:rsid w:val="00007E4B"/>
    <w:rsid w:val="00010CF8"/>
    <w:rsid w:val="00011AA7"/>
    <w:rsid w:val="00012C8C"/>
    <w:rsid w:val="00014F34"/>
    <w:rsid w:val="0001685F"/>
    <w:rsid w:val="00016E51"/>
    <w:rsid w:val="00017238"/>
    <w:rsid w:val="00017503"/>
    <w:rsid w:val="000175F3"/>
    <w:rsid w:val="000176B7"/>
    <w:rsid w:val="000203D5"/>
    <w:rsid w:val="0002071B"/>
    <w:rsid w:val="000207D9"/>
    <w:rsid w:val="00020FD4"/>
    <w:rsid w:val="000216F2"/>
    <w:rsid w:val="00023115"/>
    <w:rsid w:val="0002331D"/>
    <w:rsid w:val="000233BF"/>
    <w:rsid w:val="00024C55"/>
    <w:rsid w:val="00025254"/>
    <w:rsid w:val="00025467"/>
    <w:rsid w:val="000256D3"/>
    <w:rsid w:val="00026672"/>
    <w:rsid w:val="00026A96"/>
    <w:rsid w:val="00027157"/>
    <w:rsid w:val="000304CF"/>
    <w:rsid w:val="00030809"/>
    <w:rsid w:val="00030CC8"/>
    <w:rsid w:val="00030E0C"/>
    <w:rsid w:val="00031075"/>
    <w:rsid w:val="00031473"/>
    <w:rsid w:val="0003165D"/>
    <w:rsid w:val="00033C37"/>
    <w:rsid w:val="00036078"/>
    <w:rsid w:val="00036549"/>
    <w:rsid w:val="00037556"/>
    <w:rsid w:val="00040A03"/>
    <w:rsid w:val="00040C36"/>
    <w:rsid w:val="00041716"/>
    <w:rsid w:val="00042438"/>
    <w:rsid w:val="00042D3B"/>
    <w:rsid w:val="00043502"/>
    <w:rsid w:val="000438B1"/>
    <w:rsid w:val="00043E26"/>
    <w:rsid w:val="00044DC0"/>
    <w:rsid w:val="00044EF8"/>
    <w:rsid w:val="000450C4"/>
    <w:rsid w:val="0004553E"/>
    <w:rsid w:val="00045634"/>
    <w:rsid w:val="00045D99"/>
    <w:rsid w:val="00045EEE"/>
    <w:rsid w:val="00046DBC"/>
    <w:rsid w:val="00050ADE"/>
    <w:rsid w:val="000518BC"/>
    <w:rsid w:val="00052E3E"/>
    <w:rsid w:val="00053816"/>
    <w:rsid w:val="00053FB3"/>
    <w:rsid w:val="0005422E"/>
    <w:rsid w:val="00055101"/>
    <w:rsid w:val="000553F2"/>
    <w:rsid w:val="0005631A"/>
    <w:rsid w:val="0005704C"/>
    <w:rsid w:val="00057E29"/>
    <w:rsid w:val="00060AAB"/>
    <w:rsid w:val="00060AD3"/>
    <w:rsid w:val="00060F83"/>
    <w:rsid w:val="0006206D"/>
    <w:rsid w:val="0006240E"/>
    <w:rsid w:val="00062B2E"/>
    <w:rsid w:val="000635B2"/>
    <w:rsid w:val="0006399E"/>
    <w:rsid w:val="00065626"/>
    <w:rsid w:val="00065F24"/>
    <w:rsid w:val="0006639A"/>
    <w:rsid w:val="000668C5"/>
    <w:rsid w:val="000669F4"/>
    <w:rsid w:val="00066A84"/>
    <w:rsid w:val="00067841"/>
    <w:rsid w:val="000710C0"/>
    <w:rsid w:val="0007116F"/>
    <w:rsid w:val="0007138B"/>
    <w:rsid w:val="00071CC0"/>
    <w:rsid w:val="00072BA2"/>
    <w:rsid w:val="00074041"/>
    <w:rsid w:val="000741DE"/>
    <w:rsid w:val="000765F5"/>
    <w:rsid w:val="00077C3D"/>
    <w:rsid w:val="00077F9D"/>
    <w:rsid w:val="000805C4"/>
    <w:rsid w:val="00080F85"/>
    <w:rsid w:val="00081379"/>
    <w:rsid w:val="0008225D"/>
    <w:rsid w:val="00082460"/>
    <w:rsid w:val="00082509"/>
    <w:rsid w:val="0008289E"/>
    <w:rsid w:val="00082C2C"/>
    <w:rsid w:val="000833DF"/>
    <w:rsid w:val="000837CF"/>
    <w:rsid w:val="00083CC7"/>
    <w:rsid w:val="00084AA8"/>
    <w:rsid w:val="00084AD0"/>
    <w:rsid w:val="0008684E"/>
    <w:rsid w:val="0008697C"/>
    <w:rsid w:val="000906E4"/>
    <w:rsid w:val="00090B67"/>
    <w:rsid w:val="0009133F"/>
    <w:rsid w:val="00093BA1"/>
    <w:rsid w:val="00094ED4"/>
    <w:rsid w:val="000959EB"/>
    <w:rsid w:val="00096575"/>
    <w:rsid w:val="0009683F"/>
    <w:rsid w:val="00096D97"/>
    <w:rsid w:val="000A115B"/>
    <w:rsid w:val="000A19FD"/>
    <w:rsid w:val="000A2011"/>
    <w:rsid w:val="000A4261"/>
    <w:rsid w:val="000A4490"/>
    <w:rsid w:val="000A5068"/>
    <w:rsid w:val="000A66D4"/>
    <w:rsid w:val="000A6792"/>
    <w:rsid w:val="000A7C74"/>
    <w:rsid w:val="000B1184"/>
    <w:rsid w:val="000B1991"/>
    <w:rsid w:val="000B2D39"/>
    <w:rsid w:val="000B2DAA"/>
    <w:rsid w:val="000B3949"/>
    <w:rsid w:val="000B3A19"/>
    <w:rsid w:val="000B3AE1"/>
    <w:rsid w:val="000B4088"/>
    <w:rsid w:val="000B44F5"/>
    <w:rsid w:val="000B50F9"/>
    <w:rsid w:val="000B5218"/>
    <w:rsid w:val="000B522C"/>
    <w:rsid w:val="000B597B"/>
    <w:rsid w:val="000B67E8"/>
    <w:rsid w:val="000B701F"/>
    <w:rsid w:val="000B7A89"/>
    <w:rsid w:val="000B7C0B"/>
    <w:rsid w:val="000C036E"/>
    <w:rsid w:val="000C07C6"/>
    <w:rsid w:val="000C1A7A"/>
    <w:rsid w:val="000C1E9C"/>
    <w:rsid w:val="000C2BC2"/>
    <w:rsid w:val="000C31F3"/>
    <w:rsid w:val="000C3418"/>
    <w:rsid w:val="000C34D6"/>
    <w:rsid w:val="000C3B35"/>
    <w:rsid w:val="000C3B42"/>
    <w:rsid w:val="000C4E64"/>
    <w:rsid w:val="000C5F08"/>
    <w:rsid w:val="000C63AD"/>
    <w:rsid w:val="000C647D"/>
    <w:rsid w:val="000C6786"/>
    <w:rsid w:val="000C6A52"/>
    <w:rsid w:val="000C6B5E"/>
    <w:rsid w:val="000C6DC1"/>
    <w:rsid w:val="000C7068"/>
    <w:rsid w:val="000C7F5C"/>
    <w:rsid w:val="000D062F"/>
    <w:rsid w:val="000D0903"/>
    <w:rsid w:val="000D1B5E"/>
    <w:rsid w:val="000D1F5F"/>
    <w:rsid w:val="000D2D51"/>
    <w:rsid w:val="000D3F05"/>
    <w:rsid w:val="000D4257"/>
    <w:rsid w:val="000D452F"/>
    <w:rsid w:val="000D6D35"/>
    <w:rsid w:val="000E0C56"/>
    <w:rsid w:val="000E11A2"/>
    <w:rsid w:val="000E154B"/>
    <w:rsid w:val="000E23A5"/>
    <w:rsid w:val="000E24A1"/>
    <w:rsid w:val="000E2825"/>
    <w:rsid w:val="000E2F8E"/>
    <w:rsid w:val="000E3917"/>
    <w:rsid w:val="000E4061"/>
    <w:rsid w:val="000E4CD5"/>
    <w:rsid w:val="000E620A"/>
    <w:rsid w:val="000E70D4"/>
    <w:rsid w:val="000F027E"/>
    <w:rsid w:val="000F18DD"/>
    <w:rsid w:val="000F19BF"/>
    <w:rsid w:val="000F30BD"/>
    <w:rsid w:val="000F3176"/>
    <w:rsid w:val="000F46E4"/>
    <w:rsid w:val="000F692D"/>
    <w:rsid w:val="000F7174"/>
    <w:rsid w:val="000F75FB"/>
    <w:rsid w:val="000F7A85"/>
    <w:rsid w:val="00100216"/>
    <w:rsid w:val="001014F8"/>
    <w:rsid w:val="0010200A"/>
    <w:rsid w:val="00102271"/>
    <w:rsid w:val="00103E5C"/>
    <w:rsid w:val="001045B6"/>
    <w:rsid w:val="00104854"/>
    <w:rsid w:val="0010490E"/>
    <w:rsid w:val="00104ADE"/>
    <w:rsid w:val="00104F7C"/>
    <w:rsid w:val="0010518A"/>
    <w:rsid w:val="00106980"/>
    <w:rsid w:val="00106B83"/>
    <w:rsid w:val="00107697"/>
    <w:rsid w:val="00107A22"/>
    <w:rsid w:val="00110DF4"/>
    <w:rsid w:val="00110EEB"/>
    <w:rsid w:val="00110F7F"/>
    <w:rsid w:val="00111506"/>
    <w:rsid w:val="00111ABB"/>
    <w:rsid w:val="00112457"/>
    <w:rsid w:val="00113AD7"/>
    <w:rsid w:val="001145B1"/>
    <w:rsid w:val="00115C6B"/>
    <w:rsid w:val="001167DB"/>
    <w:rsid w:val="00116C90"/>
    <w:rsid w:val="0011744A"/>
    <w:rsid w:val="00117A2E"/>
    <w:rsid w:val="0012022A"/>
    <w:rsid w:val="001225AD"/>
    <w:rsid w:val="001226A3"/>
    <w:rsid w:val="0012305A"/>
    <w:rsid w:val="00123608"/>
    <w:rsid w:val="00123A91"/>
    <w:rsid w:val="00123A99"/>
    <w:rsid w:val="00125733"/>
    <w:rsid w:val="00127536"/>
    <w:rsid w:val="0012775A"/>
    <w:rsid w:val="001279B3"/>
    <w:rsid w:val="001302B7"/>
    <w:rsid w:val="00130493"/>
    <w:rsid w:val="00130554"/>
    <w:rsid w:val="001308B9"/>
    <w:rsid w:val="00130F17"/>
    <w:rsid w:val="00130FCE"/>
    <w:rsid w:val="001313CB"/>
    <w:rsid w:val="001315ED"/>
    <w:rsid w:val="001315FB"/>
    <w:rsid w:val="00132444"/>
    <w:rsid w:val="00132C7F"/>
    <w:rsid w:val="00133367"/>
    <w:rsid w:val="001336E0"/>
    <w:rsid w:val="001339E8"/>
    <w:rsid w:val="001339F4"/>
    <w:rsid w:val="00134124"/>
    <w:rsid w:val="001347F8"/>
    <w:rsid w:val="0013514F"/>
    <w:rsid w:val="0013564A"/>
    <w:rsid w:val="00137190"/>
    <w:rsid w:val="0013734A"/>
    <w:rsid w:val="00137421"/>
    <w:rsid w:val="0014016C"/>
    <w:rsid w:val="00141149"/>
    <w:rsid w:val="00141A79"/>
    <w:rsid w:val="001432F9"/>
    <w:rsid w:val="00143960"/>
    <w:rsid w:val="00144380"/>
    <w:rsid w:val="001450BD"/>
    <w:rsid w:val="001452A7"/>
    <w:rsid w:val="00145514"/>
    <w:rsid w:val="00145DF4"/>
    <w:rsid w:val="001460F1"/>
    <w:rsid w:val="00146445"/>
    <w:rsid w:val="00146D15"/>
    <w:rsid w:val="001475D6"/>
    <w:rsid w:val="00147E5A"/>
    <w:rsid w:val="00151417"/>
    <w:rsid w:val="0015405F"/>
    <w:rsid w:val="00155480"/>
    <w:rsid w:val="00155A1F"/>
    <w:rsid w:val="00155C0F"/>
    <w:rsid w:val="00155C69"/>
    <w:rsid w:val="00156DF7"/>
    <w:rsid w:val="00157767"/>
    <w:rsid w:val="00160617"/>
    <w:rsid w:val="00160DFD"/>
    <w:rsid w:val="00162CF7"/>
    <w:rsid w:val="00163309"/>
    <w:rsid w:val="00163334"/>
    <w:rsid w:val="00164173"/>
    <w:rsid w:val="001642EF"/>
    <w:rsid w:val="001659C7"/>
    <w:rsid w:val="00165CA8"/>
    <w:rsid w:val="00166584"/>
    <w:rsid w:val="00167CF5"/>
    <w:rsid w:val="00170005"/>
    <w:rsid w:val="00170249"/>
    <w:rsid w:val="00170EC3"/>
    <w:rsid w:val="00171300"/>
    <w:rsid w:val="00172328"/>
    <w:rsid w:val="00172BA3"/>
    <w:rsid w:val="00172F7F"/>
    <w:rsid w:val="001737AC"/>
    <w:rsid w:val="001741CB"/>
    <w:rsid w:val="0017423B"/>
    <w:rsid w:val="00174D66"/>
    <w:rsid w:val="00175671"/>
    <w:rsid w:val="00176EF8"/>
    <w:rsid w:val="00180206"/>
    <w:rsid w:val="00180B0E"/>
    <w:rsid w:val="001817F4"/>
    <w:rsid w:val="001819C7"/>
    <w:rsid w:val="0018250A"/>
    <w:rsid w:val="001844D5"/>
    <w:rsid w:val="00184FDA"/>
    <w:rsid w:val="0018511E"/>
    <w:rsid w:val="001864E6"/>
    <w:rsid w:val="001867EC"/>
    <w:rsid w:val="001875DA"/>
    <w:rsid w:val="001907F9"/>
    <w:rsid w:val="001914D0"/>
    <w:rsid w:val="00193926"/>
    <w:rsid w:val="0019423A"/>
    <w:rsid w:val="001948A9"/>
    <w:rsid w:val="00194ACD"/>
    <w:rsid w:val="00194ADB"/>
    <w:rsid w:val="00195532"/>
    <w:rsid w:val="001956C5"/>
    <w:rsid w:val="00195BF5"/>
    <w:rsid w:val="00195D42"/>
    <w:rsid w:val="00196194"/>
    <w:rsid w:val="0019695C"/>
    <w:rsid w:val="0019706B"/>
    <w:rsid w:val="00197A10"/>
    <w:rsid w:val="001A01C0"/>
    <w:rsid w:val="001A06E1"/>
    <w:rsid w:val="001A0EEC"/>
    <w:rsid w:val="001A1236"/>
    <w:rsid w:val="001A184E"/>
    <w:rsid w:val="001A20AF"/>
    <w:rsid w:val="001A44F7"/>
    <w:rsid w:val="001A46FB"/>
    <w:rsid w:val="001A51FA"/>
    <w:rsid w:val="001A588B"/>
    <w:rsid w:val="001A5D9B"/>
    <w:rsid w:val="001A612B"/>
    <w:rsid w:val="001A6862"/>
    <w:rsid w:val="001A7690"/>
    <w:rsid w:val="001A7C8A"/>
    <w:rsid w:val="001B1C0B"/>
    <w:rsid w:val="001B2412"/>
    <w:rsid w:val="001B2787"/>
    <w:rsid w:val="001B2A5D"/>
    <w:rsid w:val="001B3F03"/>
    <w:rsid w:val="001B43D0"/>
    <w:rsid w:val="001B5028"/>
    <w:rsid w:val="001B6C85"/>
    <w:rsid w:val="001B79A9"/>
    <w:rsid w:val="001B7CE1"/>
    <w:rsid w:val="001C02DF"/>
    <w:rsid w:val="001C037D"/>
    <w:rsid w:val="001C0967"/>
    <w:rsid w:val="001C1B5B"/>
    <w:rsid w:val="001C2830"/>
    <w:rsid w:val="001C2D93"/>
    <w:rsid w:val="001C3976"/>
    <w:rsid w:val="001C53D3"/>
    <w:rsid w:val="001C5DAB"/>
    <w:rsid w:val="001C6603"/>
    <w:rsid w:val="001C6ACC"/>
    <w:rsid w:val="001C7328"/>
    <w:rsid w:val="001C75B8"/>
    <w:rsid w:val="001C76C1"/>
    <w:rsid w:val="001C7F1A"/>
    <w:rsid w:val="001D027F"/>
    <w:rsid w:val="001D0EC9"/>
    <w:rsid w:val="001D1072"/>
    <w:rsid w:val="001D1340"/>
    <w:rsid w:val="001D1782"/>
    <w:rsid w:val="001D201F"/>
    <w:rsid w:val="001D27BB"/>
    <w:rsid w:val="001D3126"/>
    <w:rsid w:val="001D4DA5"/>
    <w:rsid w:val="001D50EC"/>
    <w:rsid w:val="001D513B"/>
    <w:rsid w:val="001D6E50"/>
    <w:rsid w:val="001E00D9"/>
    <w:rsid w:val="001E00F6"/>
    <w:rsid w:val="001E106D"/>
    <w:rsid w:val="001E282D"/>
    <w:rsid w:val="001E2A46"/>
    <w:rsid w:val="001E42D1"/>
    <w:rsid w:val="001E465D"/>
    <w:rsid w:val="001E659F"/>
    <w:rsid w:val="001E6901"/>
    <w:rsid w:val="001E76DA"/>
    <w:rsid w:val="001F1B51"/>
    <w:rsid w:val="001F215C"/>
    <w:rsid w:val="001F2424"/>
    <w:rsid w:val="001F24BD"/>
    <w:rsid w:val="001F2ED0"/>
    <w:rsid w:val="001F3068"/>
    <w:rsid w:val="001F32A5"/>
    <w:rsid w:val="001F33D3"/>
    <w:rsid w:val="001F6392"/>
    <w:rsid w:val="001F6A22"/>
    <w:rsid w:val="001F749A"/>
    <w:rsid w:val="00200152"/>
    <w:rsid w:val="002007FC"/>
    <w:rsid w:val="00200F1A"/>
    <w:rsid w:val="0020114E"/>
    <w:rsid w:val="00201ACE"/>
    <w:rsid w:val="00202552"/>
    <w:rsid w:val="00202DFC"/>
    <w:rsid w:val="00203113"/>
    <w:rsid w:val="00203F73"/>
    <w:rsid w:val="002056AC"/>
    <w:rsid w:val="002067C9"/>
    <w:rsid w:val="00207131"/>
    <w:rsid w:val="00207A20"/>
    <w:rsid w:val="00207AD6"/>
    <w:rsid w:val="0021021D"/>
    <w:rsid w:val="002109AE"/>
    <w:rsid w:val="00210F88"/>
    <w:rsid w:val="00211AB8"/>
    <w:rsid w:val="00211D98"/>
    <w:rsid w:val="00211FB3"/>
    <w:rsid w:val="00213231"/>
    <w:rsid w:val="00214441"/>
    <w:rsid w:val="002153FE"/>
    <w:rsid w:val="002162FB"/>
    <w:rsid w:val="00217440"/>
    <w:rsid w:val="00220627"/>
    <w:rsid w:val="0022081B"/>
    <w:rsid w:val="00220B53"/>
    <w:rsid w:val="00221230"/>
    <w:rsid w:val="002226ED"/>
    <w:rsid w:val="002227D6"/>
    <w:rsid w:val="00222C72"/>
    <w:rsid w:val="00223A1A"/>
    <w:rsid w:val="00224E34"/>
    <w:rsid w:val="0022578C"/>
    <w:rsid w:val="00226A9A"/>
    <w:rsid w:val="00226C2F"/>
    <w:rsid w:val="00227080"/>
    <w:rsid w:val="00227D98"/>
    <w:rsid w:val="0023055D"/>
    <w:rsid w:val="00230A2B"/>
    <w:rsid w:val="00231B61"/>
    <w:rsid w:val="002324F1"/>
    <w:rsid w:val="002329EB"/>
    <w:rsid w:val="00234A47"/>
    <w:rsid w:val="00235894"/>
    <w:rsid w:val="00235CA2"/>
    <w:rsid w:val="00236D85"/>
    <w:rsid w:val="00236EC5"/>
    <w:rsid w:val="00237F2F"/>
    <w:rsid w:val="0024008E"/>
    <w:rsid w:val="00240385"/>
    <w:rsid w:val="00240AD7"/>
    <w:rsid w:val="00241E21"/>
    <w:rsid w:val="00242901"/>
    <w:rsid w:val="00242EEE"/>
    <w:rsid w:val="002442FE"/>
    <w:rsid w:val="00244DC5"/>
    <w:rsid w:val="00245131"/>
    <w:rsid w:val="00245C4E"/>
    <w:rsid w:val="002468F6"/>
    <w:rsid w:val="00246B7A"/>
    <w:rsid w:val="00247D27"/>
    <w:rsid w:val="00250C11"/>
    <w:rsid w:val="00250CF5"/>
    <w:rsid w:val="00251541"/>
    <w:rsid w:val="0025176A"/>
    <w:rsid w:val="00251F63"/>
    <w:rsid w:val="00251F90"/>
    <w:rsid w:val="00253453"/>
    <w:rsid w:val="002535EA"/>
    <w:rsid w:val="00254170"/>
    <w:rsid w:val="00254F96"/>
    <w:rsid w:val="002550DB"/>
    <w:rsid w:val="00255BD3"/>
    <w:rsid w:val="002566AB"/>
    <w:rsid w:val="00257527"/>
    <w:rsid w:val="00260111"/>
    <w:rsid w:val="002611CF"/>
    <w:rsid w:val="002612BF"/>
    <w:rsid w:val="002618D4"/>
    <w:rsid w:val="002619F0"/>
    <w:rsid w:val="00261D7F"/>
    <w:rsid w:val="00262382"/>
    <w:rsid w:val="00262481"/>
    <w:rsid w:val="00262783"/>
    <w:rsid w:val="00263B2F"/>
    <w:rsid w:val="002655A1"/>
    <w:rsid w:val="00265BC2"/>
    <w:rsid w:val="002660E7"/>
    <w:rsid w:val="002662F6"/>
    <w:rsid w:val="00270215"/>
    <w:rsid w:val="00270C4A"/>
    <w:rsid w:val="00271A72"/>
    <w:rsid w:val="00271FAE"/>
    <w:rsid w:val="002725C0"/>
    <w:rsid w:val="00272F10"/>
    <w:rsid w:val="00276616"/>
    <w:rsid w:val="00276D9D"/>
    <w:rsid w:val="00277135"/>
    <w:rsid w:val="002779EE"/>
    <w:rsid w:val="00277A56"/>
    <w:rsid w:val="002810E7"/>
    <w:rsid w:val="00281521"/>
    <w:rsid w:val="00282312"/>
    <w:rsid w:val="00282B43"/>
    <w:rsid w:val="0028417F"/>
    <w:rsid w:val="00284DC7"/>
    <w:rsid w:val="00285F58"/>
    <w:rsid w:val="0028630E"/>
    <w:rsid w:val="002866EB"/>
    <w:rsid w:val="002873F2"/>
    <w:rsid w:val="002879FF"/>
    <w:rsid w:val="00287AC7"/>
    <w:rsid w:val="00287C0E"/>
    <w:rsid w:val="00290F12"/>
    <w:rsid w:val="002915A5"/>
    <w:rsid w:val="0029287F"/>
    <w:rsid w:val="00293D82"/>
    <w:rsid w:val="00294019"/>
    <w:rsid w:val="00294452"/>
    <w:rsid w:val="00294F98"/>
    <w:rsid w:val="002957EE"/>
    <w:rsid w:val="00295FD6"/>
    <w:rsid w:val="00296A95"/>
    <w:rsid w:val="00296AC5"/>
    <w:rsid w:val="00296C7A"/>
    <w:rsid w:val="00297193"/>
    <w:rsid w:val="00297657"/>
    <w:rsid w:val="00297C9D"/>
    <w:rsid w:val="002A0E03"/>
    <w:rsid w:val="002A19CE"/>
    <w:rsid w:val="002A1C6B"/>
    <w:rsid w:val="002A1D41"/>
    <w:rsid w:val="002A2413"/>
    <w:rsid w:val="002A2DA9"/>
    <w:rsid w:val="002A374D"/>
    <w:rsid w:val="002A3E4D"/>
    <w:rsid w:val="002A3E56"/>
    <w:rsid w:val="002A45C1"/>
    <w:rsid w:val="002A4C60"/>
    <w:rsid w:val="002A51EB"/>
    <w:rsid w:val="002A6142"/>
    <w:rsid w:val="002A6383"/>
    <w:rsid w:val="002A67F8"/>
    <w:rsid w:val="002A6C6D"/>
    <w:rsid w:val="002A7660"/>
    <w:rsid w:val="002B0099"/>
    <w:rsid w:val="002B05E0"/>
    <w:rsid w:val="002B09ED"/>
    <w:rsid w:val="002B0F56"/>
    <w:rsid w:val="002B1325"/>
    <w:rsid w:val="002B2742"/>
    <w:rsid w:val="002B2E4B"/>
    <w:rsid w:val="002B3327"/>
    <w:rsid w:val="002B4085"/>
    <w:rsid w:val="002B4B87"/>
    <w:rsid w:val="002B5660"/>
    <w:rsid w:val="002B5850"/>
    <w:rsid w:val="002B5B15"/>
    <w:rsid w:val="002B608C"/>
    <w:rsid w:val="002C00A0"/>
    <w:rsid w:val="002C0A35"/>
    <w:rsid w:val="002C14B0"/>
    <w:rsid w:val="002C1BCD"/>
    <w:rsid w:val="002C1F96"/>
    <w:rsid w:val="002C230C"/>
    <w:rsid w:val="002C2C8D"/>
    <w:rsid w:val="002C471C"/>
    <w:rsid w:val="002C5AE5"/>
    <w:rsid w:val="002C5FE4"/>
    <w:rsid w:val="002C621C"/>
    <w:rsid w:val="002C62AA"/>
    <w:rsid w:val="002C7A6F"/>
    <w:rsid w:val="002D0581"/>
    <w:rsid w:val="002D0C22"/>
    <w:rsid w:val="002D0F24"/>
    <w:rsid w:val="002D28B4"/>
    <w:rsid w:val="002D2DC7"/>
    <w:rsid w:val="002D3372"/>
    <w:rsid w:val="002D3D41"/>
    <w:rsid w:val="002D4B89"/>
    <w:rsid w:val="002D6748"/>
    <w:rsid w:val="002D696F"/>
    <w:rsid w:val="002D720E"/>
    <w:rsid w:val="002D737B"/>
    <w:rsid w:val="002D77CA"/>
    <w:rsid w:val="002D7DAD"/>
    <w:rsid w:val="002E0469"/>
    <w:rsid w:val="002E18F3"/>
    <w:rsid w:val="002E19CE"/>
    <w:rsid w:val="002E2BEC"/>
    <w:rsid w:val="002E367A"/>
    <w:rsid w:val="002E36DC"/>
    <w:rsid w:val="002E371E"/>
    <w:rsid w:val="002E3A5A"/>
    <w:rsid w:val="002E3CA8"/>
    <w:rsid w:val="002E5556"/>
    <w:rsid w:val="002E557E"/>
    <w:rsid w:val="002E66CF"/>
    <w:rsid w:val="002E6D34"/>
    <w:rsid w:val="002F0439"/>
    <w:rsid w:val="002F1926"/>
    <w:rsid w:val="002F28CA"/>
    <w:rsid w:val="002F2933"/>
    <w:rsid w:val="002F3A4F"/>
    <w:rsid w:val="002F6432"/>
    <w:rsid w:val="002F65BC"/>
    <w:rsid w:val="002F71EC"/>
    <w:rsid w:val="002F7F38"/>
    <w:rsid w:val="003001C7"/>
    <w:rsid w:val="00300E4A"/>
    <w:rsid w:val="00302AF5"/>
    <w:rsid w:val="003038C5"/>
    <w:rsid w:val="00303AD5"/>
    <w:rsid w:val="00304C0F"/>
    <w:rsid w:val="003052EE"/>
    <w:rsid w:val="00305B58"/>
    <w:rsid w:val="00306B61"/>
    <w:rsid w:val="00311AF5"/>
    <w:rsid w:val="00311DDA"/>
    <w:rsid w:val="003133FB"/>
    <w:rsid w:val="00313FA2"/>
    <w:rsid w:val="00314DCA"/>
    <w:rsid w:val="00315FF2"/>
    <w:rsid w:val="00316578"/>
    <w:rsid w:val="003206C6"/>
    <w:rsid w:val="00320F4F"/>
    <w:rsid w:val="003211B4"/>
    <w:rsid w:val="0032143E"/>
    <w:rsid w:val="00321B06"/>
    <w:rsid w:val="00322126"/>
    <w:rsid w:val="00322189"/>
    <w:rsid w:val="003222E8"/>
    <w:rsid w:val="0032256A"/>
    <w:rsid w:val="00322C3B"/>
    <w:rsid w:val="00325582"/>
    <w:rsid w:val="003259F6"/>
    <w:rsid w:val="00325A56"/>
    <w:rsid w:val="00325C4B"/>
    <w:rsid w:val="00327227"/>
    <w:rsid w:val="0032729D"/>
    <w:rsid w:val="0032786D"/>
    <w:rsid w:val="003322E9"/>
    <w:rsid w:val="00332F58"/>
    <w:rsid w:val="00334395"/>
    <w:rsid w:val="00334BCC"/>
    <w:rsid w:val="00335B3C"/>
    <w:rsid w:val="003364E6"/>
    <w:rsid w:val="00336AB2"/>
    <w:rsid w:val="003370B0"/>
    <w:rsid w:val="0033741C"/>
    <w:rsid w:val="0034027B"/>
    <w:rsid w:val="00340CB6"/>
    <w:rsid w:val="00343643"/>
    <w:rsid w:val="00343CC8"/>
    <w:rsid w:val="0034447B"/>
    <w:rsid w:val="003479D3"/>
    <w:rsid w:val="0035099A"/>
    <w:rsid w:val="00352EA5"/>
    <w:rsid w:val="00353399"/>
    <w:rsid w:val="00353428"/>
    <w:rsid w:val="00353CBF"/>
    <w:rsid w:val="00354604"/>
    <w:rsid w:val="003549A0"/>
    <w:rsid w:val="003552BD"/>
    <w:rsid w:val="00355764"/>
    <w:rsid w:val="003560E1"/>
    <w:rsid w:val="003565D1"/>
    <w:rsid w:val="0035672F"/>
    <w:rsid w:val="00356ED2"/>
    <w:rsid w:val="003576AB"/>
    <w:rsid w:val="00357A88"/>
    <w:rsid w:val="0036055C"/>
    <w:rsid w:val="00360A9E"/>
    <w:rsid w:val="0036246E"/>
    <w:rsid w:val="00363093"/>
    <w:rsid w:val="00363657"/>
    <w:rsid w:val="00363FFC"/>
    <w:rsid w:val="00364592"/>
    <w:rsid w:val="00365CF4"/>
    <w:rsid w:val="00370214"/>
    <w:rsid w:val="003703B2"/>
    <w:rsid w:val="00371543"/>
    <w:rsid w:val="00372FA1"/>
    <w:rsid w:val="00374A77"/>
    <w:rsid w:val="00375B0D"/>
    <w:rsid w:val="00376165"/>
    <w:rsid w:val="00376EDD"/>
    <w:rsid w:val="00377581"/>
    <w:rsid w:val="00377686"/>
    <w:rsid w:val="00377C24"/>
    <w:rsid w:val="003808CE"/>
    <w:rsid w:val="00382894"/>
    <w:rsid w:val="0038319D"/>
    <w:rsid w:val="00383297"/>
    <w:rsid w:val="003836AF"/>
    <w:rsid w:val="00383A3A"/>
    <w:rsid w:val="00383E0B"/>
    <w:rsid w:val="00386902"/>
    <w:rsid w:val="00386C8F"/>
    <w:rsid w:val="003871B6"/>
    <w:rsid w:val="00387369"/>
    <w:rsid w:val="003900DB"/>
    <w:rsid w:val="003903AE"/>
    <w:rsid w:val="00390FE2"/>
    <w:rsid w:val="003911CF"/>
    <w:rsid w:val="00394EB3"/>
    <w:rsid w:val="0039610D"/>
    <w:rsid w:val="00396D3C"/>
    <w:rsid w:val="003977B3"/>
    <w:rsid w:val="003A00CC"/>
    <w:rsid w:val="003A055C"/>
    <w:rsid w:val="003A0A2B"/>
    <w:rsid w:val="003A0BCC"/>
    <w:rsid w:val="003A0DFD"/>
    <w:rsid w:val="003A219A"/>
    <w:rsid w:val="003A270D"/>
    <w:rsid w:val="003A27B3"/>
    <w:rsid w:val="003A2E8D"/>
    <w:rsid w:val="003A484E"/>
    <w:rsid w:val="003A48C0"/>
    <w:rsid w:val="003A4A83"/>
    <w:rsid w:val="003A5335"/>
    <w:rsid w:val="003A5753"/>
    <w:rsid w:val="003A5D94"/>
    <w:rsid w:val="003A79AD"/>
    <w:rsid w:val="003B02D8"/>
    <w:rsid w:val="003B0568"/>
    <w:rsid w:val="003B0BCC"/>
    <w:rsid w:val="003B18C7"/>
    <w:rsid w:val="003B24EC"/>
    <w:rsid w:val="003B2930"/>
    <w:rsid w:val="003B29BA"/>
    <w:rsid w:val="003B3483"/>
    <w:rsid w:val="003B3904"/>
    <w:rsid w:val="003B4A52"/>
    <w:rsid w:val="003B51DC"/>
    <w:rsid w:val="003B6AC4"/>
    <w:rsid w:val="003B6D53"/>
    <w:rsid w:val="003B7EC2"/>
    <w:rsid w:val="003C001C"/>
    <w:rsid w:val="003C091D"/>
    <w:rsid w:val="003C1DE8"/>
    <w:rsid w:val="003C280B"/>
    <w:rsid w:val="003C2AB0"/>
    <w:rsid w:val="003C2F23"/>
    <w:rsid w:val="003C30E5"/>
    <w:rsid w:val="003C3144"/>
    <w:rsid w:val="003C37C8"/>
    <w:rsid w:val="003C39E4"/>
    <w:rsid w:val="003C451C"/>
    <w:rsid w:val="003C55C5"/>
    <w:rsid w:val="003C6AC7"/>
    <w:rsid w:val="003C6C0A"/>
    <w:rsid w:val="003C6EA3"/>
    <w:rsid w:val="003C722B"/>
    <w:rsid w:val="003D061B"/>
    <w:rsid w:val="003D082E"/>
    <w:rsid w:val="003D09C5"/>
    <w:rsid w:val="003D19E6"/>
    <w:rsid w:val="003D3AE8"/>
    <w:rsid w:val="003D47DF"/>
    <w:rsid w:val="003D521B"/>
    <w:rsid w:val="003D5427"/>
    <w:rsid w:val="003D5C41"/>
    <w:rsid w:val="003D635D"/>
    <w:rsid w:val="003D7548"/>
    <w:rsid w:val="003D7973"/>
    <w:rsid w:val="003D7F5C"/>
    <w:rsid w:val="003E047C"/>
    <w:rsid w:val="003E0690"/>
    <w:rsid w:val="003E0AFC"/>
    <w:rsid w:val="003E0C6C"/>
    <w:rsid w:val="003E21D8"/>
    <w:rsid w:val="003E2735"/>
    <w:rsid w:val="003E2A09"/>
    <w:rsid w:val="003E2C3B"/>
    <w:rsid w:val="003E339B"/>
    <w:rsid w:val="003E38D5"/>
    <w:rsid w:val="003E44C7"/>
    <w:rsid w:val="003E4693"/>
    <w:rsid w:val="003E4ABD"/>
    <w:rsid w:val="003E4BF0"/>
    <w:rsid w:val="003E5B2A"/>
    <w:rsid w:val="003E639F"/>
    <w:rsid w:val="003E6E52"/>
    <w:rsid w:val="003E777D"/>
    <w:rsid w:val="003F0BEC"/>
    <w:rsid w:val="003F1A84"/>
    <w:rsid w:val="003F3392"/>
    <w:rsid w:val="003F385C"/>
    <w:rsid w:val="003F3AFB"/>
    <w:rsid w:val="003F5453"/>
    <w:rsid w:val="003F7220"/>
    <w:rsid w:val="003F745B"/>
    <w:rsid w:val="003F7F48"/>
    <w:rsid w:val="0040156C"/>
    <w:rsid w:val="004015A1"/>
    <w:rsid w:val="00402CA9"/>
    <w:rsid w:val="00404614"/>
    <w:rsid w:val="00405C0C"/>
    <w:rsid w:val="00405D85"/>
    <w:rsid w:val="0040627F"/>
    <w:rsid w:val="004071DF"/>
    <w:rsid w:val="00407403"/>
    <w:rsid w:val="004102B0"/>
    <w:rsid w:val="004108DC"/>
    <w:rsid w:val="00410C08"/>
    <w:rsid w:val="0041305B"/>
    <w:rsid w:val="004131EC"/>
    <w:rsid w:val="004142C1"/>
    <w:rsid w:val="004143F3"/>
    <w:rsid w:val="00414A64"/>
    <w:rsid w:val="0041698F"/>
    <w:rsid w:val="00421CBC"/>
    <w:rsid w:val="00422BEF"/>
    <w:rsid w:val="00422D43"/>
    <w:rsid w:val="00423435"/>
    <w:rsid w:val="004234A1"/>
    <w:rsid w:val="00423CC4"/>
    <w:rsid w:val="00424C2B"/>
    <w:rsid w:val="00425052"/>
    <w:rsid w:val="00425B06"/>
    <w:rsid w:val="00425CB2"/>
    <w:rsid w:val="00425E6B"/>
    <w:rsid w:val="00426065"/>
    <w:rsid w:val="00426D73"/>
    <w:rsid w:val="00427819"/>
    <w:rsid w:val="00427AC0"/>
    <w:rsid w:val="004307A1"/>
    <w:rsid w:val="00430ADC"/>
    <w:rsid w:val="00430D2E"/>
    <w:rsid w:val="00431870"/>
    <w:rsid w:val="00432D9C"/>
    <w:rsid w:val="0043581E"/>
    <w:rsid w:val="00436FFF"/>
    <w:rsid w:val="00437174"/>
    <w:rsid w:val="00437CDA"/>
    <w:rsid w:val="00441028"/>
    <w:rsid w:val="00441195"/>
    <w:rsid w:val="00442B03"/>
    <w:rsid w:val="00442B55"/>
    <w:rsid w:val="004433AD"/>
    <w:rsid w:val="004436AA"/>
    <w:rsid w:val="00443D4F"/>
    <w:rsid w:val="00444328"/>
    <w:rsid w:val="004449D0"/>
    <w:rsid w:val="0044516B"/>
    <w:rsid w:val="004452CD"/>
    <w:rsid w:val="00445D92"/>
    <w:rsid w:val="004475CF"/>
    <w:rsid w:val="004509D9"/>
    <w:rsid w:val="00451246"/>
    <w:rsid w:val="00452841"/>
    <w:rsid w:val="00453537"/>
    <w:rsid w:val="00453721"/>
    <w:rsid w:val="00453E77"/>
    <w:rsid w:val="00453EFC"/>
    <w:rsid w:val="00453F62"/>
    <w:rsid w:val="004552C1"/>
    <w:rsid w:val="004552D7"/>
    <w:rsid w:val="00455AC0"/>
    <w:rsid w:val="004562CF"/>
    <w:rsid w:val="00456720"/>
    <w:rsid w:val="00456B0D"/>
    <w:rsid w:val="0045792E"/>
    <w:rsid w:val="00460C3B"/>
    <w:rsid w:val="0046159A"/>
    <w:rsid w:val="004616B2"/>
    <w:rsid w:val="00461778"/>
    <w:rsid w:val="00461AAE"/>
    <w:rsid w:val="0046221B"/>
    <w:rsid w:val="004626E4"/>
    <w:rsid w:val="0046393A"/>
    <w:rsid w:val="004639AD"/>
    <w:rsid w:val="00464353"/>
    <w:rsid w:val="00464E2C"/>
    <w:rsid w:val="0046577F"/>
    <w:rsid w:val="00466F9B"/>
    <w:rsid w:val="004678C6"/>
    <w:rsid w:val="004705DE"/>
    <w:rsid w:val="00470724"/>
    <w:rsid w:val="00470A0F"/>
    <w:rsid w:val="00470CCB"/>
    <w:rsid w:val="004710B7"/>
    <w:rsid w:val="004714BD"/>
    <w:rsid w:val="004714FC"/>
    <w:rsid w:val="00471935"/>
    <w:rsid w:val="00471B13"/>
    <w:rsid w:val="004748A4"/>
    <w:rsid w:val="004748CD"/>
    <w:rsid w:val="00475B6C"/>
    <w:rsid w:val="00475CF3"/>
    <w:rsid w:val="00476546"/>
    <w:rsid w:val="00476A36"/>
    <w:rsid w:val="004804DF"/>
    <w:rsid w:val="00480CC8"/>
    <w:rsid w:val="00481607"/>
    <w:rsid w:val="0048485A"/>
    <w:rsid w:val="00484F0E"/>
    <w:rsid w:val="004855A0"/>
    <w:rsid w:val="00486156"/>
    <w:rsid w:val="0048753B"/>
    <w:rsid w:val="004875E4"/>
    <w:rsid w:val="004906BE"/>
    <w:rsid w:val="00490C48"/>
    <w:rsid w:val="00491015"/>
    <w:rsid w:val="004918B1"/>
    <w:rsid w:val="0049193A"/>
    <w:rsid w:val="00491C6B"/>
    <w:rsid w:val="00492077"/>
    <w:rsid w:val="004927C4"/>
    <w:rsid w:val="00492CD2"/>
    <w:rsid w:val="00492E66"/>
    <w:rsid w:val="004938CD"/>
    <w:rsid w:val="00494D6B"/>
    <w:rsid w:val="0049519D"/>
    <w:rsid w:val="00495971"/>
    <w:rsid w:val="00495B49"/>
    <w:rsid w:val="00496465"/>
    <w:rsid w:val="004964D7"/>
    <w:rsid w:val="00496FF5"/>
    <w:rsid w:val="00497929"/>
    <w:rsid w:val="00497AEC"/>
    <w:rsid w:val="004A0559"/>
    <w:rsid w:val="004A099A"/>
    <w:rsid w:val="004A113A"/>
    <w:rsid w:val="004A168F"/>
    <w:rsid w:val="004A169C"/>
    <w:rsid w:val="004A16B4"/>
    <w:rsid w:val="004A1DC4"/>
    <w:rsid w:val="004A238A"/>
    <w:rsid w:val="004A2CCD"/>
    <w:rsid w:val="004A500A"/>
    <w:rsid w:val="004A619D"/>
    <w:rsid w:val="004B00A2"/>
    <w:rsid w:val="004B0ACE"/>
    <w:rsid w:val="004B248B"/>
    <w:rsid w:val="004B3C1A"/>
    <w:rsid w:val="004B43E7"/>
    <w:rsid w:val="004B44EC"/>
    <w:rsid w:val="004B4D2C"/>
    <w:rsid w:val="004B61EE"/>
    <w:rsid w:val="004B665C"/>
    <w:rsid w:val="004B7404"/>
    <w:rsid w:val="004B7519"/>
    <w:rsid w:val="004C0002"/>
    <w:rsid w:val="004C0140"/>
    <w:rsid w:val="004C019F"/>
    <w:rsid w:val="004C0313"/>
    <w:rsid w:val="004C0867"/>
    <w:rsid w:val="004C0932"/>
    <w:rsid w:val="004C0DE6"/>
    <w:rsid w:val="004C1646"/>
    <w:rsid w:val="004C1795"/>
    <w:rsid w:val="004C1C42"/>
    <w:rsid w:val="004C1DEB"/>
    <w:rsid w:val="004C1FCF"/>
    <w:rsid w:val="004C368D"/>
    <w:rsid w:val="004C37F5"/>
    <w:rsid w:val="004C4D0B"/>
    <w:rsid w:val="004C4EAA"/>
    <w:rsid w:val="004C6F6D"/>
    <w:rsid w:val="004C73BF"/>
    <w:rsid w:val="004C7ECA"/>
    <w:rsid w:val="004D033A"/>
    <w:rsid w:val="004D0CF5"/>
    <w:rsid w:val="004D1846"/>
    <w:rsid w:val="004D19FC"/>
    <w:rsid w:val="004D20DC"/>
    <w:rsid w:val="004D27A9"/>
    <w:rsid w:val="004D2CBD"/>
    <w:rsid w:val="004D4009"/>
    <w:rsid w:val="004D5A91"/>
    <w:rsid w:val="004D5BB6"/>
    <w:rsid w:val="004D61B0"/>
    <w:rsid w:val="004D6A7F"/>
    <w:rsid w:val="004E0184"/>
    <w:rsid w:val="004E0B0A"/>
    <w:rsid w:val="004E17E8"/>
    <w:rsid w:val="004E1DDF"/>
    <w:rsid w:val="004E31D8"/>
    <w:rsid w:val="004E40BB"/>
    <w:rsid w:val="004E4327"/>
    <w:rsid w:val="004E43BF"/>
    <w:rsid w:val="004E4829"/>
    <w:rsid w:val="004E48EA"/>
    <w:rsid w:val="004E5976"/>
    <w:rsid w:val="004E5E5A"/>
    <w:rsid w:val="004E7576"/>
    <w:rsid w:val="004E75D4"/>
    <w:rsid w:val="004F15AC"/>
    <w:rsid w:val="004F1B41"/>
    <w:rsid w:val="004F264D"/>
    <w:rsid w:val="004F2B82"/>
    <w:rsid w:val="004F2FAF"/>
    <w:rsid w:val="004F3523"/>
    <w:rsid w:val="004F38FB"/>
    <w:rsid w:val="004F3D4A"/>
    <w:rsid w:val="004F4C5B"/>
    <w:rsid w:val="004F75B8"/>
    <w:rsid w:val="004F76F0"/>
    <w:rsid w:val="004F789D"/>
    <w:rsid w:val="004F7B61"/>
    <w:rsid w:val="004F7EB3"/>
    <w:rsid w:val="00500467"/>
    <w:rsid w:val="00501068"/>
    <w:rsid w:val="0050156B"/>
    <w:rsid w:val="00501C36"/>
    <w:rsid w:val="0050243A"/>
    <w:rsid w:val="00502558"/>
    <w:rsid w:val="00502B43"/>
    <w:rsid w:val="005032A9"/>
    <w:rsid w:val="00503D13"/>
    <w:rsid w:val="00506702"/>
    <w:rsid w:val="0050723E"/>
    <w:rsid w:val="00507B68"/>
    <w:rsid w:val="00510062"/>
    <w:rsid w:val="00511003"/>
    <w:rsid w:val="00511BDD"/>
    <w:rsid w:val="00512237"/>
    <w:rsid w:val="00512453"/>
    <w:rsid w:val="00512583"/>
    <w:rsid w:val="0051326A"/>
    <w:rsid w:val="005132DC"/>
    <w:rsid w:val="0051430B"/>
    <w:rsid w:val="005158AD"/>
    <w:rsid w:val="00517162"/>
    <w:rsid w:val="00517A79"/>
    <w:rsid w:val="00517B97"/>
    <w:rsid w:val="00517F8A"/>
    <w:rsid w:val="00520403"/>
    <w:rsid w:val="0052054C"/>
    <w:rsid w:val="00520830"/>
    <w:rsid w:val="00520850"/>
    <w:rsid w:val="00520C0D"/>
    <w:rsid w:val="00521250"/>
    <w:rsid w:val="005212EB"/>
    <w:rsid w:val="0052181D"/>
    <w:rsid w:val="005224BF"/>
    <w:rsid w:val="0052269A"/>
    <w:rsid w:val="00522F6E"/>
    <w:rsid w:val="005231A1"/>
    <w:rsid w:val="005242BA"/>
    <w:rsid w:val="00524651"/>
    <w:rsid w:val="005248F7"/>
    <w:rsid w:val="00524AE6"/>
    <w:rsid w:val="00525943"/>
    <w:rsid w:val="005259E8"/>
    <w:rsid w:val="00526355"/>
    <w:rsid w:val="00526928"/>
    <w:rsid w:val="00527787"/>
    <w:rsid w:val="005277BC"/>
    <w:rsid w:val="005304C8"/>
    <w:rsid w:val="005311CF"/>
    <w:rsid w:val="00531283"/>
    <w:rsid w:val="00531407"/>
    <w:rsid w:val="0053262C"/>
    <w:rsid w:val="00532CF2"/>
    <w:rsid w:val="0053412C"/>
    <w:rsid w:val="00534248"/>
    <w:rsid w:val="00534B4C"/>
    <w:rsid w:val="00534B77"/>
    <w:rsid w:val="0053597D"/>
    <w:rsid w:val="00535DC6"/>
    <w:rsid w:val="0054009F"/>
    <w:rsid w:val="00540B15"/>
    <w:rsid w:val="0054218F"/>
    <w:rsid w:val="005423E6"/>
    <w:rsid w:val="00544033"/>
    <w:rsid w:val="0054403B"/>
    <w:rsid w:val="00544300"/>
    <w:rsid w:val="00544899"/>
    <w:rsid w:val="00545737"/>
    <w:rsid w:val="0054620D"/>
    <w:rsid w:val="0054745E"/>
    <w:rsid w:val="00547953"/>
    <w:rsid w:val="00551254"/>
    <w:rsid w:val="00551353"/>
    <w:rsid w:val="00551817"/>
    <w:rsid w:val="0055197D"/>
    <w:rsid w:val="00552570"/>
    <w:rsid w:val="005534A3"/>
    <w:rsid w:val="00553ABC"/>
    <w:rsid w:val="00553DBD"/>
    <w:rsid w:val="00555308"/>
    <w:rsid w:val="00556253"/>
    <w:rsid w:val="00557045"/>
    <w:rsid w:val="00557246"/>
    <w:rsid w:val="005574F6"/>
    <w:rsid w:val="005579F8"/>
    <w:rsid w:val="00557E0C"/>
    <w:rsid w:val="0056165C"/>
    <w:rsid w:val="005616B9"/>
    <w:rsid w:val="005624ED"/>
    <w:rsid w:val="00562DEB"/>
    <w:rsid w:val="005632D8"/>
    <w:rsid w:val="00563319"/>
    <w:rsid w:val="00563860"/>
    <w:rsid w:val="00564DF1"/>
    <w:rsid w:val="00565628"/>
    <w:rsid w:val="00567AC9"/>
    <w:rsid w:val="00567B40"/>
    <w:rsid w:val="00570BA2"/>
    <w:rsid w:val="005716C1"/>
    <w:rsid w:val="00571845"/>
    <w:rsid w:val="00572707"/>
    <w:rsid w:val="00572E54"/>
    <w:rsid w:val="0057327E"/>
    <w:rsid w:val="00573821"/>
    <w:rsid w:val="00573F32"/>
    <w:rsid w:val="0057528B"/>
    <w:rsid w:val="005772E3"/>
    <w:rsid w:val="00577723"/>
    <w:rsid w:val="00577839"/>
    <w:rsid w:val="00577D3F"/>
    <w:rsid w:val="0058001F"/>
    <w:rsid w:val="00581CB9"/>
    <w:rsid w:val="00582152"/>
    <w:rsid w:val="0058223D"/>
    <w:rsid w:val="005829A0"/>
    <w:rsid w:val="00583750"/>
    <w:rsid w:val="00583D45"/>
    <w:rsid w:val="005842A6"/>
    <w:rsid w:val="00584325"/>
    <w:rsid w:val="005855B5"/>
    <w:rsid w:val="00585BE3"/>
    <w:rsid w:val="0058635E"/>
    <w:rsid w:val="00587034"/>
    <w:rsid w:val="00587A52"/>
    <w:rsid w:val="00587FEF"/>
    <w:rsid w:val="00590472"/>
    <w:rsid w:val="005907F1"/>
    <w:rsid w:val="0059126E"/>
    <w:rsid w:val="00591394"/>
    <w:rsid w:val="005919AE"/>
    <w:rsid w:val="00591C33"/>
    <w:rsid w:val="00591E81"/>
    <w:rsid w:val="0059249F"/>
    <w:rsid w:val="00592DF7"/>
    <w:rsid w:val="00592E1B"/>
    <w:rsid w:val="00593911"/>
    <w:rsid w:val="00594E1F"/>
    <w:rsid w:val="0059592F"/>
    <w:rsid w:val="005963CE"/>
    <w:rsid w:val="00596607"/>
    <w:rsid w:val="0059733A"/>
    <w:rsid w:val="00597881"/>
    <w:rsid w:val="005A0B11"/>
    <w:rsid w:val="005A1674"/>
    <w:rsid w:val="005A3085"/>
    <w:rsid w:val="005A3252"/>
    <w:rsid w:val="005A38E6"/>
    <w:rsid w:val="005A3BD8"/>
    <w:rsid w:val="005A4513"/>
    <w:rsid w:val="005A4714"/>
    <w:rsid w:val="005A58C1"/>
    <w:rsid w:val="005A5E9D"/>
    <w:rsid w:val="005A61FE"/>
    <w:rsid w:val="005A670D"/>
    <w:rsid w:val="005A6D76"/>
    <w:rsid w:val="005A74AB"/>
    <w:rsid w:val="005A7550"/>
    <w:rsid w:val="005B04B2"/>
    <w:rsid w:val="005B04D9"/>
    <w:rsid w:val="005B10AB"/>
    <w:rsid w:val="005B150A"/>
    <w:rsid w:val="005B1696"/>
    <w:rsid w:val="005B2E74"/>
    <w:rsid w:val="005B3206"/>
    <w:rsid w:val="005B38FF"/>
    <w:rsid w:val="005B45DB"/>
    <w:rsid w:val="005B4720"/>
    <w:rsid w:val="005B4ADF"/>
    <w:rsid w:val="005B52E7"/>
    <w:rsid w:val="005B571A"/>
    <w:rsid w:val="005B5B57"/>
    <w:rsid w:val="005B5CC5"/>
    <w:rsid w:val="005B6824"/>
    <w:rsid w:val="005B72F4"/>
    <w:rsid w:val="005B7D70"/>
    <w:rsid w:val="005B7DC1"/>
    <w:rsid w:val="005B7F37"/>
    <w:rsid w:val="005C0699"/>
    <w:rsid w:val="005C06AF"/>
    <w:rsid w:val="005C08C1"/>
    <w:rsid w:val="005C0971"/>
    <w:rsid w:val="005C09CB"/>
    <w:rsid w:val="005C0DC8"/>
    <w:rsid w:val="005C1BFA"/>
    <w:rsid w:val="005C1DE3"/>
    <w:rsid w:val="005C20A0"/>
    <w:rsid w:val="005C2EDB"/>
    <w:rsid w:val="005C315B"/>
    <w:rsid w:val="005C3CC7"/>
    <w:rsid w:val="005C4D5A"/>
    <w:rsid w:val="005C585A"/>
    <w:rsid w:val="005C62C3"/>
    <w:rsid w:val="005C71C6"/>
    <w:rsid w:val="005C751A"/>
    <w:rsid w:val="005C7680"/>
    <w:rsid w:val="005D10C7"/>
    <w:rsid w:val="005D11BE"/>
    <w:rsid w:val="005D2418"/>
    <w:rsid w:val="005D2AC3"/>
    <w:rsid w:val="005D3AD3"/>
    <w:rsid w:val="005D4023"/>
    <w:rsid w:val="005D4B48"/>
    <w:rsid w:val="005D4C93"/>
    <w:rsid w:val="005D4CBA"/>
    <w:rsid w:val="005D6790"/>
    <w:rsid w:val="005D6C54"/>
    <w:rsid w:val="005D6C9D"/>
    <w:rsid w:val="005D6CE3"/>
    <w:rsid w:val="005E185B"/>
    <w:rsid w:val="005E1FA6"/>
    <w:rsid w:val="005E20EF"/>
    <w:rsid w:val="005E2159"/>
    <w:rsid w:val="005E2936"/>
    <w:rsid w:val="005E3700"/>
    <w:rsid w:val="005E37A8"/>
    <w:rsid w:val="005E4068"/>
    <w:rsid w:val="005E4944"/>
    <w:rsid w:val="005E49EA"/>
    <w:rsid w:val="005E4B08"/>
    <w:rsid w:val="005E4C72"/>
    <w:rsid w:val="005E5C46"/>
    <w:rsid w:val="005E5E12"/>
    <w:rsid w:val="005E6248"/>
    <w:rsid w:val="005F1F5A"/>
    <w:rsid w:val="005F221F"/>
    <w:rsid w:val="005F2A4B"/>
    <w:rsid w:val="005F2E39"/>
    <w:rsid w:val="005F3530"/>
    <w:rsid w:val="005F3864"/>
    <w:rsid w:val="005F48BF"/>
    <w:rsid w:val="005F48E9"/>
    <w:rsid w:val="005F69D2"/>
    <w:rsid w:val="005F772F"/>
    <w:rsid w:val="005F7B45"/>
    <w:rsid w:val="00600ED9"/>
    <w:rsid w:val="00601244"/>
    <w:rsid w:val="00602264"/>
    <w:rsid w:val="00602898"/>
    <w:rsid w:val="00602F38"/>
    <w:rsid w:val="006031FE"/>
    <w:rsid w:val="00603548"/>
    <w:rsid w:val="00604429"/>
    <w:rsid w:val="00604E8B"/>
    <w:rsid w:val="0060558A"/>
    <w:rsid w:val="00605BCD"/>
    <w:rsid w:val="00605E42"/>
    <w:rsid w:val="0060644E"/>
    <w:rsid w:val="0060722F"/>
    <w:rsid w:val="0060785D"/>
    <w:rsid w:val="00607E17"/>
    <w:rsid w:val="00610900"/>
    <w:rsid w:val="00610DAB"/>
    <w:rsid w:val="006110D1"/>
    <w:rsid w:val="006110D2"/>
    <w:rsid w:val="0061167C"/>
    <w:rsid w:val="00611D8C"/>
    <w:rsid w:val="006126D0"/>
    <w:rsid w:val="00612D70"/>
    <w:rsid w:val="00612D8F"/>
    <w:rsid w:val="006132DF"/>
    <w:rsid w:val="0061338A"/>
    <w:rsid w:val="00613C48"/>
    <w:rsid w:val="00613CBB"/>
    <w:rsid w:val="00614489"/>
    <w:rsid w:val="0061673A"/>
    <w:rsid w:val="006171E3"/>
    <w:rsid w:val="00617411"/>
    <w:rsid w:val="00620033"/>
    <w:rsid w:val="0062275D"/>
    <w:rsid w:val="00623081"/>
    <w:rsid w:val="006239E8"/>
    <w:rsid w:val="006253FF"/>
    <w:rsid w:val="00626268"/>
    <w:rsid w:val="006263B5"/>
    <w:rsid w:val="00626A10"/>
    <w:rsid w:val="00626B4F"/>
    <w:rsid w:val="006323DB"/>
    <w:rsid w:val="00635E8B"/>
    <w:rsid w:val="00636434"/>
    <w:rsid w:val="00637E63"/>
    <w:rsid w:val="00640E4A"/>
    <w:rsid w:val="006416B1"/>
    <w:rsid w:val="00645360"/>
    <w:rsid w:val="00646D7B"/>
    <w:rsid w:val="00646E26"/>
    <w:rsid w:val="006476DB"/>
    <w:rsid w:val="00651083"/>
    <w:rsid w:val="00651302"/>
    <w:rsid w:val="00653103"/>
    <w:rsid w:val="00653895"/>
    <w:rsid w:val="00654036"/>
    <w:rsid w:val="006544BC"/>
    <w:rsid w:val="006560D2"/>
    <w:rsid w:val="00656393"/>
    <w:rsid w:val="00656D29"/>
    <w:rsid w:val="006577C9"/>
    <w:rsid w:val="00660F26"/>
    <w:rsid w:val="00660FB2"/>
    <w:rsid w:val="006611BB"/>
    <w:rsid w:val="006622BE"/>
    <w:rsid w:val="0066445B"/>
    <w:rsid w:val="00664C5F"/>
    <w:rsid w:val="00664DE4"/>
    <w:rsid w:val="00665793"/>
    <w:rsid w:val="00665A7A"/>
    <w:rsid w:val="00665FC5"/>
    <w:rsid w:val="00666A5E"/>
    <w:rsid w:val="00670A9A"/>
    <w:rsid w:val="00670C9E"/>
    <w:rsid w:val="00671E17"/>
    <w:rsid w:val="00671F7E"/>
    <w:rsid w:val="00672101"/>
    <w:rsid w:val="0067213F"/>
    <w:rsid w:val="00672B81"/>
    <w:rsid w:val="00672CB6"/>
    <w:rsid w:val="0067309B"/>
    <w:rsid w:val="006751B0"/>
    <w:rsid w:val="00676423"/>
    <w:rsid w:val="00676EF2"/>
    <w:rsid w:val="00677562"/>
    <w:rsid w:val="00680307"/>
    <w:rsid w:val="00680B92"/>
    <w:rsid w:val="006816EA"/>
    <w:rsid w:val="006817B6"/>
    <w:rsid w:val="0068185F"/>
    <w:rsid w:val="00684429"/>
    <w:rsid w:val="00684E39"/>
    <w:rsid w:val="00686047"/>
    <w:rsid w:val="006908DF"/>
    <w:rsid w:val="00690D15"/>
    <w:rsid w:val="006914AE"/>
    <w:rsid w:val="00693310"/>
    <w:rsid w:val="006934C3"/>
    <w:rsid w:val="00694003"/>
    <w:rsid w:val="006949BE"/>
    <w:rsid w:val="00694C28"/>
    <w:rsid w:val="00694E49"/>
    <w:rsid w:val="00696459"/>
    <w:rsid w:val="00696A50"/>
    <w:rsid w:val="00696B00"/>
    <w:rsid w:val="006A089A"/>
    <w:rsid w:val="006A12C7"/>
    <w:rsid w:val="006A1491"/>
    <w:rsid w:val="006A35FC"/>
    <w:rsid w:val="006A3ABC"/>
    <w:rsid w:val="006A3D2E"/>
    <w:rsid w:val="006A42E1"/>
    <w:rsid w:val="006A779B"/>
    <w:rsid w:val="006B0085"/>
    <w:rsid w:val="006B0C94"/>
    <w:rsid w:val="006B0D0E"/>
    <w:rsid w:val="006B167D"/>
    <w:rsid w:val="006B1989"/>
    <w:rsid w:val="006B1C98"/>
    <w:rsid w:val="006B1F62"/>
    <w:rsid w:val="006B2631"/>
    <w:rsid w:val="006B3294"/>
    <w:rsid w:val="006B333B"/>
    <w:rsid w:val="006B3737"/>
    <w:rsid w:val="006B3A15"/>
    <w:rsid w:val="006B3CDC"/>
    <w:rsid w:val="006B468C"/>
    <w:rsid w:val="006B6AFA"/>
    <w:rsid w:val="006B6E46"/>
    <w:rsid w:val="006B7934"/>
    <w:rsid w:val="006C13FD"/>
    <w:rsid w:val="006C27C3"/>
    <w:rsid w:val="006C2BE0"/>
    <w:rsid w:val="006C3A33"/>
    <w:rsid w:val="006C3FE1"/>
    <w:rsid w:val="006C4678"/>
    <w:rsid w:val="006C4CF9"/>
    <w:rsid w:val="006C4DBE"/>
    <w:rsid w:val="006C6D8C"/>
    <w:rsid w:val="006C6EDB"/>
    <w:rsid w:val="006C71B9"/>
    <w:rsid w:val="006C729F"/>
    <w:rsid w:val="006C79BB"/>
    <w:rsid w:val="006C7CE0"/>
    <w:rsid w:val="006D0CC4"/>
    <w:rsid w:val="006D1B1E"/>
    <w:rsid w:val="006D29A7"/>
    <w:rsid w:val="006D3729"/>
    <w:rsid w:val="006D3970"/>
    <w:rsid w:val="006D49B3"/>
    <w:rsid w:val="006D5887"/>
    <w:rsid w:val="006D604A"/>
    <w:rsid w:val="006D61DF"/>
    <w:rsid w:val="006D660C"/>
    <w:rsid w:val="006D6F93"/>
    <w:rsid w:val="006D7384"/>
    <w:rsid w:val="006D77A4"/>
    <w:rsid w:val="006E05A8"/>
    <w:rsid w:val="006E0602"/>
    <w:rsid w:val="006E0800"/>
    <w:rsid w:val="006E2818"/>
    <w:rsid w:val="006E3C45"/>
    <w:rsid w:val="006E42EC"/>
    <w:rsid w:val="006E5D2D"/>
    <w:rsid w:val="006E5F7C"/>
    <w:rsid w:val="006E6377"/>
    <w:rsid w:val="006E641F"/>
    <w:rsid w:val="006E7694"/>
    <w:rsid w:val="006E7FF6"/>
    <w:rsid w:val="006F1108"/>
    <w:rsid w:val="006F1B0E"/>
    <w:rsid w:val="006F1F74"/>
    <w:rsid w:val="006F447D"/>
    <w:rsid w:val="006F4968"/>
    <w:rsid w:val="006F4EE0"/>
    <w:rsid w:val="006F50D9"/>
    <w:rsid w:val="006F6117"/>
    <w:rsid w:val="006F6212"/>
    <w:rsid w:val="006F6426"/>
    <w:rsid w:val="006F7360"/>
    <w:rsid w:val="0070068E"/>
    <w:rsid w:val="00701557"/>
    <w:rsid w:val="00701730"/>
    <w:rsid w:val="00701E38"/>
    <w:rsid w:val="007027EC"/>
    <w:rsid w:val="007028A9"/>
    <w:rsid w:val="00706C60"/>
    <w:rsid w:val="00707565"/>
    <w:rsid w:val="00707A83"/>
    <w:rsid w:val="00710F12"/>
    <w:rsid w:val="007129CA"/>
    <w:rsid w:val="00712F06"/>
    <w:rsid w:val="007135F7"/>
    <w:rsid w:val="00714386"/>
    <w:rsid w:val="007152A4"/>
    <w:rsid w:val="0071709C"/>
    <w:rsid w:val="00717725"/>
    <w:rsid w:val="007178EC"/>
    <w:rsid w:val="00717E7A"/>
    <w:rsid w:val="00720006"/>
    <w:rsid w:val="007203A0"/>
    <w:rsid w:val="00720553"/>
    <w:rsid w:val="00721826"/>
    <w:rsid w:val="00722B13"/>
    <w:rsid w:val="00722C48"/>
    <w:rsid w:val="00723C8B"/>
    <w:rsid w:val="007256F7"/>
    <w:rsid w:val="0072635A"/>
    <w:rsid w:val="00726686"/>
    <w:rsid w:val="007279B3"/>
    <w:rsid w:val="00727A62"/>
    <w:rsid w:val="00730311"/>
    <w:rsid w:val="0073062B"/>
    <w:rsid w:val="0073066C"/>
    <w:rsid w:val="00731574"/>
    <w:rsid w:val="00733824"/>
    <w:rsid w:val="00734039"/>
    <w:rsid w:val="00735D23"/>
    <w:rsid w:val="00736E53"/>
    <w:rsid w:val="00737DEE"/>
    <w:rsid w:val="00737E3A"/>
    <w:rsid w:val="00741240"/>
    <w:rsid w:val="00741F5D"/>
    <w:rsid w:val="00743AC0"/>
    <w:rsid w:val="007441B8"/>
    <w:rsid w:val="00744DB1"/>
    <w:rsid w:val="00744DC9"/>
    <w:rsid w:val="00747060"/>
    <w:rsid w:val="00747674"/>
    <w:rsid w:val="00747B26"/>
    <w:rsid w:val="00747E74"/>
    <w:rsid w:val="00750459"/>
    <w:rsid w:val="0075058D"/>
    <w:rsid w:val="00751049"/>
    <w:rsid w:val="007512E6"/>
    <w:rsid w:val="007514E0"/>
    <w:rsid w:val="00751645"/>
    <w:rsid w:val="00751815"/>
    <w:rsid w:val="00751F59"/>
    <w:rsid w:val="00752BE1"/>
    <w:rsid w:val="00752E32"/>
    <w:rsid w:val="0075333E"/>
    <w:rsid w:val="007539C8"/>
    <w:rsid w:val="00753B54"/>
    <w:rsid w:val="00754823"/>
    <w:rsid w:val="00754A60"/>
    <w:rsid w:val="00754E90"/>
    <w:rsid w:val="00755CAF"/>
    <w:rsid w:val="00755EFE"/>
    <w:rsid w:val="00757E26"/>
    <w:rsid w:val="00760012"/>
    <w:rsid w:val="0076055F"/>
    <w:rsid w:val="007607C6"/>
    <w:rsid w:val="00760D2E"/>
    <w:rsid w:val="007610F4"/>
    <w:rsid w:val="007615E3"/>
    <w:rsid w:val="00761876"/>
    <w:rsid w:val="00762BB3"/>
    <w:rsid w:val="00762D6B"/>
    <w:rsid w:val="00763925"/>
    <w:rsid w:val="00764F85"/>
    <w:rsid w:val="00767028"/>
    <w:rsid w:val="00767262"/>
    <w:rsid w:val="00767844"/>
    <w:rsid w:val="00770559"/>
    <w:rsid w:val="00770AC9"/>
    <w:rsid w:val="00772DE5"/>
    <w:rsid w:val="00772DF6"/>
    <w:rsid w:val="0077382A"/>
    <w:rsid w:val="0077395A"/>
    <w:rsid w:val="00774475"/>
    <w:rsid w:val="00774604"/>
    <w:rsid w:val="007746F0"/>
    <w:rsid w:val="0077505B"/>
    <w:rsid w:val="0077641D"/>
    <w:rsid w:val="007766DC"/>
    <w:rsid w:val="00776A2B"/>
    <w:rsid w:val="00776E9C"/>
    <w:rsid w:val="007772E4"/>
    <w:rsid w:val="007779C9"/>
    <w:rsid w:val="00777D23"/>
    <w:rsid w:val="00777F45"/>
    <w:rsid w:val="0078039D"/>
    <w:rsid w:val="007808E4"/>
    <w:rsid w:val="00780922"/>
    <w:rsid w:val="007819C1"/>
    <w:rsid w:val="00782197"/>
    <w:rsid w:val="00782E13"/>
    <w:rsid w:val="00783364"/>
    <w:rsid w:val="00783422"/>
    <w:rsid w:val="00783481"/>
    <w:rsid w:val="0078356F"/>
    <w:rsid w:val="00783EC3"/>
    <w:rsid w:val="007848C1"/>
    <w:rsid w:val="00784EA4"/>
    <w:rsid w:val="00785E17"/>
    <w:rsid w:val="00786734"/>
    <w:rsid w:val="007867AB"/>
    <w:rsid w:val="007867C0"/>
    <w:rsid w:val="00786FE9"/>
    <w:rsid w:val="0078749B"/>
    <w:rsid w:val="0078786D"/>
    <w:rsid w:val="00790516"/>
    <w:rsid w:val="0079092D"/>
    <w:rsid w:val="00791684"/>
    <w:rsid w:val="00794E6D"/>
    <w:rsid w:val="00795995"/>
    <w:rsid w:val="00795FAA"/>
    <w:rsid w:val="007962FC"/>
    <w:rsid w:val="0079748A"/>
    <w:rsid w:val="00797720"/>
    <w:rsid w:val="0079793D"/>
    <w:rsid w:val="00797EB2"/>
    <w:rsid w:val="007A102A"/>
    <w:rsid w:val="007A1568"/>
    <w:rsid w:val="007A1BD6"/>
    <w:rsid w:val="007A1D5C"/>
    <w:rsid w:val="007A2076"/>
    <w:rsid w:val="007A239B"/>
    <w:rsid w:val="007A2BC8"/>
    <w:rsid w:val="007A3A87"/>
    <w:rsid w:val="007A4B6D"/>
    <w:rsid w:val="007A4D87"/>
    <w:rsid w:val="007A6ACB"/>
    <w:rsid w:val="007B1A28"/>
    <w:rsid w:val="007B1AE7"/>
    <w:rsid w:val="007B3792"/>
    <w:rsid w:val="007B4083"/>
    <w:rsid w:val="007B6464"/>
    <w:rsid w:val="007B6EED"/>
    <w:rsid w:val="007C0282"/>
    <w:rsid w:val="007C05FC"/>
    <w:rsid w:val="007C0622"/>
    <w:rsid w:val="007C0720"/>
    <w:rsid w:val="007C0E7B"/>
    <w:rsid w:val="007C183A"/>
    <w:rsid w:val="007C2D64"/>
    <w:rsid w:val="007C2F98"/>
    <w:rsid w:val="007C446A"/>
    <w:rsid w:val="007C453D"/>
    <w:rsid w:val="007C670B"/>
    <w:rsid w:val="007C75A2"/>
    <w:rsid w:val="007D208F"/>
    <w:rsid w:val="007D3526"/>
    <w:rsid w:val="007D363A"/>
    <w:rsid w:val="007D3D36"/>
    <w:rsid w:val="007D4984"/>
    <w:rsid w:val="007D59A6"/>
    <w:rsid w:val="007D667D"/>
    <w:rsid w:val="007D715A"/>
    <w:rsid w:val="007D71FE"/>
    <w:rsid w:val="007E1180"/>
    <w:rsid w:val="007E1FD0"/>
    <w:rsid w:val="007E27EC"/>
    <w:rsid w:val="007E49CD"/>
    <w:rsid w:val="007E568E"/>
    <w:rsid w:val="007E6091"/>
    <w:rsid w:val="007E636F"/>
    <w:rsid w:val="007E6992"/>
    <w:rsid w:val="007E6F62"/>
    <w:rsid w:val="007E735B"/>
    <w:rsid w:val="007E744A"/>
    <w:rsid w:val="007E7CEF"/>
    <w:rsid w:val="007E7E57"/>
    <w:rsid w:val="007E7F16"/>
    <w:rsid w:val="007F013E"/>
    <w:rsid w:val="007F079B"/>
    <w:rsid w:val="007F1DF4"/>
    <w:rsid w:val="007F2D0B"/>
    <w:rsid w:val="007F2FB3"/>
    <w:rsid w:val="007F3E7B"/>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140"/>
    <w:rsid w:val="0080599F"/>
    <w:rsid w:val="00805CD0"/>
    <w:rsid w:val="00805F6E"/>
    <w:rsid w:val="00806156"/>
    <w:rsid w:val="00806D81"/>
    <w:rsid w:val="0080713A"/>
    <w:rsid w:val="00807290"/>
    <w:rsid w:val="008101A4"/>
    <w:rsid w:val="00810925"/>
    <w:rsid w:val="00811233"/>
    <w:rsid w:val="008112C1"/>
    <w:rsid w:val="00811E36"/>
    <w:rsid w:val="00812A2F"/>
    <w:rsid w:val="00812A90"/>
    <w:rsid w:val="008130EF"/>
    <w:rsid w:val="00813B4C"/>
    <w:rsid w:val="00815A41"/>
    <w:rsid w:val="008201C8"/>
    <w:rsid w:val="00820C7A"/>
    <w:rsid w:val="00821A14"/>
    <w:rsid w:val="00821D5F"/>
    <w:rsid w:val="00824B45"/>
    <w:rsid w:val="00825941"/>
    <w:rsid w:val="008266C2"/>
    <w:rsid w:val="00826BA9"/>
    <w:rsid w:val="0082724F"/>
    <w:rsid w:val="008274BA"/>
    <w:rsid w:val="00827C13"/>
    <w:rsid w:val="0083080D"/>
    <w:rsid w:val="00830D7D"/>
    <w:rsid w:val="00831451"/>
    <w:rsid w:val="008314DD"/>
    <w:rsid w:val="008328A8"/>
    <w:rsid w:val="008334C2"/>
    <w:rsid w:val="008337D0"/>
    <w:rsid w:val="008345F7"/>
    <w:rsid w:val="0083549F"/>
    <w:rsid w:val="00835746"/>
    <w:rsid w:val="00837E7B"/>
    <w:rsid w:val="0084009C"/>
    <w:rsid w:val="008408C7"/>
    <w:rsid w:val="0084226A"/>
    <w:rsid w:val="00842848"/>
    <w:rsid w:val="008432E2"/>
    <w:rsid w:val="008437D0"/>
    <w:rsid w:val="00843C81"/>
    <w:rsid w:val="00843FB0"/>
    <w:rsid w:val="00844EDF"/>
    <w:rsid w:val="0084503F"/>
    <w:rsid w:val="0084513A"/>
    <w:rsid w:val="008454F0"/>
    <w:rsid w:val="00847491"/>
    <w:rsid w:val="00847640"/>
    <w:rsid w:val="00847B44"/>
    <w:rsid w:val="00847CA7"/>
    <w:rsid w:val="0085089A"/>
    <w:rsid w:val="00850A22"/>
    <w:rsid w:val="00851674"/>
    <w:rsid w:val="00851FD7"/>
    <w:rsid w:val="008526DB"/>
    <w:rsid w:val="0085313E"/>
    <w:rsid w:val="008539BF"/>
    <w:rsid w:val="00853EB9"/>
    <w:rsid w:val="008550FE"/>
    <w:rsid w:val="0085511E"/>
    <w:rsid w:val="0085525B"/>
    <w:rsid w:val="00855366"/>
    <w:rsid w:val="00855A44"/>
    <w:rsid w:val="008561B5"/>
    <w:rsid w:val="0086014A"/>
    <w:rsid w:val="00861ABF"/>
    <w:rsid w:val="00862339"/>
    <w:rsid w:val="00863265"/>
    <w:rsid w:val="00864C31"/>
    <w:rsid w:val="00865F96"/>
    <w:rsid w:val="0086696B"/>
    <w:rsid w:val="008678A9"/>
    <w:rsid w:val="00870579"/>
    <w:rsid w:val="008705F3"/>
    <w:rsid w:val="00870894"/>
    <w:rsid w:val="008718E5"/>
    <w:rsid w:val="00873765"/>
    <w:rsid w:val="00874187"/>
    <w:rsid w:val="008744C5"/>
    <w:rsid w:val="00875229"/>
    <w:rsid w:val="008759DA"/>
    <w:rsid w:val="00875A72"/>
    <w:rsid w:val="00876973"/>
    <w:rsid w:val="00876ED3"/>
    <w:rsid w:val="00877524"/>
    <w:rsid w:val="00877D77"/>
    <w:rsid w:val="00880D63"/>
    <w:rsid w:val="008815E1"/>
    <w:rsid w:val="00882B53"/>
    <w:rsid w:val="0088307E"/>
    <w:rsid w:val="0088315C"/>
    <w:rsid w:val="00883879"/>
    <w:rsid w:val="0088420C"/>
    <w:rsid w:val="008863EB"/>
    <w:rsid w:val="008866A3"/>
    <w:rsid w:val="0088684D"/>
    <w:rsid w:val="00887A8B"/>
    <w:rsid w:val="008900FD"/>
    <w:rsid w:val="008903E9"/>
    <w:rsid w:val="00890421"/>
    <w:rsid w:val="0089043E"/>
    <w:rsid w:val="00891AD3"/>
    <w:rsid w:val="008922D3"/>
    <w:rsid w:val="00892698"/>
    <w:rsid w:val="00893C9A"/>
    <w:rsid w:val="00893EB2"/>
    <w:rsid w:val="008940F7"/>
    <w:rsid w:val="00894145"/>
    <w:rsid w:val="00894461"/>
    <w:rsid w:val="00895FD7"/>
    <w:rsid w:val="008972F5"/>
    <w:rsid w:val="008974DE"/>
    <w:rsid w:val="0089753F"/>
    <w:rsid w:val="008A010C"/>
    <w:rsid w:val="008A0771"/>
    <w:rsid w:val="008A0EDF"/>
    <w:rsid w:val="008A18B2"/>
    <w:rsid w:val="008A1AF9"/>
    <w:rsid w:val="008A34DB"/>
    <w:rsid w:val="008A3E8D"/>
    <w:rsid w:val="008A4010"/>
    <w:rsid w:val="008A405F"/>
    <w:rsid w:val="008A44FF"/>
    <w:rsid w:val="008A4510"/>
    <w:rsid w:val="008A4DBE"/>
    <w:rsid w:val="008A5CD2"/>
    <w:rsid w:val="008A6130"/>
    <w:rsid w:val="008A650B"/>
    <w:rsid w:val="008A6CA5"/>
    <w:rsid w:val="008A717F"/>
    <w:rsid w:val="008B0385"/>
    <w:rsid w:val="008B07C1"/>
    <w:rsid w:val="008B0B59"/>
    <w:rsid w:val="008B0BAD"/>
    <w:rsid w:val="008B21BE"/>
    <w:rsid w:val="008B343D"/>
    <w:rsid w:val="008B35A8"/>
    <w:rsid w:val="008B5895"/>
    <w:rsid w:val="008B5E31"/>
    <w:rsid w:val="008B6352"/>
    <w:rsid w:val="008B6764"/>
    <w:rsid w:val="008B6B96"/>
    <w:rsid w:val="008B7895"/>
    <w:rsid w:val="008C0A75"/>
    <w:rsid w:val="008C119E"/>
    <w:rsid w:val="008C11EE"/>
    <w:rsid w:val="008C180E"/>
    <w:rsid w:val="008C2492"/>
    <w:rsid w:val="008C2578"/>
    <w:rsid w:val="008C2AD3"/>
    <w:rsid w:val="008C33C5"/>
    <w:rsid w:val="008C3B2B"/>
    <w:rsid w:val="008C3F33"/>
    <w:rsid w:val="008C5560"/>
    <w:rsid w:val="008C6462"/>
    <w:rsid w:val="008C7276"/>
    <w:rsid w:val="008D0294"/>
    <w:rsid w:val="008D169C"/>
    <w:rsid w:val="008D22DD"/>
    <w:rsid w:val="008D35FC"/>
    <w:rsid w:val="008D3E94"/>
    <w:rsid w:val="008D433F"/>
    <w:rsid w:val="008D4474"/>
    <w:rsid w:val="008D4AED"/>
    <w:rsid w:val="008D52EB"/>
    <w:rsid w:val="008D5C33"/>
    <w:rsid w:val="008D7225"/>
    <w:rsid w:val="008D7D33"/>
    <w:rsid w:val="008E04C9"/>
    <w:rsid w:val="008E0A14"/>
    <w:rsid w:val="008E0B47"/>
    <w:rsid w:val="008E0C0D"/>
    <w:rsid w:val="008E10A8"/>
    <w:rsid w:val="008E1654"/>
    <w:rsid w:val="008E2116"/>
    <w:rsid w:val="008E215B"/>
    <w:rsid w:val="008E217C"/>
    <w:rsid w:val="008E2958"/>
    <w:rsid w:val="008E3176"/>
    <w:rsid w:val="008E3209"/>
    <w:rsid w:val="008E3620"/>
    <w:rsid w:val="008E3C5C"/>
    <w:rsid w:val="008E4722"/>
    <w:rsid w:val="008E4D86"/>
    <w:rsid w:val="008E4FF1"/>
    <w:rsid w:val="008E504D"/>
    <w:rsid w:val="008E567E"/>
    <w:rsid w:val="008E5C07"/>
    <w:rsid w:val="008E63DD"/>
    <w:rsid w:val="008F09BF"/>
    <w:rsid w:val="008F14FA"/>
    <w:rsid w:val="008F285F"/>
    <w:rsid w:val="008F3B2B"/>
    <w:rsid w:val="008F414C"/>
    <w:rsid w:val="008F4903"/>
    <w:rsid w:val="008F4F41"/>
    <w:rsid w:val="008F61B1"/>
    <w:rsid w:val="008F62EF"/>
    <w:rsid w:val="008F6672"/>
    <w:rsid w:val="008F6F5C"/>
    <w:rsid w:val="008F74E2"/>
    <w:rsid w:val="009017AF"/>
    <w:rsid w:val="00901F31"/>
    <w:rsid w:val="00903AB8"/>
    <w:rsid w:val="00904953"/>
    <w:rsid w:val="00904959"/>
    <w:rsid w:val="009049DE"/>
    <w:rsid w:val="00906BA9"/>
    <w:rsid w:val="00907E0D"/>
    <w:rsid w:val="00910BB8"/>
    <w:rsid w:val="00912BF5"/>
    <w:rsid w:val="0091384A"/>
    <w:rsid w:val="0091403C"/>
    <w:rsid w:val="00914647"/>
    <w:rsid w:val="00914E04"/>
    <w:rsid w:val="00915E73"/>
    <w:rsid w:val="0091651F"/>
    <w:rsid w:val="009165EC"/>
    <w:rsid w:val="0091685B"/>
    <w:rsid w:val="00916C21"/>
    <w:rsid w:val="00917246"/>
    <w:rsid w:val="00917A23"/>
    <w:rsid w:val="00917CA7"/>
    <w:rsid w:val="0092015D"/>
    <w:rsid w:val="009201EA"/>
    <w:rsid w:val="009203ED"/>
    <w:rsid w:val="00920448"/>
    <w:rsid w:val="009206D4"/>
    <w:rsid w:val="00920C72"/>
    <w:rsid w:val="00920EF0"/>
    <w:rsid w:val="00921001"/>
    <w:rsid w:val="0092390C"/>
    <w:rsid w:val="00924419"/>
    <w:rsid w:val="00924F49"/>
    <w:rsid w:val="00924F90"/>
    <w:rsid w:val="00925A1B"/>
    <w:rsid w:val="00925B33"/>
    <w:rsid w:val="00925EDA"/>
    <w:rsid w:val="00926ACC"/>
    <w:rsid w:val="009270A0"/>
    <w:rsid w:val="00927481"/>
    <w:rsid w:val="00927BA1"/>
    <w:rsid w:val="00927CC5"/>
    <w:rsid w:val="009304BE"/>
    <w:rsid w:val="009304F4"/>
    <w:rsid w:val="0093122C"/>
    <w:rsid w:val="0093255C"/>
    <w:rsid w:val="00932796"/>
    <w:rsid w:val="00932DED"/>
    <w:rsid w:val="0093309F"/>
    <w:rsid w:val="0093356A"/>
    <w:rsid w:val="0093646D"/>
    <w:rsid w:val="009367B2"/>
    <w:rsid w:val="00936819"/>
    <w:rsid w:val="00936DAA"/>
    <w:rsid w:val="009374D6"/>
    <w:rsid w:val="009379A7"/>
    <w:rsid w:val="00940134"/>
    <w:rsid w:val="0094135B"/>
    <w:rsid w:val="00941953"/>
    <w:rsid w:val="00941E10"/>
    <w:rsid w:val="009429C7"/>
    <w:rsid w:val="00944130"/>
    <w:rsid w:val="00944313"/>
    <w:rsid w:val="0094663D"/>
    <w:rsid w:val="00946D8E"/>
    <w:rsid w:val="009506B5"/>
    <w:rsid w:val="00950E19"/>
    <w:rsid w:val="009534A2"/>
    <w:rsid w:val="00954932"/>
    <w:rsid w:val="00954EAC"/>
    <w:rsid w:val="009557AD"/>
    <w:rsid w:val="009564E7"/>
    <w:rsid w:val="00956979"/>
    <w:rsid w:val="00960719"/>
    <w:rsid w:val="00960B5C"/>
    <w:rsid w:val="00960FFB"/>
    <w:rsid w:val="009626F1"/>
    <w:rsid w:val="009627CE"/>
    <w:rsid w:val="009630DC"/>
    <w:rsid w:val="009639D5"/>
    <w:rsid w:val="00965F52"/>
    <w:rsid w:val="00966535"/>
    <w:rsid w:val="00966811"/>
    <w:rsid w:val="00966F25"/>
    <w:rsid w:val="009677F8"/>
    <w:rsid w:val="0096789A"/>
    <w:rsid w:val="00971AA6"/>
    <w:rsid w:val="0097395E"/>
    <w:rsid w:val="009746E2"/>
    <w:rsid w:val="009757C8"/>
    <w:rsid w:val="00975F29"/>
    <w:rsid w:val="009760E2"/>
    <w:rsid w:val="00976279"/>
    <w:rsid w:val="00977334"/>
    <w:rsid w:val="0097736B"/>
    <w:rsid w:val="00981D5B"/>
    <w:rsid w:val="009820BB"/>
    <w:rsid w:val="009823AA"/>
    <w:rsid w:val="009824E3"/>
    <w:rsid w:val="00982D45"/>
    <w:rsid w:val="00982D64"/>
    <w:rsid w:val="0098307B"/>
    <w:rsid w:val="0098375B"/>
    <w:rsid w:val="00983E4A"/>
    <w:rsid w:val="00985817"/>
    <w:rsid w:val="00985BEF"/>
    <w:rsid w:val="0098645C"/>
    <w:rsid w:val="00987802"/>
    <w:rsid w:val="00987A7F"/>
    <w:rsid w:val="00987F96"/>
    <w:rsid w:val="0099035D"/>
    <w:rsid w:val="009904D7"/>
    <w:rsid w:val="00991D4F"/>
    <w:rsid w:val="00992C4C"/>
    <w:rsid w:val="00992F8E"/>
    <w:rsid w:val="00993B6E"/>
    <w:rsid w:val="00996D67"/>
    <w:rsid w:val="009974F3"/>
    <w:rsid w:val="00997DEE"/>
    <w:rsid w:val="009A014B"/>
    <w:rsid w:val="009A0976"/>
    <w:rsid w:val="009A0990"/>
    <w:rsid w:val="009A0D24"/>
    <w:rsid w:val="009A23C0"/>
    <w:rsid w:val="009A33AF"/>
    <w:rsid w:val="009A38F6"/>
    <w:rsid w:val="009A4319"/>
    <w:rsid w:val="009A4524"/>
    <w:rsid w:val="009A51AE"/>
    <w:rsid w:val="009A52BE"/>
    <w:rsid w:val="009A5A8E"/>
    <w:rsid w:val="009A6162"/>
    <w:rsid w:val="009A6D5B"/>
    <w:rsid w:val="009A7770"/>
    <w:rsid w:val="009B0082"/>
    <w:rsid w:val="009B103B"/>
    <w:rsid w:val="009B1B1B"/>
    <w:rsid w:val="009B1EB3"/>
    <w:rsid w:val="009B23C4"/>
    <w:rsid w:val="009B290E"/>
    <w:rsid w:val="009B3C90"/>
    <w:rsid w:val="009B4329"/>
    <w:rsid w:val="009B449D"/>
    <w:rsid w:val="009B4FF2"/>
    <w:rsid w:val="009B58E1"/>
    <w:rsid w:val="009B5B56"/>
    <w:rsid w:val="009B5F7F"/>
    <w:rsid w:val="009B6938"/>
    <w:rsid w:val="009B7638"/>
    <w:rsid w:val="009C047C"/>
    <w:rsid w:val="009C115B"/>
    <w:rsid w:val="009C18CD"/>
    <w:rsid w:val="009C324E"/>
    <w:rsid w:val="009C33A5"/>
    <w:rsid w:val="009C3F2F"/>
    <w:rsid w:val="009C4A6E"/>
    <w:rsid w:val="009C62BA"/>
    <w:rsid w:val="009C7A8D"/>
    <w:rsid w:val="009C7D9F"/>
    <w:rsid w:val="009D11E3"/>
    <w:rsid w:val="009D18D1"/>
    <w:rsid w:val="009D20BA"/>
    <w:rsid w:val="009D2A43"/>
    <w:rsid w:val="009D2B88"/>
    <w:rsid w:val="009D33F3"/>
    <w:rsid w:val="009D34BB"/>
    <w:rsid w:val="009D3692"/>
    <w:rsid w:val="009D3F44"/>
    <w:rsid w:val="009D4C9F"/>
    <w:rsid w:val="009D7729"/>
    <w:rsid w:val="009D7E3E"/>
    <w:rsid w:val="009E06DB"/>
    <w:rsid w:val="009E0C1C"/>
    <w:rsid w:val="009E1D7E"/>
    <w:rsid w:val="009E3860"/>
    <w:rsid w:val="009E3CD9"/>
    <w:rsid w:val="009E45B8"/>
    <w:rsid w:val="009E563D"/>
    <w:rsid w:val="009E7279"/>
    <w:rsid w:val="009E7919"/>
    <w:rsid w:val="009E7F05"/>
    <w:rsid w:val="009F0323"/>
    <w:rsid w:val="009F0BAE"/>
    <w:rsid w:val="009F1030"/>
    <w:rsid w:val="009F15D2"/>
    <w:rsid w:val="009F1C65"/>
    <w:rsid w:val="009F4412"/>
    <w:rsid w:val="009F5482"/>
    <w:rsid w:val="009F55DE"/>
    <w:rsid w:val="009F5A19"/>
    <w:rsid w:val="009F5D4A"/>
    <w:rsid w:val="009F604C"/>
    <w:rsid w:val="009F628E"/>
    <w:rsid w:val="009F79C4"/>
    <w:rsid w:val="009F7B46"/>
    <w:rsid w:val="009F7F9A"/>
    <w:rsid w:val="009F7FCB"/>
    <w:rsid w:val="00A00BDF"/>
    <w:rsid w:val="00A00E26"/>
    <w:rsid w:val="00A013CC"/>
    <w:rsid w:val="00A02289"/>
    <w:rsid w:val="00A035A5"/>
    <w:rsid w:val="00A049C9"/>
    <w:rsid w:val="00A04B6E"/>
    <w:rsid w:val="00A04E7B"/>
    <w:rsid w:val="00A04F99"/>
    <w:rsid w:val="00A05313"/>
    <w:rsid w:val="00A05932"/>
    <w:rsid w:val="00A12251"/>
    <w:rsid w:val="00A1248E"/>
    <w:rsid w:val="00A12913"/>
    <w:rsid w:val="00A14B9D"/>
    <w:rsid w:val="00A14BA0"/>
    <w:rsid w:val="00A14BD6"/>
    <w:rsid w:val="00A14C1D"/>
    <w:rsid w:val="00A14D4B"/>
    <w:rsid w:val="00A15274"/>
    <w:rsid w:val="00A1550B"/>
    <w:rsid w:val="00A15AC7"/>
    <w:rsid w:val="00A1607F"/>
    <w:rsid w:val="00A16446"/>
    <w:rsid w:val="00A16576"/>
    <w:rsid w:val="00A17624"/>
    <w:rsid w:val="00A2004F"/>
    <w:rsid w:val="00A206CF"/>
    <w:rsid w:val="00A229B7"/>
    <w:rsid w:val="00A23540"/>
    <w:rsid w:val="00A24683"/>
    <w:rsid w:val="00A246C4"/>
    <w:rsid w:val="00A2711B"/>
    <w:rsid w:val="00A27BBC"/>
    <w:rsid w:val="00A27E3A"/>
    <w:rsid w:val="00A30B20"/>
    <w:rsid w:val="00A30CD6"/>
    <w:rsid w:val="00A31558"/>
    <w:rsid w:val="00A318C7"/>
    <w:rsid w:val="00A31FCA"/>
    <w:rsid w:val="00A32896"/>
    <w:rsid w:val="00A33439"/>
    <w:rsid w:val="00A33B32"/>
    <w:rsid w:val="00A3437C"/>
    <w:rsid w:val="00A350ED"/>
    <w:rsid w:val="00A35DB3"/>
    <w:rsid w:val="00A35F51"/>
    <w:rsid w:val="00A4054B"/>
    <w:rsid w:val="00A41212"/>
    <w:rsid w:val="00A4324A"/>
    <w:rsid w:val="00A439FB"/>
    <w:rsid w:val="00A448BA"/>
    <w:rsid w:val="00A44C20"/>
    <w:rsid w:val="00A45DA9"/>
    <w:rsid w:val="00A463C2"/>
    <w:rsid w:val="00A46797"/>
    <w:rsid w:val="00A46AEA"/>
    <w:rsid w:val="00A472C8"/>
    <w:rsid w:val="00A473DA"/>
    <w:rsid w:val="00A47491"/>
    <w:rsid w:val="00A47BCC"/>
    <w:rsid w:val="00A502F7"/>
    <w:rsid w:val="00A5049E"/>
    <w:rsid w:val="00A50607"/>
    <w:rsid w:val="00A506FB"/>
    <w:rsid w:val="00A50CEE"/>
    <w:rsid w:val="00A50E7D"/>
    <w:rsid w:val="00A50ED4"/>
    <w:rsid w:val="00A515A3"/>
    <w:rsid w:val="00A52339"/>
    <w:rsid w:val="00A5354C"/>
    <w:rsid w:val="00A53659"/>
    <w:rsid w:val="00A546B0"/>
    <w:rsid w:val="00A5557D"/>
    <w:rsid w:val="00A5594F"/>
    <w:rsid w:val="00A56AFD"/>
    <w:rsid w:val="00A56BBA"/>
    <w:rsid w:val="00A572EB"/>
    <w:rsid w:val="00A57BC8"/>
    <w:rsid w:val="00A6032D"/>
    <w:rsid w:val="00A60702"/>
    <w:rsid w:val="00A60BE3"/>
    <w:rsid w:val="00A62EDE"/>
    <w:rsid w:val="00A6379E"/>
    <w:rsid w:val="00A664B4"/>
    <w:rsid w:val="00A6675D"/>
    <w:rsid w:val="00A66F26"/>
    <w:rsid w:val="00A7038C"/>
    <w:rsid w:val="00A706A8"/>
    <w:rsid w:val="00A71134"/>
    <w:rsid w:val="00A71206"/>
    <w:rsid w:val="00A71806"/>
    <w:rsid w:val="00A71A06"/>
    <w:rsid w:val="00A71A81"/>
    <w:rsid w:val="00A71B4A"/>
    <w:rsid w:val="00A7228F"/>
    <w:rsid w:val="00A740E4"/>
    <w:rsid w:val="00A7453E"/>
    <w:rsid w:val="00A74B88"/>
    <w:rsid w:val="00A74D8F"/>
    <w:rsid w:val="00A75841"/>
    <w:rsid w:val="00A75DEE"/>
    <w:rsid w:val="00A75EEF"/>
    <w:rsid w:val="00A764BA"/>
    <w:rsid w:val="00A76ED7"/>
    <w:rsid w:val="00A776EB"/>
    <w:rsid w:val="00A80296"/>
    <w:rsid w:val="00A80E36"/>
    <w:rsid w:val="00A82234"/>
    <w:rsid w:val="00A828A4"/>
    <w:rsid w:val="00A8299A"/>
    <w:rsid w:val="00A82F26"/>
    <w:rsid w:val="00A8328B"/>
    <w:rsid w:val="00A832DE"/>
    <w:rsid w:val="00A83393"/>
    <w:rsid w:val="00A83CC8"/>
    <w:rsid w:val="00A83F48"/>
    <w:rsid w:val="00A84734"/>
    <w:rsid w:val="00A8504C"/>
    <w:rsid w:val="00A8573A"/>
    <w:rsid w:val="00A86209"/>
    <w:rsid w:val="00A8668D"/>
    <w:rsid w:val="00A8754E"/>
    <w:rsid w:val="00A87569"/>
    <w:rsid w:val="00A87758"/>
    <w:rsid w:val="00A9087E"/>
    <w:rsid w:val="00A90C8A"/>
    <w:rsid w:val="00A90DDC"/>
    <w:rsid w:val="00A9367F"/>
    <w:rsid w:val="00A93901"/>
    <w:rsid w:val="00A93F48"/>
    <w:rsid w:val="00A952FF"/>
    <w:rsid w:val="00A9562B"/>
    <w:rsid w:val="00A95AC8"/>
    <w:rsid w:val="00A96F51"/>
    <w:rsid w:val="00AA0145"/>
    <w:rsid w:val="00AA0423"/>
    <w:rsid w:val="00AA0EFA"/>
    <w:rsid w:val="00AA1213"/>
    <w:rsid w:val="00AA20F2"/>
    <w:rsid w:val="00AA2DD3"/>
    <w:rsid w:val="00AA3741"/>
    <w:rsid w:val="00AA4541"/>
    <w:rsid w:val="00AA59BE"/>
    <w:rsid w:val="00AA6599"/>
    <w:rsid w:val="00AA65A9"/>
    <w:rsid w:val="00AA6B64"/>
    <w:rsid w:val="00AA73C0"/>
    <w:rsid w:val="00AA73C5"/>
    <w:rsid w:val="00AA7A87"/>
    <w:rsid w:val="00AB0259"/>
    <w:rsid w:val="00AB0C75"/>
    <w:rsid w:val="00AB11EB"/>
    <w:rsid w:val="00AB1646"/>
    <w:rsid w:val="00AB1D77"/>
    <w:rsid w:val="00AB2245"/>
    <w:rsid w:val="00AB2460"/>
    <w:rsid w:val="00AB2BD4"/>
    <w:rsid w:val="00AB3499"/>
    <w:rsid w:val="00AB415C"/>
    <w:rsid w:val="00AB46C4"/>
    <w:rsid w:val="00AB4977"/>
    <w:rsid w:val="00AB5DC5"/>
    <w:rsid w:val="00AB7850"/>
    <w:rsid w:val="00AB7C41"/>
    <w:rsid w:val="00AB7D85"/>
    <w:rsid w:val="00AC1650"/>
    <w:rsid w:val="00AC1D76"/>
    <w:rsid w:val="00AC223D"/>
    <w:rsid w:val="00AC3391"/>
    <w:rsid w:val="00AC3A64"/>
    <w:rsid w:val="00AC498F"/>
    <w:rsid w:val="00AC51E6"/>
    <w:rsid w:val="00AC5314"/>
    <w:rsid w:val="00AC67E3"/>
    <w:rsid w:val="00AC7B67"/>
    <w:rsid w:val="00AC7C66"/>
    <w:rsid w:val="00AD03F7"/>
    <w:rsid w:val="00AD0896"/>
    <w:rsid w:val="00AD109D"/>
    <w:rsid w:val="00AD19CF"/>
    <w:rsid w:val="00AD2074"/>
    <w:rsid w:val="00AD23B5"/>
    <w:rsid w:val="00AD24B5"/>
    <w:rsid w:val="00AD3025"/>
    <w:rsid w:val="00AD31F2"/>
    <w:rsid w:val="00AD3305"/>
    <w:rsid w:val="00AD4ACE"/>
    <w:rsid w:val="00AD742E"/>
    <w:rsid w:val="00AE0706"/>
    <w:rsid w:val="00AE0F70"/>
    <w:rsid w:val="00AE1096"/>
    <w:rsid w:val="00AE2197"/>
    <w:rsid w:val="00AE2DD9"/>
    <w:rsid w:val="00AE2F18"/>
    <w:rsid w:val="00AE35EE"/>
    <w:rsid w:val="00AE4370"/>
    <w:rsid w:val="00AE44C3"/>
    <w:rsid w:val="00AE6176"/>
    <w:rsid w:val="00AE62D8"/>
    <w:rsid w:val="00AE670A"/>
    <w:rsid w:val="00AE67FB"/>
    <w:rsid w:val="00AE78D4"/>
    <w:rsid w:val="00AE7FA5"/>
    <w:rsid w:val="00AF0142"/>
    <w:rsid w:val="00AF05EF"/>
    <w:rsid w:val="00AF0858"/>
    <w:rsid w:val="00AF1D9D"/>
    <w:rsid w:val="00AF367E"/>
    <w:rsid w:val="00AF405F"/>
    <w:rsid w:val="00AF53AF"/>
    <w:rsid w:val="00AF54B7"/>
    <w:rsid w:val="00AF5606"/>
    <w:rsid w:val="00AF587F"/>
    <w:rsid w:val="00AF6E8C"/>
    <w:rsid w:val="00AF74BF"/>
    <w:rsid w:val="00AF74DA"/>
    <w:rsid w:val="00AF758E"/>
    <w:rsid w:val="00B009C7"/>
    <w:rsid w:val="00B013D3"/>
    <w:rsid w:val="00B0168F"/>
    <w:rsid w:val="00B019CB"/>
    <w:rsid w:val="00B01F8D"/>
    <w:rsid w:val="00B01F98"/>
    <w:rsid w:val="00B025DB"/>
    <w:rsid w:val="00B03EA5"/>
    <w:rsid w:val="00B051A1"/>
    <w:rsid w:val="00B060EE"/>
    <w:rsid w:val="00B070DB"/>
    <w:rsid w:val="00B071F8"/>
    <w:rsid w:val="00B07569"/>
    <w:rsid w:val="00B10A26"/>
    <w:rsid w:val="00B10D58"/>
    <w:rsid w:val="00B117A9"/>
    <w:rsid w:val="00B11E75"/>
    <w:rsid w:val="00B1210C"/>
    <w:rsid w:val="00B12332"/>
    <w:rsid w:val="00B149A3"/>
    <w:rsid w:val="00B14B16"/>
    <w:rsid w:val="00B15908"/>
    <w:rsid w:val="00B17C0C"/>
    <w:rsid w:val="00B20351"/>
    <w:rsid w:val="00B2101F"/>
    <w:rsid w:val="00B2190D"/>
    <w:rsid w:val="00B224B3"/>
    <w:rsid w:val="00B23AF1"/>
    <w:rsid w:val="00B23B0D"/>
    <w:rsid w:val="00B23E59"/>
    <w:rsid w:val="00B23FBA"/>
    <w:rsid w:val="00B247C1"/>
    <w:rsid w:val="00B24CFF"/>
    <w:rsid w:val="00B25005"/>
    <w:rsid w:val="00B2548C"/>
    <w:rsid w:val="00B26B96"/>
    <w:rsid w:val="00B27335"/>
    <w:rsid w:val="00B27E13"/>
    <w:rsid w:val="00B3156F"/>
    <w:rsid w:val="00B31ABF"/>
    <w:rsid w:val="00B31C0E"/>
    <w:rsid w:val="00B31D8A"/>
    <w:rsid w:val="00B321C1"/>
    <w:rsid w:val="00B32A9A"/>
    <w:rsid w:val="00B334A0"/>
    <w:rsid w:val="00B34AF6"/>
    <w:rsid w:val="00B34E68"/>
    <w:rsid w:val="00B351C1"/>
    <w:rsid w:val="00B37885"/>
    <w:rsid w:val="00B37D10"/>
    <w:rsid w:val="00B400E6"/>
    <w:rsid w:val="00B40F7D"/>
    <w:rsid w:val="00B41FD0"/>
    <w:rsid w:val="00B41FFB"/>
    <w:rsid w:val="00B42860"/>
    <w:rsid w:val="00B42B6E"/>
    <w:rsid w:val="00B4323A"/>
    <w:rsid w:val="00B4509C"/>
    <w:rsid w:val="00B45117"/>
    <w:rsid w:val="00B45B39"/>
    <w:rsid w:val="00B46B9A"/>
    <w:rsid w:val="00B50288"/>
    <w:rsid w:val="00B5090F"/>
    <w:rsid w:val="00B50A70"/>
    <w:rsid w:val="00B50AF6"/>
    <w:rsid w:val="00B5130F"/>
    <w:rsid w:val="00B51906"/>
    <w:rsid w:val="00B52D67"/>
    <w:rsid w:val="00B53AEB"/>
    <w:rsid w:val="00B54701"/>
    <w:rsid w:val="00B54BD6"/>
    <w:rsid w:val="00B54D23"/>
    <w:rsid w:val="00B54F94"/>
    <w:rsid w:val="00B56199"/>
    <w:rsid w:val="00B565AE"/>
    <w:rsid w:val="00B57017"/>
    <w:rsid w:val="00B57155"/>
    <w:rsid w:val="00B57775"/>
    <w:rsid w:val="00B602AA"/>
    <w:rsid w:val="00B603EC"/>
    <w:rsid w:val="00B617C2"/>
    <w:rsid w:val="00B61DC3"/>
    <w:rsid w:val="00B62641"/>
    <w:rsid w:val="00B62EA7"/>
    <w:rsid w:val="00B6306B"/>
    <w:rsid w:val="00B6358A"/>
    <w:rsid w:val="00B65682"/>
    <w:rsid w:val="00B6591E"/>
    <w:rsid w:val="00B65963"/>
    <w:rsid w:val="00B65B51"/>
    <w:rsid w:val="00B65DC6"/>
    <w:rsid w:val="00B65FAD"/>
    <w:rsid w:val="00B66A8C"/>
    <w:rsid w:val="00B67172"/>
    <w:rsid w:val="00B673CC"/>
    <w:rsid w:val="00B67FF9"/>
    <w:rsid w:val="00B7022A"/>
    <w:rsid w:val="00B7103B"/>
    <w:rsid w:val="00B7178E"/>
    <w:rsid w:val="00B72EBB"/>
    <w:rsid w:val="00B7351C"/>
    <w:rsid w:val="00B737FE"/>
    <w:rsid w:val="00B76436"/>
    <w:rsid w:val="00B767AA"/>
    <w:rsid w:val="00B77507"/>
    <w:rsid w:val="00B77747"/>
    <w:rsid w:val="00B7786C"/>
    <w:rsid w:val="00B77D0E"/>
    <w:rsid w:val="00B77EC2"/>
    <w:rsid w:val="00B77F1C"/>
    <w:rsid w:val="00B802F8"/>
    <w:rsid w:val="00B80976"/>
    <w:rsid w:val="00B80A92"/>
    <w:rsid w:val="00B8147E"/>
    <w:rsid w:val="00B815A5"/>
    <w:rsid w:val="00B81DBB"/>
    <w:rsid w:val="00B81DFB"/>
    <w:rsid w:val="00B82734"/>
    <w:rsid w:val="00B82FF9"/>
    <w:rsid w:val="00B83CD5"/>
    <w:rsid w:val="00B83E60"/>
    <w:rsid w:val="00B8451B"/>
    <w:rsid w:val="00B85676"/>
    <w:rsid w:val="00B85896"/>
    <w:rsid w:val="00B859B3"/>
    <w:rsid w:val="00B876AD"/>
    <w:rsid w:val="00B8789B"/>
    <w:rsid w:val="00B90D14"/>
    <w:rsid w:val="00B90EE5"/>
    <w:rsid w:val="00B93693"/>
    <w:rsid w:val="00B942F5"/>
    <w:rsid w:val="00B94CE2"/>
    <w:rsid w:val="00B9744A"/>
    <w:rsid w:val="00B97B49"/>
    <w:rsid w:val="00BA0084"/>
    <w:rsid w:val="00BA0498"/>
    <w:rsid w:val="00BA0B99"/>
    <w:rsid w:val="00BA1BB9"/>
    <w:rsid w:val="00BA2388"/>
    <w:rsid w:val="00BA2847"/>
    <w:rsid w:val="00BA4B75"/>
    <w:rsid w:val="00BA53C3"/>
    <w:rsid w:val="00BA5870"/>
    <w:rsid w:val="00BA60DC"/>
    <w:rsid w:val="00BA67C9"/>
    <w:rsid w:val="00BA6872"/>
    <w:rsid w:val="00BA6D16"/>
    <w:rsid w:val="00BA7DEA"/>
    <w:rsid w:val="00BB1D78"/>
    <w:rsid w:val="00BB29F6"/>
    <w:rsid w:val="00BB30F0"/>
    <w:rsid w:val="00BB37A8"/>
    <w:rsid w:val="00BB3854"/>
    <w:rsid w:val="00BB3A85"/>
    <w:rsid w:val="00BB45EB"/>
    <w:rsid w:val="00BB54E0"/>
    <w:rsid w:val="00BB5EF3"/>
    <w:rsid w:val="00BB607F"/>
    <w:rsid w:val="00BB69A7"/>
    <w:rsid w:val="00BB6B5E"/>
    <w:rsid w:val="00BB708D"/>
    <w:rsid w:val="00BB785B"/>
    <w:rsid w:val="00BB7DD5"/>
    <w:rsid w:val="00BC055E"/>
    <w:rsid w:val="00BC1074"/>
    <w:rsid w:val="00BC29AC"/>
    <w:rsid w:val="00BC438F"/>
    <w:rsid w:val="00BC52F5"/>
    <w:rsid w:val="00BC7279"/>
    <w:rsid w:val="00BC76AF"/>
    <w:rsid w:val="00BC7A6D"/>
    <w:rsid w:val="00BD00C8"/>
    <w:rsid w:val="00BD046B"/>
    <w:rsid w:val="00BD0761"/>
    <w:rsid w:val="00BD0E31"/>
    <w:rsid w:val="00BD0ECE"/>
    <w:rsid w:val="00BD0FD5"/>
    <w:rsid w:val="00BD11CF"/>
    <w:rsid w:val="00BD1C61"/>
    <w:rsid w:val="00BD1D3C"/>
    <w:rsid w:val="00BD1FCA"/>
    <w:rsid w:val="00BD20AF"/>
    <w:rsid w:val="00BD39BE"/>
    <w:rsid w:val="00BD3A35"/>
    <w:rsid w:val="00BD405B"/>
    <w:rsid w:val="00BD48E4"/>
    <w:rsid w:val="00BD646F"/>
    <w:rsid w:val="00BD66B8"/>
    <w:rsid w:val="00BD6C2C"/>
    <w:rsid w:val="00BD703F"/>
    <w:rsid w:val="00BD7793"/>
    <w:rsid w:val="00BD7B7E"/>
    <w:rsid w:val="00BD7D71"/>
    <w:rsid w:val="00BE1EDD"/>
    <w:rsid w:val="00BE2107"/>
    <w:rsid w:val="00BE279E"/>
    <w:rsid w:val="00BE27CA"/>
    <w:rsid w:val="00BE2BD9"/>
    <w:rsid w:val="00BE3005"/>
    <w:rsid w:val="00BE35F3"/>
    <w:rsid w:val="00BE3786"/>
    <w:rsid w:val="00BE4CFA"/>
    <w:rsid w:val="00BE5AD5"/>
    <w:rsid w:val="00BE5E83"/>
    <w:rsid w:val="00BE67A7"/>
    <w:rsid w:val="00BE7DED"/>
    <w:rsid w:val="00BF0BFC"/>
    <w:rsid w:val="00BF0D05"/>
    <w:rsid w:val="00BF176F"/>
    <w:rsid w:val="00BF37AE"/>
    <w:rsid w:val="00BF382B"/>
    <w:rsid w:val="00BF401C"/>
    <w:rsid w:val="00BF5118"/>
    <w:rsid w:val="00BF5179"/>
    <w:rsid w:val="00BF5228"/>
    <w:rsid w:val="00BF59DF"/>
    <w:rsid w:val="00BF5EE4"/>
    <w:rsid w:val="00C004CC"/>
    <w:rsid w:val="00C0257D"/>
    <w:rsid w:val="00C025DC"/>
    <w:rsid w:val="00C037AF"/>
    <w:rsid w:val="00C03D6D"/>
    <w:rsid w:val="00C06276"/>
    <w:rsid w:val="00C06B9E"/>
    <w:rsid w:val="00C07D29"/>
    <w:rsid w:val="00C108BC"/>
    <w:rsid w:val="00C11475"/>
    <w:rsid w:val="00C116D9"/>
    <w:rsid w:val="00C118F1"/>
    <w:rsid w:val="00C11984"/>
    <w:rsid w:val="00C124EC"/>
    <w:rsid w:val="00C128FE"/>
    <w:rsid w:val="00C12EDE"/>
    <w:rsid w:val="00C14DE8"/>
    <w:rsid w:val="00C1508E"/>
    <w:rsid w:val="00C15AD1"/>
    <w:rsid w:val="00C166EB"/>
    <w:rsid w:val="00C169A2"/>
    <w:rsid w:val="00C17209"/>
    <w:rsid w:val="00C17941"/>
    <w:rsid w:val="00C17E72"/>
    <w:rsid w:val="00C20F83"/>
    <w:rsid w:val="00C2211B"/>
    <w:rsid w:val="00C227CE"/>
    <w:rsid w:val="00C2433F"/>
    <w:rsid w:val="00C24973"/>
    <w:rsid w:val="00C25891"/>
    <w:rsid w:val="00C2590B"/>
    <w:rsid w:val="00C25AE9"/>
    <w:rsid w:val="00C265CF"/>
    <w:rsid w:val="00C311DF"/>
    <w:rsid w:val="00C31952"/>
    <w:rsid w:val="00C31FE6"/>
    <w:rsid w:val="00C32131"/>
    <w:rsid w:val="00C32673"/>
    <w:rsid w:val="00C32C6B"/>
    <w:rsid w:val="00C32D87"/>
    <w:rsid w:val="00C330AE"/>
    <w:rsid w:val="00C3390D"/>
    <w:rsid w:val="00C34596"/>
    <w:rsid w:val="00C3524E"/>
    <w:rsid w:val="00C35268"/>
    <w:rsid w:val="00C355B1"/>
    <w:rsid w:val="00C359EE"/>
    <w:rsid w:val="00C35D11"/>
    <w:rsid w:val="00C36899"/>
    <w:rsid w:val="00C36E6C"/>
    <w:rsid w:val="00C3745C"/>
    <w:rsid w:val="00C376A9"/>
    <w:rsid w:val="00C37CC4"/>
    <w:rsid w:val="00C401DA"/>
    <w:rsid w:val="00C411DB"/>
    <w:rsid w:val="00C4148D"/>
    <w:rsid w:val="00C41B36"/>
    <w:rsid w:val="00C42DE6"/>
    <w:rsid w:val="00C42FBE"/>
    <w:rsid w:val="00C43123"/>
    <w:rsid w:val="00C43785"/>
    <w:rsid w:val="00C43A43"/>
    <w:rsid w:val="00C44DAD"/>
    <w:rsid w:val="00C44E18"/>
    <w:rsid w:val="00C44E78"/>
    <w:rsid w:val="00C46F57"/>
    <w:rsid w:val="00C474FD"/>
    <w:rsid w:val="00C50364"/>
    <w:rsid w:val="00C504F3"/>
    <w:rsid w:val="00C511F7"/>
    <w:rsid w:val="00C51637"/>
    <w:rsid w:val="00C51968"/>
    <w:rsid w:val="00C52233"/>
    <w:rsid w:val="00C52A3B"/>
    <w:rsid w:val="00C52BA3"/>
    <w:rsid w:val="00C52D81"/>
    <w:rsid w:val="00C5336F"/>
    <w:rsid w:val="00C53D03"/>
    <w:rsid w:val="00C53D0A"/>
    <w:rsid w:val="00C53FC4"/>
    <w:rsid w:val="00C5423A"/>
    <w:rsid w:val="00C544D3"/>
    <w:rsid w:val="00C546FD"/>
    <w:rsid w:val="00C548A2"/>
    <w:rsid w:val="00C554A2"/>
    <w:rsid w:val="00C56088"/>
    <w:rsid w:val="00C5679C"/>
    <w:rsid w:val="00C56F6A"/>
    <w:rsid w:val="00C57208"/>
    <w:rsid w:val="00C572BF"/>
    <w:rsid w:val="00C57831"/>
    <w:rsid w:val="00C603E8"/>
    <w:rsid w:val="00C60948"/>
    <w:rsid w:val="00C60E0F"/>
    <w:rsid w:val="00C6103E"/>
    <w:rsid w:val="00C610A5"/>
    <w:rsid w:val="00C61BC7"/>
    <w:rsid w:val="00C6215F"/>
    <w:rsid w:val="00C622B0"/>
    <w:rsid w:val="00C628C6"/>
    <w:rsid w:val="00C62C59"/>
    <w:rsid w:val="00C63EB5"/>
    <w:rsid w:val="00C64890"/>
    <w:rsid w:val="00C649B9"/>
    <w:rsid w:val="00C659C4"/>
    <w:rsid w:val="00C65E74"/>
    <w:rsid w:val="00C6715A"/>
    <w:rsid w:val="00C67C57"/>
    <w:rsid w:val="00C67E20"/>
    <w:rsid w:val="00C702A9"/>
    <w:rsid w:val="00C71DE3"/>
    <w:rsid w:val="00C71DE5"/>
    <w:rsid w:val="00C72054"/>
    <w:rsid w:val="00C72083"/>
    <w:rsid w:val="00C72990"/>
    <w:rsid w:val="00C729AB"/>
    <w:rsid w:val="00C72FE9"/>
    <w:rsid w:val="00C741C3"/>
    <w:rsid w:val="00C742BE"/>
    <w:rsid w:val="00C74F21"/>
    <w:rsid w:val="00C75121"/>
    <w:rsid w:val="00C7593F"/>
    <w:rsid w:val="00C76B04"/>
    <w:rsid w:val="00C76E52"/>
    <w:rsid w:val="00C80869"/>
    <w:rsid w:val="00C80C05"/>
    <w:rsid w:val="00C815CB"/>
    <w:rsid w:val="00C826F3"/>
    <w:rsid w:val="00C829AE"/>
    <w:rsid w:val="00C836BF"/>
    <w:rsid w:val="00C84490"/>
    <w:rsid w:val="00C8466C"/>
    <w:rsid w:val="00C84E84"/>
    <w:rsid w:val="00C85191"/>
    <w:rsid w:val="00C86224"/>
    <w:rsid w:val="00C86E8A"/>
    <w:rsid w:val="00C870DD"/>
    <w:rsid w:val="00C878B0"/>
    <w:rsid w:val="00C92BE0"/>
    <w:rsid w:val="00C93561"/>
    <w:rsid w:val="00C944FB"/>
    <w:rsid w:val="00C94785"/>
    <w:rsid w:val="00C96D1E"/>
    <w:rsid w:val="00CA1CFF"/>
    <w:rsid w:val="00CA3F3C"/>
    <w:rsid w:val="00CA49E6"/>
    <w:rsid w:val="00CA4A57"/>
    <w:rsid w:val="00CA4ADF"/>
    <w:rsid w:val="00CA4B5A"/>
    <w:rsid w:val="00CA4C1B"/>
    <w:rsid w:val="00CA5C20"/>
    <w:rsid w:val="00CA70A1"/>
    <w:rsid w:val="00CA798A"/>
    <w:rsid w:val="00CB1500"/>
    <w:rsid w:val="00CB1783"/>
    <w:rsid w:val="00CB2374"/>
    <w:rsid w:val="00CB2888"/>
    <w:rsid w:val="00CB3A14"/>
    <w:rsid w:val="00CB3A35"/>
    <w:rsid w:val="00CB4EC9"/>
    <w:rsid w:val="00CB5459"/>
    <w:rsid w:val="00CB58C7"/>
    <w:rsid w:val="00CB6D41"/>
    <w:rsid w:val="00CB7D56"/>
    <w:rsid w:val="00CC0155"/>
    <w:rsid w:val="00CC0269"/>
    <w:rsid w:val="00CC084C"/>
    <w:rsid w:val="00CC1475"/>
    <w:rsid w:val="00CC19F4"/>
    <w:rsid w:val="00CC1B4D"/>
    <w:rsid w:val="00CC2198"/>
    <w:rsid w:val="00CC2890"/>
    <w:rsid w:val="00CC2C14"/>
    <w:rsid w:val="00CC3253"/>
    <w:rsid w:val="00CC3AA3"/>
    <w:rsid w:val="00CC4422"/>
    <w:rsid w:val="00CC4B07"/>
    <w:rsid w:val="00CC5634"/>
    <w:rsid w:val="00CC5F62"/>
    <w:rsid w:val="00CC6169"/>
    <w:rsid w:val="00CC767D"/>
    <w:rsid w:val="00CC7922"/>
    <w:rsid w:val="00CD0A0F"/>
    <w:rsid w:val="00CD0B22"/>
    <w:rsid w:val="00CD1995"/>
    <w:rsid w:val="00CD1CDA"/>
    <w:rsid w:val="00CD1F17"/>
    <w:rsid w:val="00CD2411"/>
    <w:rsid w:val="00CD24D5"/>
    <w:rsid w:val="00CD2AE1"/>
    <w:rsid w:val="00CD2CCD"/>
    <w:rsid w:val="00CD344D"/>
    <w:rsid w:val="00CD42AF"/>
    <w:rsid w:val="00CD4BB5"/>
    <w:rsid w:val="00CD5F9D"/>
    <w:rsid w:val="00CD6DC1"/>
    <w:rsid w:val="00CD75B8"/>
    <w:rsid w:val="00CE056C"/>
    <w:rsid w:val="00CE193D"/>
    <w:rsid w:val="00CE1A20"/>
    <w:rsid w:val="00CE252A"/>
    <w:rsid w:val="00CE2911"/>
    <w:rsid w:val="00CE2A8B"/>
    <w:rsid w:val="00CE2B88"/>
    <w:rsid w:val="00CE46F1"/>
    <w:rsid w:val="00CE49AD"/>
    <w:rsid w:val="00CE5163"/>
    <w:rsid w:val="00CE538B"/>
    <w:rsid w:val="00CE5824"/>
    <w:rsid w:val="00CE5CD8"/>
    <w:rsid w:val="00CE5F5D"/>
    <w:rsid w:val="00CE65F9"/>
    <w:rsid w:val="00CE6D9D"/>
    <w:rsid w:val="00CE6DAD"/>
    <w:rsid w:val="00CE700D"/>
    <w:rsid w:val="00CE7199"/>
    <w:rsid w:val="00CE7238"/>
    <w:rsid w:val="00CF0715"/>
    <w:rsid w:val="00CF1B21"/>
    <w:rsid w:val="00CF2906"/>
    <w:rsid w:val="00CF297D"/>
    <w:rsid w:val="00CF2C96"/>
    <w:rsid w:val="00CF30A7"/>
    <w:rsid w:val="00CF37F1"/>
    <w:rsid w:val="00CF57F4"/>
    <w:rsid w:val="00CF584F"/>
    <w:rsid w:val="00CF586B"/>
    <w:rsid w:val="00CF6438"/>
    <w:rsid w:val="00CF7284"/>
    <w:rsid w:val="00CF7E22"/>
    <w:rsid w:val="00D000B9"/>
    <w:rsid w:val="00D006BC"/>
    <w:rsid w:val="00D01699"/>
    <w:rsid w:val="00D0176D"/>
    <w:rsid w:val="00D032AF"/>
    <w:rsid w:val="00D03CEC"/>
    <w:rsid w:val="00D03D21"/>
    <w:rsid w:val="00D04839"/>
    <w:rsid w:val="00D053A2"/>
    <w:rsid w:val="00D057B9"/>
    <w:rsid w:val="00D0596C"/>
    <w:rsid w:val="00D05DB4"/>
    <w:rsid w:val="00D06390"/>
    <w:rsid w:val="00D0671C"/>
    <w:rsid w:val="00D070AB"/>
    <w:rsid w:val="00D072AE"/>
    <w:rsid w:val="00D0744A"/>
    <w:rsid w:val="00D074CB"/>
    <w:rsid w:val="00D0751D"/>
    <w:rsid w:val="00D076E8"/>
    <w:rsid w:val="00D077BF"/>
    <w:rsid w:val="00D07E54"/>
    <w:rsid w:val="00D100A1"/>
    <w:rsid w:val="00D1084D"/>
    <w:rsid w:val="00D12BAF"/>
    <w:rsid w:val="00D12CC7"/>
    <w:rsid w:val="00D12DFC"/>
    <w:rsid w:val="00D13CBB"/>
    <w:rsid w:val="00D15F68"/>
    <w:rsid w:val="00D1736A"/>
    <w:rsid w:val="00D175CD"/>
    <w:rsid w:val="00D20E87"/>
    <w:rsid w:val="00D21A1B"/>
    <w:rsid w:val="00D22267"/>
    <w:rsid w:val="00D22700"/>
    <w:rsid w:val="00D22898"/>
    <w:rsid w:val="00D22B2A"/>
    <w:rsid w:val="00D230B6"/>
    <w:rsid w:val="00D233C3"/>
    <w:rsid w:val="00D23423"/>
    <w:rsid w:val="00D23CB8"/>
    <w:rsid w:val="00D2428E"/>
    <w:rsid w:val="00D24B1C"/>
    <w:rsid w:val="00D25268"/>
    <w:rsid w:val="00D255E2"/>
    <w:rsid w:val="00D26596"/>
    <w:rsid w:val="00D26B94"/>
    <w:rsid w:val="00D27332"/>
    <w:rsid w:val="00D276D2"/>
    <w:rsid w:val="00D277AE"/>
    <w:rsid w:val="00D30C1B"/>
    <w:rsid w:val="00D30E9D"/>
    <w:rsid w:val="00D3117F"/>
    <w:rsid w:val="00D32D37"/>
    <w:rsid w:val="00D33D33"/>
    <w:rsid w:val="00D33E31"/>
    <w:rsid w:val="00D33F2A"/>
    <w:rsid w:val="00D34CAE"/>
    <w:rsid w:val="00D3576D"/>
    <w:rsid w:val="00D35791"/>
    <w:rsid w:val="00D36DA9"/>
    <w:rsid w:val="00D37595"/>
    <w:rsid w:val="00D4078F"/>
    <w:rsid w:val="00D42E57"/>
    <w:rsid w:val="00D4387F"/>
    <w:rsid w:val="00D43D17"/>
    <w:rsid w:val="00D44386"/>
    <w:rsid w:val="00D4478D"/>
    <w:rsid w:val="00D44C83"/>
    <w:rsid w:val="00D4528C"/>
    <w:rsid w:val="00D45C89"/>
    <w:rsid w:val="00D5014B"/>
    <w:rsid w:val="00D51281"/>
    <w:rsid w:val="00D51B6F"/>
    <w:rsid w:val="00D51D77"/>
    <w:rsid w:val="00D5291B"/>
    <w:rsid w:val="00D52EAD"/>
    <w:rsid w:val="00D537D5"/>
    <w:rsid w:val="00D53A12"/>
    <w:rsid w:val="00D53C64"/>
    <w:rsid w:val="00D54E35"/>
    <w:rsid w:val="00D54FEB"/>
    <w:rsid w:val="00D55D7C"/>
    <w:rsid w:val="00D60288"/>
    <w:rsid w:val="00D607CA"/>
    <w:rsid w:val="00D60AB8"/>
    <w:rsid w:val="00D612E4"/>
    <w:rsid w:val="00D61C1D"/>
    <w:rsid w:val="00D61CB2"/>
    <w:rsid w:val="00D62A67"/>
    <w:rsid w:val="00D6389C"/>
    <w:rsid w:val="00D63BB1"/>
    <w:rsid w:val="00D67D8C"/>
    <w:rsid w:val="00D67F7B"/>
    <w:rsid w:val="00D71DF3"/>
    <w:rsid w:val="00D71FE9"/>
    <w:rsid w:val="00D725C0"/>
    <w:rsid w:val="00D72A5F"/>
    <w:rsid w:val="00D72E1A"/>
    <w:rsid w:val="00D7345F"/>
    <w:rsid w:val="00D73572"/>
    <w:rsid w:val="00D75C27"/>
    <w:rsid w:val="00D770C2"/>
    <w:rsid w:val="00D77D54"/>
    <w:rsid w:val="00D805F0"/>
    <w:rsid w:val="00D80ABD"/>
    <w:rsid w:val="00D80E3D"/>
    <w:rsid w:val="00D81A38"/>
    <w:rsid w:val="00D83EC2"/>
    <w:rsid w:val="00D83F8C"/>
    <w:rsid w:val="00D848BC"/>
    <w:rsid w:val="00D84D5B"/>
    <w:rsid w:val="00D84E34"/>
    <w:rsid w:val="00D85232"/>
    <w:rsid w:val="00D8714D"/>
    <w:rsid w:val="00D87689"/>
    <w:rsid w:val="00D909EC"/>
    <w:rsid w:val="00D92746"/>
    <w:rsid w:val="00D92B92"/>
    <w:rsid w:val="00D92BE7"/>
    <w:rsid w:val="00D9367D"/>
    <w:rsid w:val="00D943E8"/>
    <w:rsid w:val="00D94719"/>
    <w:rsid w:val="00D94F47"/>
    <w:rsid w:val="00D954FC"/>
    <w:rsid w:val="00D95B1E"/>
    <w:rsid w:val="00D96394"/>
    <w:rsid w:val="00D96462"/>
    <w:rsid w:val="00D96747"/>
    <w:rsid w:val="00D96ACA"/>
    <w:rsid w:val="00D96D08"/>
    <w:rsid w:val="00DA100A"/>
    <w:rsid w:val="00DA182E"/>
    <w:rsid w:val="00DA21F6"/>
    <w:rsid w:val="00DA2A91"/>
    <w:rsid w:val="00DA2CB6"/>
    <w:rsid w:val="00DA310C"/>
    <w:rsid w:val="00DA3BA1"/>
    <w:rsid w:val="00DA4575"/>
    <w:rsid w:val="00DA68ED"/>
    <w:rsid w:val="00DA6C40"/>
    <w:rsid w:val="00DA7089"/>
    <w:rsid w:val="00DA7102"/>
    <w:rsid w:val="00DB1F2B"/>
    <w:rsid w:val="00DB47F2"/>
    <w:rsid w:val="00DB48EC"/>
    <w:rsid w:val="00DB4913"/>
    <w:rsid w:val="00DB5CDD"/>
    <w:rsid w:val="00DB64F3"/>
    <w:rsid w:val="00DB745B"/>
    <w:rsid w:val="00DB7F40"/>
    <w:rsid w:val="00DC19AF"/>
    <w:rsid w:val="00DC1BCD"/>
    <w:rsid w:val="00DC39EE"/>
    <w:rsid w:val="00DC3EDB"/>
    <w:rsid w:val="00DC55D6"/>
    <w:rsid w:val="00DC5E19"/>
    <w:rsid w:val="00DC6EDE"/>
    <w:rsid w:val="00DD05FF"/>
    <w:rsid w:val="00DD0810"/>
    <w:rsid w:val="00DD092D"/>
    <w:rsid w:val="00DD0A14"/>
    <w:rsid w:val="00DD0AC3"/>
    <w:rsid w:val="00DD1214"/>
    <w:rsid w:val="00DD2218"/>
    <w:rsid w:val="00DD22A4"/>
    <w:rsid w:val="00DD25A2"/>
    <w:rsid w:val="00DD2CE7"/>
    <w:rsid w:val="00DD38DB"/>
    <w:rsid w:val="00DD3C0D"/>
    <w:rsid w:val="00DD3FD5"/>
    <w:rsid w:val="00DD5A96"/>
    <w:rsid w:val="00DD60E3"/>
    <w:rsid w:val="00DD6317"/>
    <w:rsid w:val="00DD7096"/>
    <w:rsid w:val="00DD793E"/>
    <w:rsid w:val="00DE12D7"/>
    <w:rsid w:val="00DE16A5"/>
    <w:rsid w:val="00DE2481"/>
    <w:rsid w:val="00DE2868"/>
    <w:rsid w:val="00DE3ABB"/>
    <w:rsid w:val="00DE4258"/>
    <w:rsid w:val="00DE445A"/>
    <w:rsid w:val="00DE4C18"/>
    <w:rsid w:val="00DE5480"/>
    <w:rsid w:val="00DE5AB4"/>
    <w:rsid w:val="00DE6092"/>
    <w:rsid w:val="00DE60BA"/>
    <w:rsid w:val="00DE75D3"/>
    <w:rsid w:val="00DE7D99"/>
    <w:rsid w:val="00DF0CA9"/>
    <w:rsid w:val="00DF1064"/>
    <w:rsid w:val="00DF1A74"/>
    <w:rsid w:val="00DF1F02"/>
    <w:rsid w:val="00DF2012"/>
    <w:rsid w:val="00DF2524"/>
    <w:rsid w:val="00DF2A73"/>
    <w:rsid w:val="00DF38B2"/>
    <w:rsid w:val="00DF38FF"/>
    <w:rsid w:val="00DF4DD9"/>
    <w:rsid w:val="00DF5CED"/>
    <w:rsid w:val="00DF637B"/>
    <w:rsid w:val="00DF6CC3"/>
    <w:rsid w:val="00DF72B5"/>
    <w:rsid w:val="00DF7959"/>
    <w:rsid w:val="00E0057A"/>
    <w:rsid w:val="00E008C0"/>
    <w:rsid w:val="00E00D3D"/>
    <w:rsid w:val="00E011BD"/>
    <w:rsid w:val="00E02B27"/>
    <w:rsid w:val="00E03219"/>
    <w:rsid w:val="00E04C95"/>
    <w:rsid w:val="00E04E9B"/>
    <w:rsid w:val="00E04EB0"/>
    <w:rsid w:val="00E059A9"/>
    <w:rsid w:val="00E073A2"/>
    <w:rsid w:val="00E0741E"/>
    <w:rsid w:val="00E1183E"/>
    <w:rsid w:val="00E11EEE"/>
    <w:rsid w:val="00E124D7"/>
    <w:rsid w:val="00E1270A"/>
    <w:rsid w:val="00E12BEC"/>
    <w:rsid w:val="00E14554"/>
    <w:rsid w:val="00E15BED"/>
    <w:rsid w:val="00E162FF"/>
    <w:rsid w:val="00E16878"/>
    <w:rsid w:val="00E169A8"/>
    <w:rsid w:val="00E22834"/>
    <w:rsid w:val="00E22AF5"/>
    <w:rsid w:val="00E240EB"/>
    <w:rsid w:val="00E2478D"/>
    <w:rsid w:val="00E24AAB"/>
    <w:rsid w:val="00E24D62"/>
    <w:rsid w:val="00E253EF"/>
    <w:rsid w:val="00E25E4F"/>
    <w:rsid w:val="00E26CE9"/>
    <w:rsid w:val="00E26FD5"/>
    <w:rsid w:val="00E27755"/>
    <w:rsid w:val="00E27987"/>
    <w:rsid w:val="00E3063A"/>
    <w:rsid w:val="00E3085F"/>
    <w:rsid w:val="00E31F9B"/>
    <w:rsid w:val="00E32BD7"/>
    <w:rsid w:val="00E34548"/>
    <w:rsid w:val="00E34976"/>
    <w:rsid w:val="00E3522D"/>
    <w:rsid w:val="00E363A0"/>
    <w:rsid w:val="00E368A8"/>
    <w:rsid w:val="00E37729"/>
    <w:rsid w:val="00E40072"/>
    <w:rsid w:val="00E4173B"/>
    <w:rsid w:val="00E42771"/>
    <w:rsid w:val="00E4556E"/>
    <w:rsid w:val="00E456FA"/>
    <w:rsid w:val="00E462A3"/>
    <w:rsid w:val="00E5059B"/>
    <w:rsid w:val="00E505E9"/>
    <w:rsid w:val="00E50F98"/>
    <w:rsid w:val="00E516B2"/>
    <w:rsid w:val="00E52139"/>
    <w:rsid w:val="00E52205"/>
    <w:rsid w:val="00E52557"/>
    <w:rsid w:val="00E545FE"/>
    <w:rsid w:val="00E551A8"/>
    <w:rsid w:val="00E55FCC"/>
    <w:rsid w:val="00E56300"/>
    <w:rsid w:val="00E56798"/>
    <w:rsid w:val="00E57BED"/>
    <w:rsid w:val="00E57DAD"/>
    <w:rsid w:val="00E601DD"/>
    <w:rsid w:val="00E62F87"/>
    <w:rsid w:val="00E640A5"/>
    <w:rsid w:val="00E6414F"/>
    <w:rsid w:val="00E65547"/>
    <w:rsid w:val="00E67ACA"/>
    <w:rsid w:val="00E67FC6"/>
    <w:rsid w:val="00E70243"/>
    <w:rsid w:val="00E71765"/>
    <w:rsid w:val="00E71C88"/>
    <w:rsid w:val="00E71DAA"/>
    <w:rsid w:val="00E735A4"/>
    <w:rsid w:val="00E737D8"/>
    <w:rsid w:val="00E7395A"/>
    <w:rsid w:val="00E73A04"/>
    <w:rsid w:val="00E73D09"/>
    <w:rsid w:val="00E74887"/>
    <w:rsid w:val="00E74AA8"/>
    <w:rsid w:val="00E75866"/>
    <w:rsid w:val="00E758FF"/>
    <w:rsid w:val="00E75B0B"/>
    <w:rsid w:val="00E75C7B"/>
    <w:rsid w:val="00E76416"/>
    <w:rsid w:val="00E80192"/>
    <w:rsid w:val="00E80530"/>
    <w:rsid w:val="00E81672"/>
    <w:rsid w:val="00E81678"/>
    <w:rsid w:val="00E816D9"/>
    <w:rsid w:val="00E819ED"/>
    <w:rsid w:val="00E83095"/>
    <w:rsid w:val="00E839E8"/>
    <w:rsid w:val="00E849E3"/>
    <w:rsid w:val="00E84B46"/>
    <w:rsid w:val="00E8569F"/>
    <w:rsid w:val="00E85E0E"/>
    <w:rsid w:val="00E85FA2"/>
    <w:rsid w:val="00E861AE"/>
    <w:rsid w:val="00E87A6C"/>
    <w:rsid w:val="00E87B79"/>
    <w:rsid w:val="00E9075D"/>
    <w:rsid w:val="00E91163"/>
    <w:rsid w:val="00E915F2"/>
    <w:rsid w:val="00E92444"/>
    <w:rsid w:val="00E92882"/>
    <w:rsid w:val="00E93B11"/>
    <w:rsid w:val="00E93B21"/>
    <w:rsid w:val="00E93C2E"/>
    <w:rsid w:val="00E93EBD"/>
    <w:rsid w:val="00E952E8"/>
    <w:rsid w:val="00E95458"/>
    <w:rsid w:val="00E95540"/>
    <w:rsid w:val="00E95D50"/>
    <w:rsid w:val="00E963B8"/>
    <w:rsid w:val="00E96431"/>
    <w:rsid w:val="00E966B7"/>
    <w:rsid w:val="00E96939"/>
    <w:rsid w:val="00EA1186"/>
    <w:rsid w:val="00EA118D"/>
    <w:rsid w:val="00EA1417"/>
    <w:rsid w:val="00EA2180"/>
    <w:rsid w:val="00EA45FB"/>
    <w:rsid w:val="00EA4E3E"/>
    <w:rsid w:val="00EA5878"/>
    <w:rsid w:val="00EA58A9"/>
    <w:rsid w:val="00EA599F"/>
    <w:rsid w:val="00EA6A4E"/>
    <w:rsid w:val="00EA719A"/>
    <w:rsid w:val="00EA735A"/>
    <w:rsid w:val="00EB05E7"/>
    <w:rsid w:val="00EB08F2"/>
    <w:rsid w:val="00EB0B8E"/>
    <w:rsid w:val="00EB1943"/>
    <w:rsid w:val="00EB1C74"/>
    <w:rsid w:val="00EB1F4D"/>
    <w:rsid w:val="00EB2820"/>
    <w:rsid w:val="00EB38EC"/>
    <w:rsid w:val="00EB3EF4"/>
    <w:rsid w:val="00EB4183"/>
    <w:rsid w:val="00EB4357"/>
    <w:rsid w:val="00EB4BDD"/>
    <w:rsid w:val="00EB675B"/>
    <w:rsid w:val="00EB68E3"/>
    <w:rsid w:val="00EB6F59"/>
    <w:rsid w:val="00EB7255"/>
    <w:rsid w:val="00EB75A2"/>
    <w:rsid w:val="00EB789B"/>
    <w:rsid w:val="00EB7BCE"/>
    <w:rsid w:val="00EB7C32"/>
    <w:rsid w:val="00EC0A00"/>
    <w:rsid w:val="00EC0E5C"/>
    <w:rsid w:val="00EC106D"/>
    <w:rsid w:val="00EC16AF"/>
    <w:rsid w:val="00EC1C3B"/>
    <w:rsid w:val="00EC1DAB"/>
    <w:rsid w:val="00EC4044"/>
    <w:rsid w:val="00EC4926"/>
    <w:rsid w:val="00EC58D5"/>
    <w:rsid w:val="00EC61D9"/>
    <w:rsid w:val="00EC660C"/>
    <w:rsid w:val="00ED0659"/>
    <w:rsid w:val="00ED0B9D"/>
    <w:rsid w:val="00ED2E1A"/>
    <w:rsid w:val="00ED339D"/>
    <w:rsid w:val="00ED3795"/>
    <w:rsid w:val="00ED3D7A"/>
    <w:rsid w:val="00ED45BE"/>
    <w:rsid w:val="00ED4DE9"/>
    <w:rsid w:val="00ED53C7"/>
    <w:rsid w:val="00ED544B"/>
    <w:rsid w:val="00ED584B"/>
    <w:rsid w:val="00ED5EB4"/>
    <w:rsid w:val="00ED6272"/>
    <w:rsid w:val="00EE10AF"/>
    <w:rsid w:val="00EE18A9"/>
    <w:rsid w:val="00EE1A20"/>
    <w:rsid w:val="00EE1EA4"/>
    <w:rsid w:val="00EE21BD"/>
    <w:rsid w:val="00EE22B8"/>
    <w:rsid w:val="00EE3158"/>
    <w:rsid w:val="00EE34B8"/>
    <w:rsid w:val="00EE4E88"/>
    <w:rsid w:val="00EE50C7"/>
    <w:rsid w:val="00EE77AC"/>
    <w:rsid w:val="00EE7953"/>
    <w:rsid w:val="00EF066F"/>
    <w:rsid w:val="00EF079A"/>
    <w:rsid w:val="00EF0872"/>
    <w:rsid w:val="00EF0E33"/>
    <w:rsid w:val="00EF126B"/>
    <w:rsid w:val="00EF20EB"/>
    <w:rsid w:val="00EF248C"/>
    <w:rsid w:val="00EF24FD"/>
    <w:rsid w:val="00EF25CA"/>
    <w:rsid w:val="00EF2E8A"/>
    <w:rsid w:val="00EF4869"/>
    <w:rsid w:val="00EF53D9"/>
    <w:rsid w:val="00EF5513"/>
    <w:rsid w:val="00EF5796"/>
    <w:rsid w:val="00EF599B"/>
    <w:rsid w:val="00EF59DC"/>
    <w:rsid w:val="00EF6C7F"/>
    <w:rsid w:val="00EF6FD3"/>
    <w:rsid w:val="00EF7290"/>
    <w:rsid w:val="00EF7358"/>
    <w:rsid w:val="00EF7712"/>
    <w:rsid w:val="00F0194C"/>
    <w:rsid w:val="00F01B33"/>
    <w:rsid w:val="00F01C31"/>
    <w:rsid w:val="00F02A17"/>
    <w:rsid w:val="00F03400"/>
    <w:rsid w:val="00F04B89"/>
    <w:rsid w:val="00F05983"/>
    <w:rsid w:val="00F069A0"/>
    <w:rsid w:val="00F06FDE"/>
    <w:rsid w:val="00F07612"/>
    <w:rsid w:val="00F11248"/>
    <w:rsid w:val="00F11991"/>
    <w:rsid w:val="00F13000"/>
    <w:rsid w:val="00F13C01"/>
    <w:rsid w:val="00F13D0D"/>
    <w:rsid w:val="00F14AFA"/>
    <w:rsid w:val="00F16213"/>
    <w:rsid w:val="00F175A8"/>
    <w:rsid w:val="00F176E5"/>
    <w:rsid w:val="00F20494"/>
    <w:rsid w:val="00F20B5A"/>
    <w:rsid w:val="00F21BA1"/>
    <w:rsid w:val="00F22BCD"/>
    <w:rsid w:val="00F22E66"/>
    <w:rsid w:val="00F2323C"/>
    <w:rsid w:val="00F23533"/>
    <w:rsid w:val="00F239EE"/>
    <w:rsid w:val="00F23F1D"/>
    <w:rsid w:val="00F2471A"/>
    <w:rsid w:val="00F26A7E"/>
    <w:rsid w:val="00F27C1B"/>
    <w:rsid w:val="00F27E69"/>
    <w:rsid w:val="00F316C0"/>
    <w:rsid w:val="00F321F5"/>
    <w:rsid w:val="00F3235F"/>
    <w:rsid w:val="00F32B29"/>
    <w:rsid w:val="00F332C9"/>
    <w:rsid w:val="00F3368A"/>
    <w:rsid w:val="00F33857"/>
    <w:rsid w:val="00F34258"/>
    <w:rsid w:val="00F34E3C"/>
    <w:rsid w:val="00F354C8"/>
    <w:rsid w:val="00F35663"/>
    <w:rsid w:val="00F35977"/>
    <w:rsid w:val="00F359DD"/>
    <w:rsid w:val="00F35FED"/>
    <w:rsid w:val="00F3602C"/>
    <w:rsid w:val="00F36A7B"/>
    <w:rsid w:val="00F37040"/>
    <w:rsid w:val="00F378E8"/>
    <w:rsid w:val="00F37EA2"/>
    <w:rsid w:val="00F403AF"/>
    <w:rsid w:val="00F40975"/>
    <w:rsid w:val="00F421FB"/>
    <w:rsid w:val="00F440EA"/>
    <w:rsid w:val="00F45263"/>
    <w:rsid w:val="00F454C2"/>
    <w:rsid w:val="00F4570A"/>
    <w:rsid w:val="00F4729F"/>
    <w:rsid w:val="00F479A9"/>
    <w:rsid w:val="00F5096D"/>
    <w:rsid w:val="00F518B3"/>
    <w:rsid w:val="00F52948"/>
    <w:rsid w:val="00F52BC9"/>
    <w:rsid w:val="00F52E3B"/>
    <w:rsid w:val="00F52FEE"/>
    <w:rsid w:val="00F536D3"/>
    <w:rsid w:val="00F54561"/>
    <w:rsid w:val="00F54BD4"/>
    <w:rsid w:val="00F5522D"/>
    <w:rsid w:val="00F55CBB"/>
    <w:rsid w:val="00F56F47"/>
    <w:rsid w:val="00F5794D"/>
    <w:rsid w:val="00F60044"/>
    <w:rsid w:val="00F608BE"/>
    <w:rsid w:val="00F61D4E"/>
    <w:rsid w:val="00F6297A"/>
    <w:rsid w:val="00F62C77"/>
    <w:rsid w:val="00F635C3"/>
    <w:rsid w:val="00F63F79"/>
    <w:rsid w:val="00F657EF"/>
    <w:rsid w:val="00F6671C"/>
    <w:rsid w:val="00F667BB"/>
    <w:rsid w:val="00F67DBB"/>
    <w:rsid w:val="00F70201"/>
    <w:rsid w:val="00F7040C"/>
    <w:rsid w:val="00F716A4"/>
    <w:rsid w:val="00F73AC7"/>
    <w:rsid w:val="00F74AB5"/>
    <w:rsid w:val="00F760F0"/>
    <w:rsid w:val="00F77214"/>
    <w:rsid w:val="00F7755A"/>
    <w:rsid w:val="00F776C8"/>
    <w:rsid w:val="00F81485"/>
    <w:rsid w:val="00F81B41"/>
    <w:rsid w:val="00F842FB"/>
    <w:rsid w:val="00F85DE5"/>
    <w:rsid w:val="00F86212"/>
    <w:rsid w:val="00F863FA"/>
    <w:rsid w:val="00F87B20"/>
    <w:rsid w:val="00F87B83"/>
    <w:rsid w:val="00F91223"/>
    <w:rsid w:val="00F92161"/>
    <w:rsid w:val="00F923F2"/>
    <w:rsid w:val="00F92F8E"/>
    <w:rsid w:val="00F941B4"/>
    <w:rsid w:val="00F958A6"/>
    <w:rsid w:val="00F959E0"/>
    <w:rsid w:val="00F95C1B"/>
    <w:rsid w:val="00F963D9"/>
    <w:rsid w:val="00F96CF3"/>
    <w:rsid w:val="00F9786A"/>
    <w:rsid w:val="00F97FF6"/>
    <w:rsid w:val="00FA169E"/>
    <w:rsid w:val="00FA1D00"/>
    <w:rsid w:val="00FA2A64"/>
    <w:rsid w:val="00FA3454"/>
    <w:rsid w:val="00FA3AFE"/>
    <w:rsid w:val="00FA3BA8"/>
    <w:rsid w:val="00FA4EDE"/>
    <w:rsid w:val="00FA51C3"/>
    <w:rsid w:val="00FA612E"/>
    <w:rsid w:val="00FA6165"/>
    <w:rsid w:val="00FA6CA5"/>
    <w:rsid w:val="00FB0358"/>
    <w:rsid w:val="00FB12AC"/>
    <w:rsid w:val="00FB14BE"/>
    <w:rsid w:val="00FB1C0B"/>
    <w:rsid w:val="00FB1ED7"/>
    <w:rsid w:val="00FB1F46"/>
    <w:rsid w:val="00FB2093"/>
    <w:rsid w:val="00FB2CBF"/>
    <w:rsid w:val="00FB6604"/>
    <w:rsid w:val="00FB75D1"/>
    <w:rsid w:val="00FC063B"/>
    <w:rsid w:val="00FC1E67"/>
    <w:rsid w:val="00FC279F"/>
    <w:rsid w:val="00FC3B8C"/>
    <w:rsid w:val="00FC40EC"/>
    <w:rsid w:val="00FC442D"/>
    <w:rsid w:val="00FC45CE"/>
    <w:rsid w:val="00FC48E1"/>
    <w:rsid w:val="00FC4CDD"/>
    <w:rsid w:val="00FC6EAB"/>
    <w:rsid w:val="00FD08EE"/>
    <w:rsid w:val="00FD2B7B"/>
    <w:rsid w:val="00FD34AD"/>
    <w:rsid w:val="00FD35B3"/>
    <w:rsid w:val="00FD3E4E"/>
    <w:rsid w:val="00FD5352"/>
    <w:rsid w:val="00FD5F7E"/>
    <w:rsid w:val="00FD60F4"/>
    <w:rsid w:val="00FD6665"/>
    <w:rsid w:val="00FD6DCB"/>
    <w:rsid w:val="00FD707F"/>
    <w:rsid w:val="00FD7468"/>
    <w:rsid w:val="00FD7B9F"/>
    <w:rsid w:val="00FD7C21"/>
    <w:rsid w:val="00FD7FC1"/>
    <w:rsid w:val="00FE0330"/>
    <w:rsid w:val="00FE0716"/>
    <w:rsid w:val="00FE1A01"/>
    <w:rsid w:val="00FE1F16"/>
    <w:rsid w:val="00FE229E"/>
    <w:rsid w:val="00FE2398"/>
    <w:rsid w:val="00FE351D"/>
    <w:rsid w:val="00FE4115"/>
    <w:rsid w:val="00FE4797"/>
    <w:rsid w:val="00FE4BCF"/>
    <w:rsid w:val="00FE5602"/>
    <w:rsid w:val="00FE5C98"/>
    <w:rsid w:val="00FE62AF"/>
    <w:rsid w:val="00FE7257"/>
    <w:rsid w:val="00FF0DF6"/>
    <w:rsid w:val="00FF1526"/>
    <w:rsid w:val="00FF16C1"/>
    <w:rsid w:val="00FF231B"/>
    <w:rsid w:val="00FF2B82"/>
    <w:rsid w:val="00FF3517"/>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33A6D62D"/>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2"/>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8275499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40125589">
      <w:bodyDiv w:val="1"/>
      <w:marLeft w:val="0"/>
      <w:marRight w:val="0"/>
      <w:marTop w:val="0"/>
      <w:marBottom w:val="0"/>
      <w:divBdr>
        <w:top w:val="none" w:sz="0" w:space="0" w:color="auto"/>
        <w:left w:val="none" w:sz="0" w:space="0" w:color="auto"/>
        <w:bottom w:val="none" w:sz="0" w:space="0" w:color="auto"/>
        <w:right w:val="none" w:sz="0" w:space="0" w:color="auto"/>
      </w:divBdr>
    </w:div>
    <w:div w:id="162407342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592757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912723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780885">
      <w:bodyDiv w:val="1"/>
      <w:marLeft w:val="0"/>
      <w:marRight w:val="0"/>
      <w:marTop w:val="0"/>
      <w:marBottom w:val="0"/>
      <w:divBdr>
        <w:top w:val="none" w:sz="0" w:space="0" w:color="auto"/>
        <w:left w:val="none" w:sz="0" w:space="0" w:color="auto"/>
        <w:bottom w:val="none" w:sz="0" w:space="0" w:color="auto"/>
        <w:right w:val="none" w:sz="0" w:space="0" w:color="auto"/>
      </w:divBdr>
    </w:div>
    <w:div w:id="21096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gov.au/Series/C2006A00124" TargetMode="External"/><Relationship Id="rId39" Type="http://schemas.openxmlformats.org/officeDocument/2006/relationships/hyperlink" Target="https://www.abcc.gov.au/"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www.business.gov.au/Assistance/Building-Better-Regions-Fund/Building-Better-Regions-Fund-Infrastructure-Projects" TargetMode="External"/><Relationship Id="rId42" Type="http://schemas.openxmlformats.org/officeDocument/2006/relationships/hyperlink" Target="https://www.finance.gov.au/government/commonwealth-grants/commonwealth-grants-rules-guidelines" TargetMode="External"/><Relationship Id="rId47" Type="http://schemas.openxmlformats.org/officeDocument/2006/relationships/hyperlink" Target="https://www.industry.gov.au/data-and-publications/privacy-policy"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www.business.gov.au/grants-and-programs/preparing-australian-communities-local-strea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recovery.gov.au/preparing-australia-program" TargetMode="External"/><Relationship Id="rId33" Type="http://schemas.openxmlformats.org/officeDocument/2006/relationships/hyperlink" Target="https://www.business.gov.au/contact-us" TargetMode="External"/><Relationship Id="rId38" Type="http://schemas.openxmlformats.org/officeDocument/2006/relationships/hyperlink" Target="http://www.fsc.gov.au/sites/fsc/needaccredited/accreditationscheme/pages/theaccreditationscheme" TargetMode="External"/><Relationship Id="rId46" Type="http://schemas.openxmlformats.org/officeDocument/2006/relationships/hyperlink" Target="https://www.industry.gov.au/sites/g/files/net3906/f/July%202018/document/pdf/conflict-of-interest-and-insider-trading-policy.pd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www.wgea.gov.au/what-we-do/reporting" TargetMode="External"/><Relationship Id="rId41" Type="http://schemas.openxmlformats.org/officeDocument/2006/relationships/hyperlink" Target="https://www.ato.gov.au/" TargetMode="External"/><Relationship Id="rId54" Type="http://schemas.openxmlformats.org/officeDocument/2006/relationships/hyperlink" Target="https://recovery.gov.au/latest-news/resilience-way-forwar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www.business.gov.au/grants-and-programs/preparing-australian-communities-local-stream" TargetMode="External"/><Relationship Id="rId37" Type="http://schemas.openxmlformats.org/officeDocument/2006/relationships/hyperlink" Target="https://www.abcc.gov.au/building-code/building-code-2016" TargetMode="External"/><Relationship Id="rId40" Type="http://schemas.openxmlformats.org/officeDocument/2006/relationships/hyperlink" Target="http://www.fsc.gov.au/sites/FSC" TargetMode="External"/><Relationship Id="rId45" Type="http://schemas.openxmlformats.org/officeDocument/2006/relationships/hyperlink" Target="https://www.legislation.gov.au/Details/C2019C00057" TargetMode="External"/><Relationship Id="rId53" Type="http://schemas.openxmlformats.org/officeDocument/2006/relationships/hyperlink" Target="http://www.grants.gov.au/"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humanrights.gov.au/our-work/childrens-rights/national-principles-child-safe-organisations" TargetMode="External"/><Relationship Id="rId49" Type="http://schemas.openxmlformats.org/officeDocument/2006/relationships/hyperlink" Target="http://www.business.gov.au/contact-us/Pages/default.aspx"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www.business.gov.au/grants-and-programs/preparing-australian-communities-local-stream"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business.gov.au/grants-and-programs/preparing-australian-communities-local-stream" TargetMode="External"/><Relationship Id="rId27" Type="http://schemas.openxmlformats.org/officeDocument/2006/relationships/hyperlink" Target="http://www.nationalredress.gov.au" TargetMode="External"/><Relationship Id="rId30" Type="http://schemas.openxmlformats.org/officeDocument/2006/relationships/hyperlink" Target="http://www.business.gov.au/grants-and-programs/preparing-australian-communities-local-stream" TargetMode="External"/><Relationship Id="rId35" Type="http://schemas.openxmlformats.org/officeDocument/2006/relationships/hyperlink" Target="http://www.business.gov.au/grants-and-programs/preparing-australian-communities-local-stream" TargetMode="External"/><Relationship Id="rId43" Type="http://schemas.openxmlformats.org/officeDocument/2006/relationships/hyperlink" Target="file://prod.protected.ind/User/user03/LLau2/insert%20link%20here" TargetMode="External"/><Relationship Id="rId48" Type="http://schemas.openxmlformats.org/officeDocument/2006/relationships/hyperlink" Target="https://www.business.gov.au/contact-us" TargetMode="External"/><Relationship Id="rId56" Type="http://schemas.openxmlformats.org/officeDocument/2006/relationships/image" Target="media/image2.tif"/><Relationship Id="rId8" Type="http://schemas.openxmlformats.org/officeDocument/2006/relationships/styles" Target="styles.xml"/><Relationship Id="rId51" Type="http://schemas.openxmlformats.org/officeDocument/2006/relationships/hyperlink" Target="http://www.busines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sites/default/files/July%202018/document/pdf/conflict-of-interest-and-insider-trading-policy.pdf?acsf_files_redirect" TargetMode="External"/><Relationship Id="rId3" Type="http://schemas.openxmlformats.org/officeDocument/2006/relationships/hyperlink" Target="https://www.finance.gov.au/government/commonwealth-grants/commonwealth-grants-rules-guidelines" TargetMode="External"/><Relationship Id="rId7" Type="http://schemas.openxmlformats.org/officeDocument/2006/relationships/hyperlink" Target="https://www.abcc.gov.au/" TargetMode="External"/><Relationship Id="rId2" Type="http://schemas.openxmlformats.org/officeDocument/2006/relationships/hyperlink" Target="https://recovery.gov.au/latest-news/resilience-way-forward" TargetMode="External"/><Relationship Id="rId1" Type="http://schemas.openxmlformats.org/officeDocument/2006/relationships/hyperlink" Target="https://naturaldisaster.royalcommission.gov.au/" TargetMode="External"/><Relationship Id="rId6" Type="http://schemas.openxmlformats.org/officeDocument/2006/relationships/hyperlink" Target="http://www.fsc.gov.au/sites/fsc/needaccredited/accreditationscheme/pages/theaccreditationscheme" TargetMode="External"/><Relationship Id="rId5" Type="http://schemas.openxmlformats.org/officeDocument/2006/relationships/hyperlink" Target="https://www.abcc.gov.au/building-code/building-code-2016" TargetMode="External"/><Relationship Id="rId10" Type="http://schemas.openxmlformats.org/officeDocument/2006/relationships/hyperlink" Target="http://www.ombudsman.gov.au/" TargetMode="External"/><Relationship Id="rId4" Type="http://schemas.openxmlformats.org/officeDocument/2006/relationships/hyperlink" Target="https://www.humanrights.gov.au/our-work/childrens-rights/national-principles-child-safe-organisations" TargetMode="External"/><Relationship Id="rId9" Type="http://schemas.openxmlformats.org/officeDocument/2006/relationships/hyperlink" Target="https://www.industry.gov.au/data-and-publications/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258A3"/>
    <w:rsid w:val="00036CA1"/>
    <w:rsid w:val="00053D39"/>
    <w:rsid w:val="0007740B"/>
    <w:rsid w:val="0008369B"/>
    <w:rsid w:val="000927B0"/>
    <w:rsid w:val="000A1D08"/>
    <w:rsid w:val="000A2499"/>
    <w:rsid w:val="000A35DD"/>
    <w:rsid w:val="000A36D8"/>
    <w:rsid w:val="000A6F5A"/>
    <w:rsid w:val="000A7DB6"/>
    <w:rsid w:val="000D7E2E"/>
    <w:rsid w:val="000F772A"/>
    <w:rsid w:val="000F79D2"/>
    <w:rsid w:val="00102082"/>
    <w:rsid w:val="001034C6"/>
    <w:rsid w:val="0011541E"/>
    <w:rsid w:val="00131C76"/>
    <w:rsid w:val="00142CA2"/>
    <w:rsid w:val="00145017"/>
    <w:rsid w:val="0017077B"/>
    <w:rsid w:val="00174CF0"/>
    <w:rsid w:val="001D19C2"/>
    <w:rsid w:val="001D6595"/>
    <w:rsid w:val="001E72AD"/>
    <w:rsid w:val="00204D02"/>
    <w:rsid w:val="00220C6F"/>
    <w:rsid w:val="0025208B"/>
    <w:rsid w:val="00255B9E"/>
    <w:rsid w:val="00256378"/>
    <w:rsid w:val="00267D81"/>
    <w:rsid w:val="00283FA7"/>
    <w:rsid w:val="002D31BB"/>
    <w:rsid w:val="003075AB"/>
    <w:rsid w:val="003128B1"/>
    <w:rsid w:val="00312E61"/>
    <w:rsid w:val="003270C3"/>
    <w:rsid w:val="00330741"/>
    <w:rsid w:val="00333E70"/>
    <w:rsid w:val="00346697"/>
    <w:rsid w:val="00353EE0"/>
    <w:rsid w:val="003716C1"/>
    <w:rsid w:val="003778F1"/>
    <w:rsid w:val="00386EA8"/>
    <w:rsid w:val="00390DDC"/>
    <w:rsid w:val="00395F4A"/>
    <w:rsid w:val="003969DB"/>
    <w:rsid w:val="003B2C06"/>
    <w:rsid w:val="003C13DC"/>
    <w:rsid w:val="003C5278"/>
    <w:rsid w:val="003D103F"/>
    <w:rsid w:val="003D1F7D"/>
    <w:rsid w:val="003E650C"/>
    <w:rsid w:val="003F24AB"/>
    <w:rsid w:val="00402658"/>
    <w:rsid w:val="00420B2B"/>
    <w:rsid w:val="0045165D"/>
    <w:rsid w:val="004801B6"/>
    <w:rsid w:val="00490049"/>
    <w:rsid w:val="00490793"/>
    <w:rsid w:val="004917E4"/>
    <w:rsid w:val="00491EAB"/>
    <w:rsid w:val="004A7717"/>
    <w:rsid w:val="004B6096"/>
    <w:rsid w:val="004C009D"/>
    <w:rsid w:val="004C047E"/>
    <w:rsid w:val="004D7DD8"/>
    <w:rsid w:val="004E2075"/>
    <w:rsid w:val="004E66BC"/>
    <w:rsid w:val="004E7CAB"/>
    <w:rsid w:val="00507096"/>
    <w:rsid w:val="00520CEB"/>
    <w:rsid w:val="00533CA6"/>
    <w:rsid w:val="00542289"/>
    <w:rsid w:val="0054528E"/>
    <w:rsid w:val="00553CDE"/>
    <w:rsid w:val="0056781E"/>
    <w:rsid w:val="00573B84"/>
    <w:rsid w:val="00591EE9"/>
    <w:rsid w:val="005A07E5"/>
    <w:rsid w:val="005A7688"/>
    <w:rsid w:val="005A7C1E"/>
    <w:rsid w:val="005A7E62"/>
    <w:rsid w:val="005D05B6"/>
    <w:rsid w:val="005F2C75"/>
    <w:rsid w:val="00617C4F"/>
    <w:rsid w:val="00626C0A"/>
    <w:rsid w:val="00633E9E"/>
    <w:rsid w:val="0064283F"/>
    <w:rsid w:val="00642D3B"/>
    <w:rsid w:val="00647924"/>
    <w:rsid w:val="006528DC"/>
    <w:rsid w:val="00665A9D"/>
    <w:rsid w:val="00695C4F"/>
    <w:rsid w:val="006C6952"/>
    <w:rsid w:val="006F1D58"/>
    <w:rsid w:val="0070249A"/>
    <w:rsid w:val="00713A8F"/>
    <w:rsid w:val="00736A2F"/>
    <w:rsid w:val="00737FC3"/>
    <w:rsid w:val="00745610"/>
    <w:rsid w:val="00767238"/>
    <w:rsid w:val="00772653"/>
    <w:rsid w:val="007D2C5D"/>
    <w:rsid w:val="007E1D73"/>
    <w:rsid w:val="007E1FB5"/>
    <w:rsid w:val="007F7244"/>
    <w:rsid w:val="00800F43"/>
    <w:rsid w:val="008033C1"/>
    <w:rsid w:val="00805013"/>
    <w:rsid w:val="008125DB"/>
    <w:rsid w:val="00820C8C"/>
    <w:rsid w:val="00885409"/>
    <w:rsid w:val="008B5A41"/>
    <w:rsid w:val="008D32AC"/>
    <w:rsid w:val="008E370E"/>
    <w:rsid w:val="00901F89"/>
    <w:rsid w:val="00926C29"/>
    <w:rsid w:val="00940252"/>
    <w:rsid w:val="00955C19"/>
    <w:rsid w:val="00972628"/>
    <w:rsid w:val="00973CC8"/>
    <w:rsid w:val="0098301B"/>
    <w:rsid w:val="00994045"/>
    <w:rsid w:val="009C1676"/>
    <w:rsid w:val="009C701C"/>
    <w:rsid w:val="009D37A0"/>
    <w:rsid w:val="009F1F87"/>
    <w:rsid w:val="009F28A1"/>
    <w:rsid w:val="009F5CBB"/>
    <w:rsid w:val="00A12344"/>
    <w:rsid w:val="00A1591D"/>
    <w:rsid w:val="00A17C8D"/>
    <w:rsid w:val="00A462C4"/>
    <w:rsid w:val="00A52D16"/>
    <w:rsid w:val="00A60EBB"/>
    <w:rsid w:val="00A814F2"/>
    <w:rsid w:val="00A82A0F"/>
    <w:rsid w:val="00A8492E"/>
    <w:rsid w:val="00AB51FD"/>
    <w:rsid w:val="00AD1382"/>
    <w:rsid w:val="00AF29F7"/>
    <w:rsid w:val="00AF62FF"/>
    <w:rsid w:val="00B038A6"/>
    <w:rsid w:val="00B104D5"/>
    <w:rsid w:val="00B10CF3"/>
    <w:rsid w:val="00B75A32"/>
    <w:rsid w:val="00B821C1"/>
    <w:rsid w:val="00B84640"/>
    <w:rsid w:val="00B93554"/>
    <w:rsid w:val="00BB0FA9"/>
    <w:rsid w:val="00BE15AB"/>
    <w:rsid w:val="00BE62CA"/>
    <w:rsid w:val="00BF0741"/>
    <w:rsid w:val="00BF10FB"/>
    <w:rsid w:val="00BF2979"/>
    <w:rsid w:val="00C214D0"/>
    <w:rsid w:val="00C24B73"/>
    <w:rsid w:val="00C262DE"/>
    <w:rsid w:val="00C2738A"/>
    <w:rsid w:val="00C361A9"/>
    <w:rsid w:val="00C3684D"/>
    <w:rsid w:val="00C47E64"/>
    <w:rsid w:val="00C63EE7"/>
    <w:rsid w:val="00C6409C"/>
    <w:rsid w:val="00C8774C"/>
    <w:rsid w:val="00C9274C"/>
    <w:rsid w:val="00C93610"/>
    <w:rsid w:val="00CE2EBB"/>
    <w:rsid w:val="00CF3EAA"/>
    <w:rsid w:val="00CF7F43"/>
    <w:rsid w:val="00D3126F"/>
    <w:rsid w:val="00D66067"/>
    <w:rsid w:val="00D80269"/>
    <w:rsid w:val="00D96834"/>
    <w:rsid w:val="00DA47B3"/>
    <w:rsid w:val="00DA798B"/>
    <w:rsid w:val="00DA7C0F"/>
    <w:rsid w:val="00DC1F75"/>
    <w:rsid w:val="00DE114D"/>
    <w:rsid w:val="00DF3458"/>
    <w:rsid w:val="00E10DC5"/>
    <w:rsid w:val="00E75E70"/>
    <w:rsid w:val="00E7644F"/>
    <w:rsid w:val="00E778E4"/>
    <w:rsid w:val="00E937F8"/>
    <w:rsid w:val="00EA21C3"/>
    <w:rsid w:val="00EA3566"/>
    <w:rsid w:val="00ED004A"/>
    <w:rsid w:val="00ED3CA3"/>
    <w:rsid w:val="00ED79B3"/>
    <w:rsid w:val="00F05185"/>
    <w:rsid w:val="00F11230"/>
    <w:rsid w:val="00F11586"/>
    <w:rsid w:val="00F504ED"/>
    <w:rsid w:val="00F54F37"/>
    <w:rsid w:val="00F57AA0"/>
    <w:rsid w:val="00F65A53"/>
    <w:rsid w:val="00F7383C"/>
    <w:rsid w:val="00F87B4B"/>
    <w:rsid w:val="00F903CB"/>
    <w:rsid w:val="00FB5028"/>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96</Value>
      <Value>3</Value>
    </TaxCatchAll>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TermName>
          <TermId>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 xsi:nil="true"/>
    <_dlc_DocIdUrl xmlns="2a251b7e-61e4-4816-a71f-b295a9ad20fb">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05B0C529-E09B-4331-BCDF-6E7ED46CDD0D}">
  <ds:schemaRefs>
    <ds:schemaRef ds:uri="http://schemas.microsoft.com/sharepoint/events"/>
  </ds:schemaRefs>
</ds:datastoreItem>
</file>

<file path=customXml/itemProps4.xml><?xml version="1.0" encoding="utf-8"?>
<ds:datastoreItem xmlns:ds="http://schemas.openxmlformats.org/officeDocument/2006/customXml" ds:itemID="{FCB1EE5D-194C-4A69-AD1A-F1A66F90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054EE0E4-EB9F-4B11-999D-60E034A0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11228</Words>
  <Characters>61286</Characters>
  <Application>Microsoft Office Word</Application>
  <DocSecurity>0</DocSecurity>
  <Lines>1563</Lines>
  <Paragraphs>1126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71686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Dixon, Kristen</cp:lastModifiedBy>
  <cp:revision>4</cp:revision>
  <cp:lastPrinted>2021-10-29T03:29:00Z</cp:lastPrinted>
  <dcterms:created xsi:type="dcterms:W3CDTF">2021-10-29T03:19:00Z</dcterms:created>
  <dcterms:modified xsi:type="dcterms:W3CDTF">2021-10-29T03:30:00Z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HPRMSecurityCaveat">
    <vt:lpwstr/>
  </property>
  <property fmtid="{D5CDD505-2E9C-101B-9397-08002B2CF9AE}" pid="24" name="HPRMSecurityLevel">
    <vt:lpwstr>1;#OFFICIAL|11463c70-78df-4e3b-b0ff-f66cd3cb26ec</vt:lpwstr>
  </property>
</Properties>
</file>