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02A1F840" w:rsidR="00D511C1" w:rsidRPr="00B04E0E" w:rsidRDefault="002357A2" w:rsidP="003219B1">
      <w:pPr>
        <w:pStyle w:val="Heading1"/>
        <w:tabs>
          <w:tab w:val="clear" w:pos="3825"/>
        </w:tabs>
      </w:pPr>
      <w:r>
        <w:t>Preparing Australian Communities – Local Stream</w:t>
      </w:r>
    </w:p>
    <w:p w14:paraId="51A82201" w14:textId="4790857F" w:rsidR="00D511C1" w:rsidRDefault="00DE7BC8" w:rsidP="00D511C1">
      <w:r w:rsidRPr="005448BE">
        <w:t xml:space="preserve">Version </w:t>
      </w:r>
      <w:r w:rsidR="001636AD" w:rsidRPr="005448BE">
        <w:t>November</w:t>
      </w:r>
      <w:r w:rsidR="00B03688" w:rsidRPr="005448BE">
        <w:t xml:space="preserve"> 2021</w:t>
      </w:r>
    </w:p>
    <w:p w14:paraId="2C361C2F" w14:textId="6DB5F025"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2357A2">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219B1" w:rsidRDefault="000812C0" w:rsidP="003219B1">
      <w:pPr>
        <w:shd w:val="clear" w:color="auto" w:fill="FFFFFF"/>
        <w:spacing w:before="0" w:after="150" w:line="240" w:lineRule="auto"/>
        <w:rPr>
          <w:color w:val="333333"/>
          <w:sz w:val="21"/>
        </w:rPr>
      </w:pPr>
      <w:r w:rsidRPr="003219B1">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0812C0">
      <w:pPr>
        <w:shd w:val="clear" w:color="auto" w:fill="FFFFFF"/>
        <w:spacing w:before="0" w:after="150" w:line="240" w:lineRule="auto"/>
        <w:rPr>
          <w:rFonts w:eastAsia="Times New Roman" w:cs="Arial"/>
          <w:color w:val="333333"/>
          <w:sz w:val="21"/>
          <w:szCs w:val="21"/>
          <w:lang w:eastAsia="en-AU"/>
        </w:rPr>
      </w:pPr>
      <w:r w:rsidRPr="000812C0">
        <w:rPr>
          <w:rFonts w:eastAsia="Times New Roman" w:cs="Arial"/>
          <w:color w:val="333333"/>
          <w:sz w:val="21"/>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3CF9111" w14:textId="688E9A76" w:rsidR="002357A2" w:rsidRDefault="002357A2" w:rsidP="002357A2">
      <w:pPr>
        <w:rPr>
          <w:lang w:eastAsia="en-AU"/>
        </w:rPr>
      </w:pPr>
    </w:p>
    <w:p w14:paraId="0FD1B5B4" w14:textId="77777777" w:rsidR="004C7D54" w:rsidRPr="002357A2" w:rsidRDefault="004C7D54" w:rsidP="002357A2">
      <w:pPr>
        <w:rPr>
          <w:lang w:eastAsia="en-AU"/>
        </w:rPr>
        <w:sectPr w:rsidR="004C7D54" w:rsidRPr="002357A2"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71A0D81"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004F76E5">
        <w:t xml:space="preserve"> an ABN is mandatory, i</w:t>
      </w:r>
      <w:r w:rsidRPr="007F24F5">
        <w:t xml:space="preserve">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2C92AAC" w:rsidR="00A40FEB" w:rsidRDefault="00A40FEB" w:rsidP="00A40FEB">
      <w:pPr>
        <w:pStyle w:val="ListBullet"/>
      </w:pPr>
      <w:r>
        <w:t xml:space="preserve">Field 1 select </w:t>
      </w:r>
      <w:r w:rsidR="002357A2">
        <w:t>–</w:t>
      </w:r>
      <w:r>
        <w:t xml:space="preserve"> </w:t>
      </w:r>
      <w:r w:rsidR="002357A2">
        <w:t>Preparing Australian Communities</w:t>
      </w:r>
      <w:r w:rsidR="000A127A">
        <w:t xml:space="preserve"> Local Stream</w:t>
      </w:r>
    </w:p>
    <w:p w14:paraId="7FB50500" w14:textId="07DB32EF" w:rsidR="00A40FEB" w:rsidRDefault="002357A2" w:rsidP="00A40FEB">
      <w:pPr>
        <w:pStyle w:val="ListBullet"/>
      </w:pPr>
      <w:r>
        <w:t>Field 2 select –</w:t>
      </w:r>
      <w:r w:rsidR="000A127A">
        <w:t xml:space="preserve"> Preparing Australian Communities</w:t>
      </w:r>
      <w:r>
        <w:t xml:space="preserve"> Local Stream</w:t>
      </w:r>
    </w:p>
    <w:p w14:paraId="5E8DCA3C" w14:textId="77777777" w:rsidR="00A40FEB" w:rsidRDefault="00A40FEB" w:rsidP="00A40FEB">
      <w:pPr>
        <w:pStyle w:val="Normalexplanatory"/>
      </w:pPr>
      <w:r>
        <w:t>When you have selected the program, the following text will appear.</w:t>
      </w:r>
    </w:p>
    <w:p w14:paraId="2A063BC5" w14:textId="77777777" w:rsidR="002357A2" w:rsidRPr="00DD2CE7" w:rsidRDefault="002357A2" w:rsidP="002357A2">
      <w:pPr>
        <w:rPr>
          <w:b/>
          <w:iCs/>
        </w:rPr>
      </w:pPr>
      <w:r>
        <w:rPr>
          <w:rFonts w:cs="Arial"/>
          <w:szCs w:val="20"/>
        </w:rPr>
        <w:t xml:space="preserve">The program is one component of the Preparing Australia Program targeting </w:t>
      </w:r>
      <w:r w:rsidRPr="00EC0E6F">
        <w:rPr>
          <w:rFonts w:cs="Arial"/>
          <w:szCs w:val="20"/>
        </w:rPr>
        <w:t>support</w:t>
      </w:r>
      <w:r>
        <w:rPr>
          <w:rFonts w:cs="Arial"/>
          <w:szCs w:val="20"/>
        </w:rPr>
        <w:t xml:space="preserve"> to</w:t>
      </w:r>
      <w:r w:rsidRPr="00EC0E6F">
        <w:rPr>
          <w:rFonts w:cs="Arial"/>
          <w:szCs w:val="20"/>
        </w:rPr>
        <w:t xml:space="preserve"> locally identified and locally led projects that </w:t>
      </w:r>
      <w:r>
        <w:rPr>
          <w:rFonts w:cs="Arial"/>
          <w:szCs w:val="20"/>
        </w:rPr>
        <w:t xml:space="preserve">will </w:t>
      </w:r>
      <w:r w:rsidRPr="00EC0E6F">
        <w:rPr>
          <w:rFonts w:cs="Arial"/>
          <w:szCs w:val="20"/>
        </w:rPr>
        <w:t xml:space="preserve">improve the resilience of communities </w:t>
      </w:r>
      <w:r>
        <w:rPr>
          <w:rFonts w:cs="Arial"/>
          <w:szCs w:val="20"/>
        </w:rPr>
        <w:t>against</w:t>
      </w:r>
      <w:r w:rsidRPr="00EC0E6F">
        <w:rPr>
          <w:rFonts w:cs="Arial"/>
          <w:szCs w:val="20"/>
        </w:rPr>
        <w:t xml:space="preserve"> </w:t>
      </w:r>
      <w:r>
        <w:rPr>
          <w:rFonts w:cs="Arial"/>
          <w:szCs w:val="20"/>
        </w:rPr>
        <w:t>natural hazards. Round 1 will focus on projects that will improve the resilience of communities against bushfires, flood and tropical cyclones. While projects are eligible across Australia, t</w:t>
      </w:r>
      <w:r w:rsidRPr="00322C3B">
        <w:rPr>
          <w:rFonts w:cs="Arial"/>
          <w:szCs w:val="20"/>
        </w:rPr>
        <w:t xml:space="preserve">he program </w:t>
      </w:r>
      <w:r>
        <w:rPr>
          <w:rFonts w:cs="Arial"/>
          <w:szCs w:val="20"/>
        </w:rPr>
        <w:t>will prioritise</w:t>
      </w:r>
      <w:r w:rsidRPr="00322C3B">
        <w:rPr>
          <w:rFonts w:cs="Arial"/>
          <w:szCs w:val="20"/>
        </w:rPr>
        <w:t xml:space="preserve"> selected Local Government Areas (LGAs) based on impact risk level informed by the Australian Climate Service</w:t>
      </w:r>
      <w:r>
        <w:rPr>
          <w:rFonts w:cs="Arial"/>
          <w:szCs w:val="20"/>
        </w:rPr>
        <w:t xml:space="preserve"> </w:t>
      </w:r>
      <w:r w:rsidRPr="00851FD7">
        <w:rPr>
          <w:rFonts w:cs="Arial"/>
          <w:szCs w:val="20"/>
        </w:rPr>
        <w:t>and state and territory governments</w:t>
      </w:r>
      <w:r>
        <w:rPr>
          <w:rFonts w:cs="Arial"/>
          <w:szCs w:val="20"/>
        </w:rPr>
        <w:t xml:space="preserve"> (see section 4 for additional information about priority locations). </w:t>
      </w:r>
    </w:p>
    <w:p w14:paraId="4C2FABCA" w14:textId="77777777" w:rsidR="002357A2" w:rsidRDefault="002357A2" w:rsidP="002357A2">
      <w:pPr>
        <w:spacing w:after="80"/>
        <w:rPr>
          <w:rFonts w:cs="Arial"/>
        </w:rPr>
      </w:pPr>
      <w:r w:rsidRPr="00E23548">
        <w:rPr>
          <w:rFonts w:cs="Arial"/>
        </w:rPr>
        <w:t xml:space="preserve">The </w:t>
      </w:r>
      <w:r>
        <w:rPr>
          <w:rFonts w:cs="Arial"/>
        </w:rPr>
        <w:t xml:space="preserve">intended outcomes of the </w:t>
      </w:r>
      <w:r w:rsidRPr="00CD75B8">
        <w:t>grant opportunity</w:t>
      </w:r>
      <w:r w:rsidRPr="00CD75B8">
        <w:rPr>
          <w:rFonts w:cs="Arial"/>
        </w:rPr>
        <w:t xml:space="preserve"> a</w:t>
      </w:r>
      <w:r>
        <w:rPr>
          <w:rFonts w:cs="Arial"/>
        </w:rPr>
        <w:t>re to support communities to undertake disaster risk reduction initiatives that provide public benefit through reducing:</w:t>
      </w:r>
    </w:p>
    <w:p w14:paraId="5BDE3933" w14:textId="77777777" w:rsidR="002357A2" w:rsidRDefault="002357A2" w:rsidP="002357A2">
      <w:pPr>
        <w:pStyle w:val="ListBullet"/>
        <w:spacing w:before="40" w:after="80"/>
      </w:pPr>
      <w:r>
        <w:t>the impact of future natural hazards on Australian communities</w:t>
      </w:r>
    </w:p>
    <w:p w14:paraId="77454B0A" w14:textId="77777777" w:rsidR="002357A2" w:rsidRDefault="002357A2" w:rsidP="002357A2">
      <w:pPr>
        <w:pStyle w:val="ListBullet"/>
        <w:spacing w:before="40" w:after="80"/>
      </w:pPr>
      <w:proofErr w:type="gramStart"/>
      <w:r>
        <w:t>the</w:t>
      </w:r>
      <w:proofErr w:type="gramEnd"/>
      <w:r>
        <w:t xml:space="preserve"> burden (cost and time) of recovery in communities following future disasters.</w:t>
      </w:r>
    </w:p>
    <w:p w14:paraId="05C4C8AB" w14:textId="28433E52" w:rsidR="00A40FEB" w:rsidRDefault="00A40FEB" w:rsidP="00A40FEB">
      <w:r>
        <w:t xml:space="preserve">You should read the </w:t>
      </w:r>
      <w:hyperlink r:id="rId21" w:anchor="key-documents" w:history="1">
        <w:r w:rsidRPr="00B474AC">
          <w:rPr>
            <w:rStyle w:val="Hyperlink"/>
          </w:rPr>
          <w:t>grant opportunity guidelines</w:t>
        </w:r>
      </w:hyperlink>
      <w:r>
        <w:t xml:space="preserve"> and </w:t>
      </w:r>
      <w:hyperlink r:id="rId22" w:anchor="key-documents" w:history="1">
        <w:r w:rsidRPr="00B474AC">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6C00B75" w:rsidR="00A40FEB" w:rsidRPr="001636AD" w:rsidRDefault="00A40FEB" w:rsidP="00A40FEB">
      <w:r w:rsidRPr="001636AD">
        <w:t xml:space="preserve">You may submit your application at any time up until 5.00pm AEDT on </w:t>
      </w:r>
      <w:r w:rsidR="00C12C47" w:rsidRPr="001636AD">
        <w:t>6 January 2022</w:t>
      </w:r>
      <w:r w:rsidRPr="001636AD">
        <w:t xml:space="preserve">. </w:t>
      </w:r>
      <w:r w:rsidR="00AD4BF4" w:rsidRPr="001636AD">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4B89B72" w:rsidR="0096090D" w:rsidRDefault="00193F0F" w:rsidP="0096090D">
      <w:pPr>
        <w:tabs>
          <w:tab w:val="left" w:pos="6237"/>
          <w:tab w:val="left" w:pos="7938"/>
        </w:tabs>
      </w:pPr>
      <w:r>
        <w:t xml:space="preserve">We will ask you the following questions to establish your eligibility for </w:t>
      </w:r>
      <w:r w:rsidR="00A33F06">
        <w:t>Preparing Australian Communities – Local Stream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819CA31" w:rsidR="00193F0F" w:rsidRPr="002357A2" w:rsidRDefault="00502579" w:rsidP="00193F0F">
      <w:pPr>
        <w:pStyle w:val="ListBullet"/>
      </w:pPr>
      <w:r w:rsidRPr="002357A2">
        <w:t>Select which type of entity your organisation is.</w:t>
      </w:r>
      <w:r w:rsidR="000B6DC2" w:rsidRPr="002357A2">
        <w:rPr>
          <w:color w:val="FF0000"/>
        </w:rPr>
        <w:t>*</w:t>
      </w:r>
    </w:p>
    <w:p w14:paraId="5BE3E1E0" w14:textId="77777777" w:rsidR="002357A2" w:rsidRDefault="002357A2" w:rsidP="00FE3F86">
      <w:pPr>
        <w:pStyle w:val="ListBullet"/>
        <w:numPr>
          <w:ilvl w:val="1"/>
          <w:numId w:val="3"/>
        </w:numPr>
      </w:pPr>
      <w:r>
        <w:t>an entity incorporated in Australia</w:t>
      </w:r>
    </w:p>
    <w:p w14:paraId="505D3EEB" w14:textId="77777777" w:rsidR="002357A2" w:rsidRPr="000A271A" w:rsidRDefault="002357A2" w:rsidP="00FE3F86">
      <w:pPr>
        <w:pStyle w:val="ListBullet"/>
        <w:numPr>
          <w:ilvl w:val="1"/>
          <w:numId w:val="3"/>
        </w:numPr>
      </w:pPr>
      <w:r w:rsidRPr="000A271A">
        <w:t xml:space="preserve">a company </w:t>
      </w:r>
      <w:r>
        <w:t>limited</w:t>
      </w:r>
      <w:r w:rsidRPr="000A271A">
        <w:t xml:space="preserve"> by guarantee</w:t>
      </w:r>
    </w:p>
    <w:p w14:paraId="24439078" w14:textId="77777777" w:rsidR="002357A2" w:rsidRDefault="002357A2" w:rsidP="00FE3F86">
      <w:pPr>
        <w:pStyle w:val="ListBullet"/>
        <w:numPr>
          <w:ilvl w:val="1"/>
          <w:numId w:val="3"/>
        </w:numPr>
      </w:pPr>
      <w:r>
        <w:t>an incorporated association</w:t>
      </w:r>
    </w:p>
    <w:p w14:paraId="4F0A0FEE" w14:textId="77777777" w:rsidR="002357A2" w:rsidRDefault="002357A2" w:rsidP="00FE3F86">
      <w:pPr>
        <w:pStyle w:val="ListBullet"/>
        <w:numPr>
          <w:ilvl w:val="1"/>
          <w:numId w:val="3"/>
        </w:numPr>
      </w:pPr>
      <w:r>
        <w:t>an incorporated not for profit organisation</w:t>
      </w:r>
    </w:p>
    <w:p w14:paraId="5011EA1D" w14:textId="77777777" w:rsidR="002357A2" w:rsidRDefault="002357A2" w:rsidP="00FE3F86">
      <w:pPr>
        <w:pStyle w:val="ListBullet"/>
        <w:numPr>
          <w:ilvl w:val="1"/>
          <w:numId w:val="3"/>
        </w:numPr>
      </w:pPr>
      <w:r>
        <w:t>a non-distributive co-</w:t>
      </w:r>
      <w:bookmarkStart w:id="0" w:name="_Hlk49334589"/>
      <w:r>
        <w:t>operative</w:t>
      </w:r>
    </w:p>
    <w:p w14:paraId="5A4F2D68" w14:textId="77777777" w:rsidR="002357A2" w:rsidRDefault="002357A2" w:rsidP="00FE3F86">
      <w:pPr>
        <w:pStyle w:val="ListBullet"/>
        <w:numPr>
          <w:ilvl w:val="1"/>
          <w:numId w:val="3"/>
        </w:numPr>
      </w:pPr>
      <w:r w:rsidRPr="00A53B1C">
        <w:t>an</w:t>
      </w:r>
      <w:r>
        <w:t xml:space="preserve"> incorporated trustee on behalf of a trust</w:t>
      </w:r>
    </w:p>
    <w:p w14:paraId="2A8DC493" w14:textId="77777777" w:rsidR="002357A2" w:rsidRDefault="002357A2" w:rsidP="00FE3F86">
      <w:pPr>
        <w:pStyle w:val="ListBullet"/>
        <w:numPr>
          <w:ilvl w:val="1"/>
          <w:numId w:val="3"/>
        </w:numPr>
      </w:pPr>
      <w:r>
        <w:t>a Regional Development Australia Committee</w:t>
      </w:r>
    </w:p>
    <w:p w14:paraId="1BBB146B" w14:textId="77777777" w:rsidR="002357A2" w:rsidRDefault="002357A2" w:rsidP="00FE3F86">
      <w:pPr>
        <w:pStyle w:val="ListBullet"/>
        <w:numPr>
          <w:ilvl w:val="1"/>
          <w:numId w:val="3"/>
        </w:numPr>
      </w:pPr>
      <w:r>
        <w:t xml:space="preserve">a Commonwealth, state or territory government </w:t>
      </w:r>
      <w:r w:rsidRPr="00CD1CDA">
        <w:t>agency or entity that is a fire service, rural fire service, country fire authority, state</w:t>
      </w:r>
      <w:r>
        <w:t xml:space="preserve"> emergency service or similar</w:t>
      </w:r>
    </w:p>
    <w:bookmarkEnd w:id="0"/>
    <w:p w14:paraId="730B1E9D" w14:textId="77777777" w:rsidR="002357A2" w:rsidRDefault="002357A2" w:rsidP="00FE3F86">
      <w:pPr>
        <w:pStyle w:val="ListBullet"/>
        <w:numPr>
          <w:ilvl w:val="1"/>
          <w:numId w:val="3"/>
        </w:numPr>
      </w:pPr>
      <w:r w:rsidRPr="00AB6298">
        <w:t xml:space="preserve">an Australian local governing agency or body as defined in </w:t>
      </w:r>
      <w:r>
        <w:t>the glossary</w:t>
      </w:r>
    </w:p>
    <w:p w14:paraId="0CA273C2" w14:textId="77777777" w:rsidR="002357A2" w:rsidRPr="000C647D" w:rsidRDefault="002357A2" w:rsidP="00FE3F86">
      <w:pPr>
        <w:pStyle w:val="ListBullet"/>
        <w:numPr>
          <w:ilvl w:val="1"/>
          <w:numId w:val="3"/>
        </w:numPr>
        <w:rPr>
          <w:rStyle w:val="Hyperlink"/>
        </w:rPr>
      </w:pPr>
      <w:r w:rsidRPr="00C62FDD">
        <w:t xml:space="preserve">an Aboriginal and/or Torres Strait Islander Corporation registered under the </w:t>
      </w:r>
      <w:hyperlink r:id="rId23" w:history="1">
        <w:r w:rsidRPr="005616B9">
          <w:rPr>
            <w:rStyle w:val="Hyperlink"/>
            <w:i/>
          </w:rPr>
          <w:t>Corporations (Aboriginal and Torres Strait Islander) Act 2006</w:t>
        </w:r>
      </w:hyperlink>
    </w:p>
    <w:p w14:paraId="4F3FA3BB" w14:textId="77777777" w:rsidR="002357A2" w:rsidRDefault="002357A2" w:rsidP="00FE3F86">
      <w:pPr>
        <w:pStyle w:val="ListBullet"/>
        <w:numPr>
          <w:ilvl w:val="1"/>
          <w:numId w:val="3"/>
        </w:numPr>
      </w:pPr>
      <w:r>
        <w:t>a registered Aboriginal and Torres Strait Islander land council</w:t>
      </w:r>
    </w:p>
    <w:p w14:paraId="53FEF43D" w14:textId="77777777" w:rsidR="004F660A" w:rsidRDefault="00FE3F86" w:rsidP="00FE3F86">
      <w:pPr>
        <w:pStyle w:val="ListBullet"/>
        <w:numPr>
          <w:ilvl w:val="1"/>
          <w:numId w:val="3"/>
        </w:numPr>
      </w:pPr>
      <w:r w:rsidRPr="00FE3F86">
        <w:t>Mount Hotham Alpine Resort Management Board (ABN: 93 938 780 598), the Southern Alpine Resort Management Board (ABN 80 841 224 798), the Falls Creek Alpine Resort Management Board (ABN: 21 789 770 569), or the Mt Buller and Mt Stirling Resort Management Board (ABN: 44 867 982 534)</w:t>
      </w:r>
    </w:p>
    <w:p w14:paraId="5F36C702" w14:textId="37D55E81" w:rsidR="00FE3F86" w:rsidRPr="00FE3F86" w:rsidRDefault="004F660A" w:rsidP="00AE3222">
      <w:pPr>
        <w:pStyle w:val="ListParagraph"/>
        <w:numPr>
          <w:ilvl w:val="1"/>
          <w:numId w:val="3"/>
        </w:numPr>
      </w:pPr>
      <w:r w:rsidRPr="004F660A">
        <w:rPr>
          <w:lang w:eastAsia="en-AU"/>
        </w:rPr>
        <w:t>None of the above</w:t>
      </w:r>
      <w:r w:rsidR="00FE3F86" w:rsidRPr="00FE3F86">
        <w:t>.</w:t>
      </w:r>
    </w:p>
    <w:p w14:paraId="149656B9" w14:textId="2A4E8A58" w:rsidR="0060777D" w:rsidRPr="0060777D" w:rsidRDefault="0060777D" w:rsidP="0060777D">
      <w:pPr>
        <w:pStyle w:val="ListBullet"/>
        <w:numPr>
          <w:ilvl w:val="0"/>
          <w:numId w:val="0"/>
        </w:numPr>
        <w:ind w:left="360" w:hanging="360"/>
        <w:rPr>
          <w:i/>
        </w:rPr>
      </w:pPr>
      <w:r w:rsidRPr="0060777D">
        <w:rPr>
          <w:i/>
          <w:color w:val="1F497D" w:themeColor="text2"/>
        </w:rPr>
        <w:t>You must select one of the eligible options from a drop down menu to proceed to next question.</w:t>
      </w:r>
    </w:p>
    <w:p w14:paraId="65D945DE" w14:textId="67462F90" w:rsidR="00E92EB3" w:rsidRDefault="002034DF" w:rsidP="00E92EB3">
      <w:pPr>
        <w:pStyle w:val="ListBullet0ParagraphSpace"/>
      </w:pPr>
      <w:r>
        <w:t>D</w:t>
      </w:r>
      <w:r w:rsidR="00E92EB3">
        <w:t>o you agree that you will deliver your project in accordance with relevant legislation, policies and industry standards?</w:t>
      </w:r>
      <w:r w:rsidR="004F76E5" w:rsidRPr="002357A2">
        <w:rPr>
          <w:color w:val="FF0000"/>
        </w:rPr>
        <w:t>*</w:t>
      </w:r>
      <w:r w:rsidR="00E92EB3">
        <w:t xml:space="preserve"> </w:t>
      </w:r>
    </w:p>
    <w:p w14:paraId="56C14316" w14:textId="38F947A1" w:rsidR="00845EDC" w:rsidRPr="00C12C47" w:rsidRDefault="00845EDC" w:rsidP="00C12C47">
      <w:pPr>
        <w:pStyle w:val="ListBullet"/>
        <w:numPr>
          <w:ilvl w:val="0"/>
          <w:numId w:val="0"/>
        </w:numPr>
        <w:rPr>
          <w:i/>
          <w:color w:val="1F497D" w:themeColor="text2"/>
        </w:rPr>
      </w:pPr>
      <w:r w:rsidRPr="00845EDC">
        <w:rPr>
          <w:i/>
          <w:color w:val="1F497D" w:themeColor="text2"/>
        </w:rPr>
        <w:t>You must answer yes to proceed to next question.</w:t>
      </w:r>
    </w:p>
    <w:p w14:paraId="6FD91766" w14:textId="689E6697" w:rsidR="00193F0F" w:rsidRPr="002357A2" w:rsidRDefault="00D16036" w:rsidP="00193F0F">
      <w:pPr>
        <w:pStyle w:val="ListBullet"/>
      </w:pPr>
      <w:r>
        <w:t>I</w:t>
      </w:r>
      <w:r w:rsidR="002357A2" w:rsidRPr="002357A2">
        <w:t>s your project aimed at reducing the risk to and/or improving the resilience of your community against bushfire, flood and/or tropical cyclones?</w:t>
      </w:r>
      <w:r w:rsidR="002357A2" w:rsidRPr="002357A2">
        <w:rPr>
          <w:color w:val="FF0000"/>
        </w:rPr>
        <w:t>*</w:t>
      </w:r>
    </w:p>
    <w:p w14:paraId="7663896E" w14:textId="7903A336" w:rsidR="00193F0F" w:rsidRDefault="00193F0F" w:rsidP="00193F0F">
      <w:pPr>
        <w:pStyle w:val="Normalexplanatory"/>
      </w:pPr>
      <w:r w:rsidRPr="002357A2">
        <w:t xml:space="preserve">You must answer </w:t>
      </w:r>
      <w:r w:rsidR="00255E4E" w:rsidRPr="002357A2">
        <w:t xml:space="preserve">yes </w:t>
      </w:r>
      <w:r w:rsidRPr="002357A2">
        <w:t>to proceed to next question.</w:t>
      </w:r>
    </w:p>
    <w:p w14:paraId="41E2547E" w14:textId="77777777" w:rsidR="00C12C47" w:rsidRDefault="00C12C47" w:rsidP="00C12C47">
      <w:pPr>
        <w:pStyle w:val="ListBullet"/>
        <w:rPr>
          <w:rFonts w:cs="Arial"/>
        </w:rPr>
      </w:pPr>
      <w:r>
        <w:rPr>
          <w:rFonts w:cs="Arial"/>
        </w:rPr>
        <w:t xml:space="preserve">Will your proposed project </w:t>
      </w:r>
      <w:r w:rsidRPr="00EF5444">
        <w:rPr>
          <w:rFonts w:cs="Arial"/>
        </w:rPr>
        <w:t>increase the community’s ability to mitigate, avoid, withstand and/or recover from the increasing effects of tropical cyclone, bushfire or flood as a result of climate change, in a timely and efficient manner, through activities targeting or delivering resilience</w:t>
      </w:r>
      <w:r>
        <w:rPr>
          <w:rFonts w:cs="Arial"/>
        </w:rPr>
        <w:t>?</w:t>
      </w:r>
      <w:r w:rsidRPr="002357A2">
        <w:rPr>
          <w:color w:val="FF0000"/>
        </w:rPr>
        <w:t>*</w:t>
      </w:r>
    </w:p>
    <w:p w14:paraId="192A4019" w14:textId="29C674E8" w:rsidR="00036301" w:rsidRPr="002357A2" w:rsidRDefault="00036301" w:rsidP="00193F0F">
      <w:pPr>
        <w:pStyle w:val="Normalexplanatory"/>
      </w:pPr>
      <w:r w:rsidRPr="00845EDC">
        <w:rPr>
          <w:color w:val="365F91" w:themeColor="accent1" w:themeShade="BF"/>
        </w:rPr>
        <w:t>You must answer yes to proceed to next question.</w:t>
      </w:r>
    </w:p>
    <w:p w14:paraId="56AF596D" w14:textId="6D11CC78" w:rsidR="00193F0F" w:rsidRPr="00845EDC" w:rsidRDefault="00D16036" w:rsidP="004E78F2">
      <w:pPr>
        <w:pStyle w:val="ListBullet"/>
      </w:pPr>
      <w:r>
        <w:t>D</w:t>
      </w:r>
      <w:r w:rsidR="002357A2" w:rsidRPr="002357A2">
        <w:t>oes your project have at least $20,000 in eligible project expenditure</w:t>
      </w:r>
      <w:r w:rsidR="002357A2">
        <w:t>?</w:t>
      </w:r>
      <w:r w:rsidR="002357A2" w:rsidRPr="002357A2">
        <w:rPr>
          <w:color w:val="FF0000"/>
        </w:rPr>
        <w:t>*</w:t>
      </w:r>
    </w:p>
    <w:p w14:paraId="7B1E09C7" w14:textId="674B0BD5" w:rsidR="00193F0F" w:rsidRPr="002357A2" w:rsidRDefault="00845EDC" w:rsidP="00845EDC">
      <w:pPr>
        <w:pStyle w:val="Normalexplanatory"/>
      </w:pPr>
      <w:r>
        <w:t xml:space="preserve">You </w:t>
      </w:r>
      <w:r w:rsidR="00D06586" w:rsidRPr="002357A2">
        <w:t>must answer yes</w:t>
      </w:r>
      <w:r w:rsidR="00193F0F" w:rsidRPr="002357A2">
        <w:t xml:space="preserve"> to proceed to next question.</w:t>
      </w:r>
    </w:p>
    <w:p w14:paraId="32088193" w14:textId="0B74C294" w:rsidR="00EF5444" w:rsidRDefault="006402CA" w:rsidP="00EF5444">
      <w:pPr>
        <w:pStyle w:val="ListBullet"/>
        <w:spacing w:before="40" w:after="80"/>
        <w:rPr>
          <w:rFonts w:cs="Arial"/>
        </w:rPr>
      </w:pPr>
      <w:r>
        <w:rPr>
          <w:rFonts w:cs="Arial"/>
        </w:rPr>
        <w:t>A</w:t>
      </w:r>
      <w:r w:rsidR="00EF5444">
        <w:rPr>
          <w:rFonts w:cs="Arial"/>
        </w:rPr>
        <w:t>re you able to provide all mandatory attachments as outlined in section 8.2 of the grant opportunity guidelines?</w:t>
      </w:r>
      <w:r w:rsidR="004F76E5" w:rsidRPr="002357A2">
        <w:rPr>
          <w:color w:val="FF0000"/>
        </w:rPr>
        <w:t>*</w:t>
      </w:r>
    </w:p>
    <w:p w14:paraId="17FC307E" w14:textId="7A8A6A85" w:rsidR="00C44A8F" w:rsidRPr="00C44A8F" w:rsidRDefault="00C44A8F" w:rsidP="00C44A8F">
      <w:pPr>
        <w:rPr>
          <w:i/>
          <w:color w:val="365F91" w:themeColor="accent1" w:themeShade="BF"/>
        </w:rPr>
      </w:pPr>
      <w:r w:rsidRPr="00C44A8F">
        <w:rPr>
          <w:i/>
          <w:color w:val="365F91" w:themeColor="accent1" w:themeShade="BF"/>
        </w:rPr>
        <w:t>You must answer yes to proceed to next question.</w:t>
      </w:r>
    </w:p>
    <w:p w14:paraId="440DC531" w14:textId="77777777" w:rsidR="009B09BC" w:rsidRDefault="009B09BC" w:rsidP="006B2994">
      <w:pPr>
        <w:pStyle w:val="ListBullet"/>
        <w:rPr>
          <w:color w:val="FF0000"/>
        </w:rPr>
      </w:pPr>
      <w:r w:rsidRPr="00366A7A">
        <w:lastRenderedPageBreak/>
        <w:t xml:space="preserve">Can </w:t>
      </w:r>
      <w:r w:rsidRPr="006B2994">
        <w:rPr>
          <w:rFonts w:cs="Arial"/>
        </w:rPr>
        <w:t>you</w:t>
      </w:r>
      <w:r w:rsidRPr="00366A7A">
        <w:t xml:space="preserve"> declare that you and any project partner/s are not included on the National Redress Scheme’s list of ‘Institutions that have not joined or signified their intent to join the Scheme’</w:t>
      </w:r>
      <w:r>
        <w:t xml:space="preserve"> (see </w:t>
      </w:r>
      <w:hyperlink r:id="rId24" w:history="1">
        <w:r w:rsidRPr="00A9637F">
          <w:rPr>
            <w:rStyle w:val="Hyperlink"/>
          </w:rPr>
          <w:t>website</w:t>
        </w:r>
      </w:hyperlink>
      <w:r>
        <w:rPr>
          <w:rStyle w:val="Hyperlink"/>
        </w:rPr>
        <w:t>:</w:t>
      </w:r>
      <w:r w:rsidRPr="00D935F7">
        <w:t xml:space="preserve"> </w:t>
      </w:r>
      <w:r w:rsidRPr="00D935F7">
        <w:rPr>
          <w:rStyle w:val="Hyperlink"/>
        </w:rPr>
        <w:t>https://www.nationalredress.gov.au/</w:t>
      </w:r>
      <w:r>
        <w:t>)?</w:t>
      </w:r>
      <w:hyperlink r:id="rId25" w:history="1">
        <w:r w:rsidRPr="00864086">
          <w:rPr>
            <w:rStyle w:val="Hyperlink"/>
            <w:color w:val="FF0000"/>
            <w:u w:val="none"/>
          </w:rPr>
          <w:t>*</w:t>
        </w:r>
      </w:hyperlink>
    </w:p>
    <w:p w14:paraId="1A2DFD72" w14:textId="77777777" w:rsidR="009B09BC" w:rsidRPr="0069713F" w:rsidRDefault="009B09BC" w:rsidP="009B09BC">
      <w:pPr>
        <w:pStyle w:val="Normalexplanatory"/>
      </w:pPr>
      <w:r w:rsidRPr="0069713F">
        <w:t>You must answer yes to proceed to next question.</w:t>
      </w:r>
    </w:p>
    <w:p w14:paraId="7160C9A4" w14:textId="77777777" w:rsidR="009B09BC" w:rsidRPr="00842A18" w:rsidRDefault="009B09BC" w:rsidP="006B2994">
      <w:pPr>
        <w:pStyle w:val="ListBullet"/>
        <w:rPr>
          <w:i/>
        </w:rPr>
      </w:pPr>
      <w:r w:rsidRPr="006B2994">
        <w:rPr>
          <w:rFonts w:cs="Arial"/>
        </w:rPr>
        <w:t>Can</w:t>
      </w:r>
      <w:r w:rsidRPr="00366A7A">
        <w:t xml:space="preserve"> you declare that you and any project partner/s have not been named by the Workplace Gender Equality Agency as an organisation that has not complied with </w:t>
      </w:r>
      <w:r>
        <w:t xml:space="preserve">the </w:t>
      </w:r>
      <w:r w:rsidRPr="000C7FF0">
        <w:rPr>
          <w:i/>
        </w:rPr>
        <w:t>Workplace Gender Equality Act (2012)</w:t>
      </w:r>
      <w:r>
        <w:rPr>
          <w:i/>
        </w:rPr>
        <w:t xml:space="preserve"> </w:t>
      </w:r>
      <w:r w:rsidRPr="00FC3B47">
        <w:t xml:space="preserve">(see </w:t>
      </w:r>
      <w:hyperlink r:id="rId26" w:history="1">
        <w:r w:rsidRPr="00FC3B47">
          <w:rPr>
            <w:rStyle w:val="Hyperlink"/>
          </w:rPr>
          <w:t>website</w:t>
        </w:r>
      </w:hyperlink>
      <w:r>
        <w:rPr>
          <w:rStyle w:val="Hyperlink"/>
        </w:rPr>
        <w:t xml:space="preserve">: </w:t>
      </w:r>
      <w:r w:rsidRPr="00D935F7">
        <w:rPr>
          <w:rStyle w:val="Hyperlink"/>
        </w:rPr>
        <w:t>https://www.wgea.gov.au/what-we-do/compliance-reporting/non-compliant-list</w:t>
      </w:r>
      <w:r w:rsidRPr="00FC3B47">
        <w:t>)</w:t>
      </w:r>
      <w:r w:rsidRPr="00366A7A">
        <w:t>.</w:t>
      </w:r>
      <w:r w:rsidRPr="00377856">
        <w:rPr>
          <w:color w:val="FF0000"/>
        </w:rPr>
        <w:t>*</w:t>
      </w:r>
    </w:p>
    <w:p w14:paraId="29249782" w14:textId="77777777" w:rsidR="009B09BC" w:rsidRDefault="009B09BC" w:rsidP="009B09BC">
      <w:pPr>
        <w:pStyle w:val="Normalexplanatory"/>
      </w:pPr>
      <w:r>
        <w:t>Select from the drop down list</w:t>
      </w:r>
    </w:p>
    <w:p w14:paraId="7BD524AC" w14:textId="77777777" w:rsidR="009B09BC" w:rsidRDefault="009B09BC" w:rsidP="009B09BC">
      <w:pPr>
        <w:pStyle w:val="Normalexplanatory"/>
      </w:pPr>
      <w:r>
        <w:t>Yes or No.</w:t>
      </w:r>
    </w:p>
    <w:p w14:paraId="486BB26A" w14:textId="3DEF4835" w:rsidR="00C12C47" w:rsidRPr="0069713F" w:rsidRDefault="00C12C47" w:rsidP="00C12C47">
      <w:pPr>
        <w:pStyle w:val="Normalexplanatory"/>
      </w:pPr>
      <w:r w:rsidRPr="0069713F">
        <w:t>You must answer yes to proceed.</w:t>
      </w:r>
    </w:p>
    <w:p w14:paraId="556D0783" w14:textId="77777777" w:rsidR="00612CBA" w:rsidRPr="00845EDC" w:rsidRDefault="00612CBA" w:rsidP="00612CBA">
      <w:pPr>
        <w:pStyle w:val="ListBullet"/>
        <w:spacing w:before="40" w:after="80"/>
        <w:rPr>
          <w:rFonts w:cs="Arial"/>
        </w:rPr>
      </w:pPr>
      <w:r>
        <w:rPr>
          <w:rFonts w:cs="Arial"/>
        </w:rPr>
        <w:t>Are you able to meet your share of project costs and provide evidence of your cash or in kind contribution?</w:t>
      </w:r>
      <w:r w:rsidRPr="002357A2">
        <w:rPr>
          <w:color w:val="FF0000"/>
        </w:rPr>
        <w:t>*</w:t>
      </w:r>
    </w:p>
    <w:p w14:paraId="52C5FF03" w14:textId="77777777" w:rsidR="00612CBA" w:rsidRPr="00845EDC" w:rsidRDefault="00612CBA" w:rsidP="00612CBA">
      <w:pPr>
        <w:pStyle w:val="ListBullet"/>
        <w:numPr>
          <w:ilvl w:val="0"/>
          <w:numId w:val="0"/>
        </w:numPr>
        <w:rPr>
          <w:i/>
          <w:color w:val="264F90"/>
        </w:rPr>
      </w:pPr>
      <w:r w:rsidRPr="00845EDC">
        <w:rPr>
          <w:i/>
          <w:color w:val="264F90"/>
        </w:rPr>
        <w:t>Select from the drop down list</w:t>
      </w:r>
    </w:p>
    <w:p w14:paraId="10D4E870" w14:textId="77777777" w:rsidR="00612CBA" w:rsidRPr="00845EDC" w:rsidRDefault="00612CBA" w:rsidP="00612CBA">
      <w:pPr>
        <w:pStyle w:val="ListBullet"/>
        <w:numPr>
          <w:ilvl w:val="0"/>
          <w:numId w:val="0"/>
        </w:numPr>
        <w:ind w:left="360" w:hanging="360"/>
        <w:rPr>
          <w:i/>
          <w:color w:val="264F90"/>
        </w:rPr>
      </w:pPr>
      <w:r w:rsidRPr="00845EDC">
        <w:rPr>
          <w:i/>
          <w:color w:val="264F90"/>
        </w:rPr>
        <w:t>Yes or No or Not Applicable</w:t>
      </w:r>
    </w:p>
    <w:p w14:paraId="52E5DC11" w14:textId="77777777" w:rsidR="00612CBA" w:rsidRDefault="00612CBA" w:rsidP="00612CBA">
      <w:pPr>
        <w:pStyle w:val="Normalexplanatory"/>
      </w:pPr>
      <w:r w:rsidRPr="002357A2">
        <w:t>You must answer yes</w:t>
      </w:r>
      <w:r>
        <w:t xml:space="preserve">, no or not applicable to proceed to next question. See section 3.1 of the grant opportunity guidelines to determine if you are required to provide a co-contribution to your project. </w:t>
      </w:r>
    </w:p>
    <w:p w14:paraId="573847AC" w14:textId="77777777" w:rsidR="00612CBA" w:rsidRPr="00845EDC" w:rsidRDefault="00612CBA" w:rsidP="00612CBA">
      <w:pPr>
        <w:pStyle w:val="ListBullet"/>
        <w:spacing w:before="40" w:after="80"/>
      </w:pPr>
      <w:r>
        <w:t xml:space="preserve">Are any required approvals planned for or already in place in order to commence your project </w:t>
      </w:r>
      <w:r w:rsidRPr="00D5014B">
        <w:t xml:space="preserve">around </w:t>
      </w:r>
      <w:r>
        <w:t xml:space="preserve">May </w:t>
      </w:r>
      <w:r w:rsidRPr="00D5014B">
        <w:t>2022</w:t>
      </w:r>
      <w:r>
        <w:t>?</w:t>
      </w:r>
      <w:r w:rsidRPr="002357A2">
        <w:rPr>
          <w:color w:val="FF0000"/>
        </w:rPr>
        <w:t>*</w:t>
      </w:r>
    </w:p>
    <w:p w14:paraId="252286F9" w14:textId="77777777" w:rsidR="00612CBA" w:rsidRPr="00845EDC" w:rsidRDefault="00612CBA" w:rsidP="00612CBA">
      <w:pPr>
        <w:pStyle w:val="Normalexplanatory"/>
      </w:pPr>
      <w:r w:rsidRPr="00845EDC">
        <w:t>Select from the drop down list</w:t>
      </w:r>
    </w:p>
    <w:p w14:paraId="38A0D11B" w14:textId="77777777" w:rsidR="00612CBA" w:rsidRPr="00BE2BD9" w:rsidRDefault="00612CBA" w:rsidP="00612CBA">
      <w:pPr>
        <w:pStyle w:val="Normalexplanatory"/>
      </w:pPr>
      <w:r w:rsidRPr="00845EDC">
        <w:t>Yes or No</w:t>
      </w:r>
      <w:r>
        <w:t xml:space="preserve"> or Not Applicable</w:t>
      </w:r>
    </w:p>
    <w:p w14:paraId="3CC9DF79" w14:textId="6A9D9204" w:rsidR="00685284" w:rsidRDefault="00612CBA" w:rsidP="00685284">
      <w:pPr>
        <w:pStyle w:val="Normalexplanatory"/>
      </w:pPr>
      <w:r w:rsidRPr="002357A2">
        <w:t xml:space="preserve">You must answer yes to proceed to next </w:t>
      </w:r>
      <w:r w:rsidR="001636AD">
        <w:t>section</w:t>
      </w:r>
      <w:r w:rsidRPr="002357A2">
        <w:t>.</w:t>
      </w:r>
    </w:p>
    <w:p w14:paraId="278EE852" w14:textId="4ADBBB7E" w:rsidR="00685284" w:rsidRPr="00845EDC" w:rsidRDefault="00685284" w:rsidP="00685284">
      <w:pPr>
        <w:pStyle w:val="ListBullet"/>
      </w:pPr>
      <w:r w:rsidRPr="00685284">
        <w:t>Can you confirm that you are only submitting one application to the Preparing Australian Communities Program – Local</w:t>
      </w:r>
      <w:r>
        <w:t>?</w:t>
      </w:r>
      <w:r w:rsidRPr="002357A2">
        <w:rPr>
          <w:color w:val="FF0000"/>
        </w:rPr>
        <w:t>*</w:t>
      </w:r>
    </w:p>
    <w:p w14:paraId="4AADF5D0" w14:textId="57ECC1E8" w:rsidR="000B6DC2" w:rsidRPr="00685284" w:rsidRDefault="00685284" w:rsidP="00685284">
      <w:pPr>
        <w:tabs>
          <w:tab w:val="left" w:pos="6237"/>
          <w:tab w:val="left" w:pos="7938"/>
        </w:tabs>
        <w:rPr>
          <w:i/>
          <w:color w:val="264F90"/>
          <w:lang w:eastAsia="en-AU"/>
        </w:rPr>
      </w:pPr>
      <w:r w:rsidRPr="00685284">
        <w:rPr>
          <w:i/>
          <w:color w:val="264F90"/>
          <w:lang w:eastAsia="en-AU"/>
        </w:rPr>
        <w:t>You must answer yes to proceed to next section</w:t>
      </w:r>
      <w:r w:rsidR="006A2367">
        <w:rPr>
          <w:i/>
          <w:color w:val="264F90"/>
          <w:lang w:eastAsia="en-AU"/>
        </w:rPr>
        <w:t>.</w:t>
      </w:r>
    </w:p>
    <w:p w14:paraId="1B64DDA9" w14:textId="77777777" w:rsidR="00D16036" w:rsidRDefault="00D16036" w:rsidP="0096090D">
      <w:pPr>
        <w:tabs>
          <w:tab w:val="left" w:pos="6237"/>
          <w:tab w:val="left" w:pos="7938"/>
        </w:tabs>
        <w:sectPr w:rsidR="00D16036"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7"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8"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77777777"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297563D" w14:textId="77777777" w:rsidR="003250C3" w:rsidRDefault="003250C3"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19A872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009117E5">
        <w:rPr>
          <w:rStyle w:val="Hyperlink"/>
        </w:rPr>
        <w:fldChar w:fldCharType="begin"/>
      </w:r>
      <w:r w:rsidR="009117E5">
        <w:rPr>
          <w:rStyle w:val="Hyperlink"/>
        </w:rPr>
        <w:instrText xml:space="preserve"> HYPERLINK "http://www.grants.gov.au/" </w:instrText>
      </w:r>
      <w:r w:rsidR="009117E5">
        <w:rPr>
          <w:rStyle w:val="Hyperlink"/>
        </w:rPr>
      </w:r>
      <w:r w:rsidR="009117E5">
        <w:rPr>
          <w:rStyle w:val="Hyperlink"/>
        </w:rPr>
        <w:fldChar w:fldCharType="separate"/>
      </w:r>
      <w:r w:rsidRPr="009117E5">
        <w:rPr>
          <w:rStyle w:val="Hyperlink"/>
        </w:rPr>
        <w:t>GrantConnect</w:t>
      </w:r>
      <w:r w:rsidR="009117E5">
        <w:rPr>
          <w:rStyle w:val="Hyperlink"/>
        </w:rPr>
        <w:fldChar w:fldCharType="end"/>
      </w:r>
      <w:bookmarkStart w:id="1" w:name="_GoBack"/>
      <w:bookmarkEnd w:id="1"/>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04F25E3C" w14:textId="5EA5EEBA" w:rsidR="00DA03F5" w:rsidRDefault="00646A76" w:rsidP="00DA03F5">
      <w:pPr>
        <w:pStyle w:val="Heading3"/>
      </w:pPr>
      <w:r>
        <w:t>Natural hazard</w:t>
      </w:r>
    </w:p>
    <w:p w14:paraId="6115C60A" w14:textId="1272FA53" w:rsidR="00DA03F5" w:rsidRDefault="00DA03F5" w:rsidP="00DA03F5">
      <w:pPr>
        <w:rPr>
          <w:lang w:eastAsia="en-AU"/>
        </w:rPr>
      </w:pPr>
      <w:r w:rsidRPr="004F76E5">
        <w:rPr>
          <w:lang w:eastAsia="en-AU"/>
        </w:rPr>
        <w:t xml:space="preserve">Identify the </w:t>
      </w:r>
      <w:r w:rsidR="00646A76">
        <w:rPr>
          <w:lang w:eastAsia="en-AU"/>
        </w:rPr>
        <w:t xml:space="preserve">natural hazard/s </w:t>
      </w:r>
      <w:r w:rsidRPr="004F76E5">
        <w:rPr>
          <w:lang w:eastAsia="en-AU"/>
        </w:rPr>
        <w:t xml:space="preserve">your project will </w:t>
      </w:r>
      <w:r w:rsidR="00646A76">
        <w:rPr>
          <w:lang w:eastAsia="en-AU"/>
        </w:rPr>
        <w:t xml:space="preserve">be aimed at reducing the risk of and/or improving the resilience of your community against: </w:t>
      </w:r>
    </w:p>
    <w:p w14:paraId="602F99C8" w14:textId="53A88439" w:rsidR="00DA03F5" w:rsidRPr="008A4BE2" w:rsidRDefault="00DA03F5" w:rsidP="008A4BE2">
      <w:pPr>
        <w:rPr>
          <w:i/>
          <w:color w:val="365F91" w:themeColor="accent1" w:themeShade="BF"/>
        </w:rPr>
      </w:pPr>
      <w:r w:rsidRPr="008A4BE2">
        <w:rPr>
          <w:i/>
          <w:color w:val="365F91" w:themeColor="accent1" w:themeShade="BF"/>
        </w:rPr>
        <w:t xml:space="preserve">You may choose one or more </w:t>
      </w:r>
      <w:r w:rsidR="00646A76" w:rsidRPr="008A4BE2">
        <w:rPr>
          <w:i/>
          <w:color w:val="365F91" w:themeColor="accent1" w:themeShade="BF"/>
        </w:rPr>
        <w:t>natural hazard/s</w:t>
      </w:r>
      <w:r w:rsidRPr="008A4BE2">
        <w:rPr>
          <w:i/>
          <w:color w:val="365F91" w:themeColor="accent1" w:themeShade="BF"/>
        </w:rPr>
        <w:t>.</w:t>
      </w:r>
    </w:p>
    <w:p w14:paraId="39D0F9FB" w14:textId="2830ECC9" w:rsidR="006F55E5" w:rsidRDefault="00B81740" w:rsidP="00646A76">
      <w:pPr>
        <w:pStyle w:val="ListBullet"/>
      </w:pPr>
      <w:r>
        <w:t>B</w:t>
      </w:r>
      <w:r w:rsidR="00646A76" w:rsidRPr="002357A2">
        <w:t>ushfire</w:t>
      </w:r>
    </w:p>
    <w:p w14:paraId="6CA8B212" w14:textId="77F89C81" w:rsidR="006F55E5" w:rsidRDefault="00B81740" w:rsidP="00646A76">
      <w:pPr>
        <w:pStyle w:val="ListBullet"/>
      </w:pPr>
      <w:r>
        <w:t>F</w:t>
      </w:r>
      <w:r w:rsidR="00646A76" w:rsidRPr="002357A2">
        <w:t xml:space="preserve">lood </w:t>
      </w:r>
    </w:p>
    <w:p w14:paraId="0C9B6489" w14:textId="1798F7A1" w:rsidR="00646A76" w:rsidRPr="002357A2" w:rsidRDefault="00B81740" w:rsidP="00646A76">
      <w:pPr>
        <w:pStyle w:val="ListBullet"/>
      </w:pPr>
      <w:r>
        <w:t>T</w:t>
      </w:r>
      <w:r w:rsidR="00646A76" w:rsidRPr="002357A2">
        <w:t>ropical cyclones</w:t>
      </w:r>
    </w:p>
    <w:p w14:paraId="3CFDD0F7" w14:textId="5866EE35" w:rsidR="00C64F48" w:rsidRDefault="00C64F48" w:rsidP="004E78F2">
      <w:pPr>
        <w:pStyle w:val="Heading3"/>
      </w:pPr>
      <w:r>
        <w:t xml:space="preserve">Project </w:t>
      </w:r>
      <w:r w:rsidR="004F76E5">
        <w:t>domains</w:t>
      </w:r>
    </w:p>
    <w:p w14:paraId="4861F7AC" w14:textId="77777777" w:rsidR="005C76AB" w:rsidRPr="004F76E5" w:rsidRDefault="005C76AB" w:rsidP="00C64F48">
      <w:pPr>
        <w:rPr>
          <w:lang w:eastAsia="en-AU"/>
        </w:rPr>
      </w:pPr>
      <w:r w:rsidRPr="004F76E5">
        <w:rPr>
          <w:lang w:eastAsia="en-AU"/>
        </w:rPr>
        <w:t>Identify which of the following domain/s your project will fall under:</w:t>
      </w:r>
    </w:p>
    <w:p w14:paraId="1772B31C" w14:textId="009327AA" w:rsidR="005C76AB" w:rsidRPr="008A4BE2" w:rsidRDefault="005C76AB" w:rsidP="008A4BE2">
      <w:pPr>
        <w:rPr>
          <w:i/>
          <w:color w:val="365F91" w:themeColor="accent1" w:themeShade="BF"/>
          <w:lang w:eastAsia="en-AU"/>
        </w:rPr>
      </w:pPr>
      <w:r w:rsidRPr="008A4BE2">
        <w:rPr>
          <w:i/>
          <w:color w:val="365F91" w:themeColor="accent1" w:themeShade="BF"/>
          <w:lang w:eastAsia="en-AU"/>
        </w:rPr>
        <w:t>You may choose one or more domains relevant to your project.</w:t>
      </w:r>
    </w:p>
    <w:p w14:paraId="380353CA" w14:textId="3AF9B4CB" w:rsidR="005C76AB" w:rsidRPr="00F41EB5" w:rsidRDefault="00B81740" w:rsidP="004F660A">
      <w:pPr>
        <w:numPr>
          <w:ilvl w:val="0"/>
          <w:numId w:val="9"/>
        </w:numPr>
        <w:spacing w:after="80"/>
        <w:rPr>
          <w:rFonts w:eastAsia="Times New Roman" w:cs="Times New Roman"/>
          <w:szCs w:val="24"/>
        </w:rPr>
      </w:pPr>
      <w:r w:rsidRPr="00F41EB5">
        <w:rPr>
          <w:rFonts w:eastAsia="Times New Roman" w:cs="Times New Roman"/>
          <w:szCs w:val="24"/>
        </w:rPr>
        <w:t>S</w:t>
      </w:r>
      <w:r w:rsidR="005C76AB" w:rsidRPr="00F41EB5">
        <w:rPr>
          <w:rFonts w:eastAsia="Times New Roman" w:cs="Times New Roman"/>
          <w:szCs w:val="24"/>
        </w:rPr>
        <w:t>ocial environment</w:t>
      </w:r>
    </w:p>
    <w:p w14:paraId="72B2435F" w14:textId="59005D31" w:rsidR="005C76AB" w:rsidRPr="005C76AB" w:rsidRDefault="00B81740" w:rsidP="00FE3F86">
      <w:pPr>
        <w:numPr>
          <w:ilvl w:val="0"/>
          <w:numId w:val="9"/>
        </w:numPr>
        <w:spacing w:after="80"/>
        <w:rPr>
          <w:rFonts w:eastAsia="Times New Roman" w:cs="Times New Roman"/>
          <w:szCs w:val="24"/>
        </w:rPr>
      </w:pPr>
      <w:r>
        <w:rPr>
          <w:rFonts w:eastAsia="Times New Roman" w:cs="Times New Roman"/>
          <w:szCs w:val="24"/>
        </w:rPr>
        <w:t>E</w:t>
      </w:r>
      <w:r w:rsidR="005C76AB" w:rsidRPr="005C76AB">
        <w:rPr>
          <w:rFonts w:eastAsia="Times New Roman" w:cs="Times New Roman"/>
          <w:szCs w:val="24"/>
        </w:rPr>
        <w:t>conomic environment</w:t>
      </w:r>
    </w:p>
    <w:p w14:paraId="3BCF8F4B" w14:textId="799398AB" w:rsidR="005C76AB" w:rsidRPr="005C76AB" w:rsidRDefault="00B81740" w:rsidP="00FE3F86">
      <w:pPr>
        <w:numPr>
          <w:ilvl w:val="0"/>
          <w:numId w:val="9"/>
        </w:numPr>
        <w:spacing w:after="80"/>
        <w:rPr>
          <w:rFonts w:eastAsia="Times New Roman" w:cs="Times New Roman"/>
          <w:szCs w:val="24"/>
        </w:rPr>
      </w:pPr>
      <w:r>
        <w:rPr>
          <w:rFonts w:eastAsia="Times New Roman" w:cs="Times New Roman"/>
          <w:szCs w:val="24"/>
        </w:rPr>
        <w:t>N</w:t>
      </w:r>
      <w:r w:rsidR="005C76AB" w:rsidRPr="005C76AB">
        <w:rPr>
          <w:rFonts w:eastAsia="Times New Roman" w:cs="Times New Roman"/>
          <w:szCs w:val="24"/>
        </w:rPr>
        <w:t xml:space="preserve">atural environment </w:t>
      </w:r>
    </w:p>
    <w:p w14:paraId="65C57868" w14:textId="1EB96CD7" w:rsidR="00B81740" w:rsidRDefault="00B81740" w:rsidP="00FE3F86">
      <w:pPr>
        <w:numPr>
          <w:ilvl w:val="0"/>
          <w:numId w:val="9"/>
        </w:numPr>
        <w:spacing w:after="80"/>
        <w:rPr>
          <w:rFonts w:eastAsia="Times New Roman" w:cs="Times New Roman"/>
          <w:szCs w:val="24"/>
        </w:rPr>
      </w:pPr>
      <w:r>
        <w:rPr>
          <w:rFonts w:eastAsia="Times New Roman" w:cs="Times New Roman"/>
          <w:szCs w:val="24"/>
        </w:rPr>
        <w:t>B</w:t>
      </w:r>
      <w:r w:rsidR="005C76AB" w:rsidRPr="005C76AB">
        <w:rPr>
          <w:rFonts w:eastAsia="Times New Roman" w:cs="Times New Roman"/>
          <w:szCs w:val="24"/>
        </w:rPr>
        <w:t xml:space="preserve">uilt environment </w:t>
      </w:r>
    </w:p>
    <w:p w14:paraId="663C61AD" w14:textId="4981855A" w:rsidR="00F41EB5" w:rsidRPr="00F41EB5" w:rsidRDefault="00F41EB5" w:rsidP="00F41EB5">
      <w:pPr>
        <w:rPr>
          <w:i/>
          <w:color w:val="365F91" w:themeColor="accent1" w:themeShade="BF"/>
        </w:rPr>
      </w:pPr>
      <w:r>
        <w:rPr>
          <w:i/>
          <w:color w:val="365F91" w:themeColor="accent1" w:themeShade="BF"/>
        </w:rPr>
        <w:t>S</w:t>
      </w:r>
      <w:r w:rsidRPr="00F41EB5">
        <w:rPr>
          <w:i/>
          <w:color w:val="365F91" w:themeColor="accent1" w:themeShade="BF"/>
        </w:rPr>
        <w:t>ocial environment - increasing the community’s social resilience to relevant natural hazards. This may include</w:t>
      </w:r>
      <w:r w:rsidRPr="00F41EB5" w:rsidDel="00030809">
        <w:rPr>
          <w:i/>
          <w:color w:val="365F91" w:themeColor="accent1" w:themeShade="BF"/>
        </w:rPr>
        <w:t xml:space="preserve"> </w:t>
      </w:r>
      <w:r w:rsidRPr="00F41EB5">
        <w:rPr>
          <w:i/>
          <w:color w:val="365F91" w:themeColor="accent1" w:themeShade="BF"/>
        </w:rPr>
        <w:t xml:space="preserve">projects that strengthen social networks or essential services that enable the community to continue functioning in the event of a disaster, or support health, wellbeing and social recovery following an event </w:t>
      </w:r>
    </w:p>
    <w:p w14:paraId="357C076F" w14:textId="6B145E90" w:rsidR="00F41EB5" w:rsidRPr="00F41EB5" w:rsidRDefault="00F41EB5" w:rsidP="00F41EB5">
      <w:pPr>
        <w:rPr>
          <w:i/>
          <w:color w:val="365F91" w:themeColor="accent1" w:themeShade="BF"/>
        </w:rPr>
      </w:pPr>
      <w:r>
        <w:rPr>
          <w:i/>
          <w:color w:val="365F91" w:themeColor="accent1" w:themeShade="BF"/>
        </w:rPr>
        <w:t>E</w:t>
      </w:r>
      <w:r w:rsidRPr="00F41EB5">
        <w:rPr>
          <w:i/>
          <w:color w:val="365F91" w:themeColor="accent1" w:themeShade="BF"/>
        </w:rPr>
        <w:t>conomic environment - improving the ability of the local economy to withstand and recover from relevant natural hazards. This may include</w:t>
      </w:r>
      <w:r w:rsidRPr="00F41EB5" w:rsidDel="00030809">
        <w:rPr>
          <w:i/>
          <w:color w:val="365F91" w:themeColor="accent1" w:themeShade="BF"/>
        </w:rPr>
        <w:t xml:space="preserve"> </w:t>
      </w:r>
      <w:r w:rsidRPr="00F41EB5">
        <w:rPr>
          <w:i/>
          <w:color w:val="365F91" w:themeColor="accent1" w:themeShade="BF"/>
        </w:rPr>
        <w:t xml:space="preserve">projects that enable businesses to continue operating in the event of a disaster or reduce their vulnerability to the economic shocks associated with particular kinds of hazards </w:t>
      </w:r>
    </w:p>
    <w:p w14:paraId="72360224" w14:textId="753C978B" w:rsidR="00F41EB5" w:rsidRPr="00F41EB5" w:rsidRDefault="00F41EB5" w:rsidP="00F41EB5">
      <w:pPr>
        <w:rPr>
          <w:i/>
          <w:color w:val="365F91" w:themeColor="accent1" w:themeShade="BF"/>
        </w:rPr>
      </w:pPr>
      <w:r>
        <w:rPr>
          <w:i/>
          <w:color w:val="365F91" w:themeColor="accent1" w:themeShade="BF"/>
        </w:rPr>
        <w:t>N</w:t>
      </w:r>
      <w:r w:rsidRPr="00F41EB5">
        <w:rPr>
          <w:i/>
          <w:color w:val="365F91" w:themeColor="accent1" w:themeShade="BF"/>
        </w:rPr>
        <w:t>atural environment - increasing the disaster resilience of and/or reducing the disaster risk to natural assets such as wetlands, rivers, land, forests, oceans, other complex natural ecosystems, agriculture, and water sources</w:t>
      </w:r>
    </w:p>
    <w:p w14:paraId="7DF11A88" w14:textId="36B449A1" w:rsidR="00F41EB5" w:rsidRPr="00F41EB5" w:rsidRDefault="00F41EB5" w:rsidP="00F41EB5">
      <w:pPr>
        <w:rPr>
          <w:i/>
          <w:color w:val="365F91" w:themeColor="accent1" w:themeShade="BF"/>
        </w:rPr>
      </w:pPr>
      <w:r>
        <w:rPr>
          <w:i/>
          <w:color w:val="365F91" w:themeColor="accent1" w:themeShade="BF"/>
        </w:rPr>
        <w:t>B</w:t>
      </w:r>
      <w:r w:rsidRPr="00F41EB5">
        <w:rPr>
          <w:i/>
          <w:color w:val="365F91" w:themeColor="accent1" w:themeShade="BF"/>
        </w:rPr>
        <w:t>uilt environment - increasing the disaster resilience of and/or reducing the disaster risk to infrastructure assets such as transport, energy and telecommunications, utilities, housing, cultural and commercial precincts, and other assets. This might involve, for example, projects designed to reduce the risk of local infrastructure sustaining damage in the event of a relevant hazard event, or enable it to continue functioning (or quickly resume functioning) following an event</w:t>
      </w:r>
    </w:p>
    <w:p w14:paraId="52A5262F" w14:textId="1EEC0B57" w:rsidR="004F76E5" w:rsidRDefault="004F76E5" w:rsidP="004F76E5">
      <w:pPr>
        <w:pStyle w:val="Heading3"/>
      </w:pPr>
      <w:r>
        <w:lastRenderedPageBreak/>
        <w:t>Project category</w:t>
      </w:r>
    </w:p>
    <w:p w14:paraId="21975DD0" w14:textId="6B28B829" w:rsidR="00C64F48" w:rsidRPr="004F76E5" w:rsidRDefault="00C64F48" w:rsidP="00C64F48">
      <w:pPr>
        <w:rPr>
          <w:lang w:eastAsia="en-AU"/>
        </w:rPr>
      </w:pPr>
      <w:r w:rsidRPr="004F76E5">
        <w:rPr>
          <w:lang w:eastAsia="en-AU"/>
        </w:rPr>
        <w:t xml:space="preserve">Identify which category your project will fall under: </w:t>
      </w:r>
    </w:p>
    <w:p w14:paraId="70CC83D1" w14:textId="5642F5B0" w:rsidR="00B81740" w:rsidRDefault="00C64F48" w:rsidP="00C64F48">
      <w:pPr>
        <w:rPr>
          <w:i/>
          <w:color w:val="1F497D" w:themeColor="text2"/>
        </w:rPr>
      </w:pPr>
      <w:r w:rsidRPr="00C64F48">
        <w:rPr>
          <w:i/>
          <w:color w:val="1F497D" w:themeColor="text2"/>
        </w:rPr>
        <w:t xml:space="preserve">Your project may have elements of more than one category. However, you must nominate which of these </w:t>
      </w:r>
      <w:r>
        <w:rPr>
          <w:i/>
          <w:color w:val="1F497D" w:themeColor="text2"/>
        </w:rPr>
        <w:t>categories is the most relevant.</w:t>
      </w:r>
    </w:p>
    <w:p w14:paraId="4A2C5850" w14:textId="5D8075F3" w:rsidR="00C64F48" w:rsidRDefault="00C64F48" w:rsidP="00C64F48">
      <w:pPr>
        <w:pStyle w:val="ListBullet"/>
        <w:numPr>
          <w:ilvl w:val="0"/>
          <w:numId w:val="9"/>
        </w:numPr>
        <w:spacing w:before="40" w:after="120"/>
      </w:pPr>
      <w:r>
        <w:t xml:space="preserve">Planning </w:t>
      </w:r>
    </w:p>
    <w:p w14:paraId="2244D606" w14:textId="2439E1BE" w:rsidR="00C64F48" w:rsidRDefault="00C64F48" w:rsidP="00C64F48">
      <w:pPr>
        <w:pStyle w:val="ListBullet"/>
        <w:numPr>
          <w:ilvl w:val="0"/>
          <w:numId w:val="9"/>
        </w:numPr>
        <w:spacing w:before="40" w:after="120"/>
      </w:pPr>
      <w:r>
        <w:t xml:space="preserve">Awareness and capacity </w:t>
      </w:r>
    </w:p>
    <w:p w14:paraId="45D3594E" w14:textId="77777777" w:rsidR="00C64F48" w:rsidRDefault="00C64F48" w:rsidP="00C64F48">
      <w:pPr>
        <w:pStyle w:val="ListBullet"/>
        <w:numPr>
          <w:ilvl w:val="0"/>
          <w:numId w:val="9"/>
        </w:numPr>
        <w:spacing w:before="40" w:after="80"/>
      </w:pPr>
      <w:r>
        <w:t xml:space="preserve">Infrastructure </w:t>
      </w:r>
    </w:p>
    <w:p w14:paraId="2942A991" w14:textId="6D8980DE" w:rsidR="00F41EB5" w:rsidRPr="00F41EB5" w:rsidRDefault="00F41EB5" w:rsidP="00F41EB5">
      <w:pPr>
        <w:rPr>
          <w:i/>
          <w:color w:val="365F91" w:themeColor="accent1" w:themeShade="BF"/>
        </w:rPr>
      </w:pPr>
      <w:r w:rsidRPr="00F41EB5">
        <w:rPr>
          <w:i/>
          <w:color w:val="365F91" w:themeColor="accent1" w:themeShade="BF"/>
        </w:rPr>
        <w:t>Planning - assessment of risk, vulnerability, resilience and disaster risk reduction activities, investment/business case, or technical feasibility</w:t>
      </w:r>
    </w:p>
    <w:p w14:paraId="7D6FF2D8" w14:textId="77777777" w:rsidR="00F41EB5" w:rsidRPr="00F41EB5" w:rsidRDefault="00F41EB5" w:rsidP="00F41EB5">
      <w:pPr>
        <w:rPr>
          <w:i/>
          <w:color w:val="365F91" w:themeColor="accent1" w:themeShade="BF"/>
        </w:rPr>
      </w:pPr>
      <w:r w:rsidRPr="00F41EB5">
        <w:rPr>
          <w:i/>
          <w:color w:val="365F91" w:themeColor="accent1" w:themeShade="BF"/>
        </w:rPr>
        <w:t>Awareness and capacity - increasing disaster risk and resilience awareness and capacity building activities</w:t>
      </w:r>
    </w:p>
    <w:p w14:paraId="356A1FAD" w14:textId="328C933D" w:rsidR="00F41EB5" w:rsidRPr="00F41EB5" w:rsidRDefault="00F41EB5" w:rsidP="00F41EB5">
      <w:pPr>
        <w:rPr>
          <w:i/>
          <w:color w:val="365F91" w:themeColor="accent1" w:themeShade="BF"/>
        </w:rPr>
      </w:pPr>
      <w:r w:rsidRPr="00F41EB5">
        <w:rPr>
          <w:i/>
          <w:color w:val="365F91" w:themeColor="accent1" w:themeShade="BF"/>
        </w:rPr>
        <w:t>Infrastructure - delivery of built and/or natural infrastructure, including new or upgraded infrastructure.</w:t>
      </w:r>
      <w:r w:rsidR="00C12C47">
        <w:rPr>
          <w:i/>
          <w:color w:val="365F91" w:themeColor="accent1" w:themeShade="BF"/>
        </w:rPr>
        <w:t xml:space="preserve"> If your project is an infrastructure project with project expenditure </w:t>
      </w:r>
      <w:r w:rsidR="00F17D38">
        <w:rPr>
          <w:i/>
          <w:color w:val="365F91" w:themeColor="accent1" w:themeShade="BF"/>
        </w:rPr>
        <w:t xml:space="preserve">of </w:t>
      </w:r>
      <w:r w:rsidR="00C12C47">
        <w:rPr>
          <w:i/>
          <w:color w:val="365F91" w:themeColor="accent1" w:themeShade="BF"/>
        </w:rPr>
        <w:t xml:space="preserve">$100,000 </w:t>
      </w:r>
      <w:r w:rsidR="00F17D38">
        <w:rPr>
          <w:i/>
          <w:color w:val="365F91" w:themeColor="accent1" w:themeShade="BF"/>
        </w:rPr>
        <w:t xml:space="preserve">or over </w:t>
      </w:r>
      <w:r w:rsidR="00C12C47">
        <w:rPr>
          <w:i/>
          <w:color w:val="365F91" w:themeColor="accent1" w:themeShade="BF"/>
        </w:rPr>
        <w:t>you must contribute 50 per cent of the eligible project expenditure.</w:t>
      </w:r>
    </w:p>
    <w:p w14:paraId="1ED30791" w14:textId="5EF42123" w:rsidR="00CE526B" w:rsidRDefault="00CE526B" w:rsidP="003D7EE0">
      <w:pPr>
        <w:pStyle w:val="Heading3"/>
      </w:pPr>
      <w:r>
        <w:t>Priority Local Government Area (LGAs)</w:t>
      </w:r>
      <w:r w:rsidR="0075019D">
        <w:t xml:space="preserve"> – Bushfire Risk</w:t>
      </w:r>
    </w:p>
    <w:p w14:paraId="0E715F29" w14:textId="77777777" w:rsidR="0075019D" w:rsidRDefault="0075019D" w:rsidP="0075019D">
      <w:pPr>
        <w:rPr>
          <w:i/>
          <w:color w:val="1F497D" w:themeColor="text2"/>
        </w:rPr>
      </w:pPr>
      <w:r w:rsidRPr="00C64F48">
        <w:rPr>
          <w:i/>
          <w:color w:val="1F497D" w:themeColor="text2"/>
        </w:rPr>
        <w:t xml:space="preserve">Your project may </w:t>
      </w:r>
      <w:r>
        <w:rPr>
          <w:i/>
          <w:color w:val="1F497D" w:themeColor="text2"/>
        </w:rPr>
        <w:t xml:space="preserve">be addressing more than one of the hazard risks across more than one LGA. However, </w:t>
      </w:r>
      <w:r w:rsidRPr="00C64F48">
        <w:rPr>
          <w:i/>
          <w:color w:val="1F497D" w:themeColor="text2"/>
        </w:rPr>
        <w:t xml:space="preserve">you must nominate </w:t>
      </w:r>
      <w:r>
        <w:rPr>
          <w:i/>
          <w:color w:val="1F497D" w:themeColor="text2"/>
        </w:rPr>
        <w:t>the most relevant for your project.</w:t>
      </w:r>
    </w:p>
    <w:p w14:paraId="00DB95CE" w14:textId="0A946B1C" w:rsidR="00CE526B" w:rsidRDefault="00CE526B" w:rsidP="00CE526B">
      <w:pPr>
        <w:rPr>
          <w:lang w:eastAsia="en-AU"/>
        </w:rPr>
      </w:pPr>
      <w:r>
        <w:rPr>
          <w:lang w:eastAsia="en-AU"/>
        </w:rPr>
        <w:t xml:space="preserve">Is your project </w:t>
      </w:r>
      <w:r w:rsidR="00191671">
        <w:rPr>
          <w:lang w:eastAsia="en-AU"/>
        </w:rPr>
        <w:t xml:space="preserve">addressing </w:t>
      </w:r>
      <w:r w:rsidR="0075019D">
        <w:rPr>
          <w:lang w:eastAsia="en-AU"/>
        </w:rPr>
        <w:t>bushfire</w:t>
      </w:r>
      <w:r w:rsidR="00191671">
        <w:rPr>
          <w:lang w:eastAsia="en-AU"/>
        </w:rPr>
        <w:t xml:space="preserve"> risk </w:t>
      </w:r>
      <w:r>
        <w:rPr>
          <w:lang w:eastAsia="en-AU"/>
        </w:rPr>
        <w:t>in one of the Priority LGAs listed in appendix A of the guidelines?</w:t>
      </w:r>
    </w:p>
    <w:p w14:paraId="71E3B8D3" w14:textId="7ADDB848" w:rsidR="00F41EB5" w:rsidRDefault="00C44A8F" w:rsidP="00CE526B">
      <w:pPr>
        <w:rPr>
          <w:i/>
          <w:color w:val="365F91" w:themeColor="accent1" w:themeShade="BF"/>
          <w:lang w:eastAsia="en-AU"/>
        </w:rPr>
      </w:pPr>
      <w:r w:rsidRPr="00F41EB5">
        <w:rPr>
          <w:i/>
          <w:color w:val="365F91" w:themeColor="accent1" w:themeShade="BF"/>
          <w:lang w:eastAsia="en-AU"/>
        </w:rPr>
        <w:t>If yes, s</w:t>
      </w:r>
      <w:r w:rsidR="00CE526B" w:rsidRPr="00F41EB5">
        <w:rPr>
          <w:i/>
          <w:color w:val="365F91" w:themeColor="accent1" w:themeShade="BF"/>
          <w:lang w:eastAsia="en-AU"/>
        </w:rPr>
        <w:t>elect the relevant LGA from the list below</w:t>
      </w:r>
      <w:r w:rsidR="006402CA" w:rsidRPr="00F41EB5">
        <w:rPr>
          <w:i/>
          <w:color w:val="365F91" w:themeColor="accent1" w:themeShade="BF"/>
          <w:lang w:eastAsia="en-AU"/>
        </w:rPr>
        <w:t xml:space="preserve">. </w:t>
      </w:r>
      <w:r w:rsidR="00F41EB5">
        <w:rPr>
          <w:i/>
          <w:color w:val="365F91" w:themeColor="accent1" w:themeShade="BF"/>
          <w:lang w:eastAsia="en-AU"/>
        </w:rPr>
        <w:t xml:space="preserve">If no, proceed to next question. </w:t>
      </w:r>
    </w:p>
    <w:p w14:paraId="7428C1B8" w14:textId="77777777" w:rsidR="00CE526B" w:rsidRDefault="00CE526B" w:rsidP="00CE526B">
      <w:pPr>
        <w:rPr>
          <w:b/>
        </w:rPr>
      </w:pPr>
      <w:r w:rsidRPr="0012022A">
        <w:rPr>
          <w:b/>
        </w:rPr>
        <w:t>Table 1 - Bushfire Risk LGAs</w:t>
      </w:r>
    </w:p>
    <w:p w14:paraId="5A9C9A64" w14:textId="77777777" w:rsidR="00CE526B" w:rsidRPr="002B4FE8" w:rsidRDefault="00CE526B" w:rsidP="002B4FE8">
      <w:pPr>
        <w:pStyle w:val="Normalexplanatory"/>
        <w:rPr>
          <w:rFonts w:cs="Arial"/>
          <w:szCs w:val="20"/>
        </w:rPr>
      </w:pPr>
      <w:r w:rsidRPr="002B4FE8">
        <w:rPr>
          <w:rFonts w:cs="Arial"/>
          <w:szCs w:val="20"/>
        </w:rPr>
        <w:t>Applications for projects that address bushfire risks in the selected LGAs</w:t>
      </w:r>
      <w:r w:rsidRPr="002B4FE8" w:rsidDel="00E966B7">
        <w:rPr>
          <w:rFonts w:cs="Arial"/>
          <w:szCs w:val="20"/>
        </w:rPr>
        <w:t xml:space="preserve"> </w:t>
      </w:r>
      <w:r w:rsidRPr="002B4FE8">
        <w:rPr>
          <w:rFonts w:cs="Arial"/>
          <w:szCs w:val="20"/>
        </w:rPr>
        <w:t xml:space="preserve">identified in the table below will be awarded an additional 20 points. </w:t>
      </w:r>
    </w:p>
    <w:p w14:paraId="6D7A9CCF" w14:textId="5009BFD0" w:rsidR="002B4FE8" w:rsidRPr="002B4FE8" w:rsidRDefault="002B4FE8" w:rsidP="002B4FE8">
      <w:pPr>
        <w:pStyle w:val="Normalexplanatory"/>
        <w:rPr>
          <w:rFonts w:cs="Arial"/>
          <w:szCs w:val="20"/>
        </w:rPr>
      </w:pPr>
      <w:r w:rsidRPr="002B4FE8">
        <w:rPr>
          <w:rFonts w:cs="Arial"/>
          <w:szCs w:val="20"/>
        </w:rPr>
        <w:t>You can only receive a maximum of 20 additional points per application</w:t>
      </w:r>
      <w:r>
        <w:rPr>
          <w:rFonts w:cs="Arial"/>
          <w:szCs w:val="20"/>
        </w:rPr>
        <w:t>.</w:t>
      </w:r>
      <w:r w:rsidRPr="002B4FE8">
        <w:rPr>
          <w:rFonts w:cs="Arial"/>
          <w:color w:val="000000"/>
          <w:szCs w:val="20"/>
        </w:rPr>
        <w:t xml:space="preserve"> </w:t>
      </w:r>
    </w:p>
    <w:tbl>
      <w:tblPr>
        <w:tblStyle w:val="TableGrid1"/>
        <w:tblW w:w="4994" w:type="pct"/>
        <w:tblLook w:val="04A0" w:firstRow="1" w:lastRow="0" w:firstColumn="1" w:lastColumn="0" w:noHBand="0" w:noVBand="1"/>
      </w:tblPr>
      <w:tblGrid>
        <w:gridCol w:w="1695"/>
        <w:gridCol w:w="7071"/>
      </w:tblGrid>
      <w:tr w:rsidR="00CE526B" w:rsidRPr="00CE526B" w14:paraId="59CCD467" w14:textId="77777777" w:rsidTr="00C44A8F">
        <w:trPr>
          <w:cantSplit/>
          <w:tblHeader/>
        </w:trPr>
        <w:tc>
          <w:tcPr>
            <w:tcW w:w="967" w:type="pct"/>
            <w:shd w:val="clear" w:color="auto" w:fill="1F497D" w:themeFill="text2"/>
          </w:tcPr>
          <w:p w14:paraId="5F9C558A" w14:textId="77777777" w:rsidR="00CE526B" w:rsidRPr="00CE526B" w:rsidRDefault="00CE526B" w:rsidP="00CE526B">
            <w:pPr>
              <w:spacing w:before="0" w:after="0" w:line="240" w:lineRule="auto"/>
              <w:jc w:val="center"/>
              <w:rPr>
                <w:b/>
                <w:iCs/>
                <w:color w:val="FFFFFF" w:themeColor="background1"/>
                <w:szCs w:val="24"/>
              </w:rPr>
            </w:pPr>
            <w:r w:rsidRPr="00CE526B">
              <w:rPr>
                <w:b/>
                <w:iCs/>
                <w:color w:val="FFFFFF" w:themeColor="background1"/>
                <w:szCs w:val="24"/>
              </w:rPr>
              <w:t>State</w:t>
            </w:r>
          </w:p>
        </w:tc>
        <w:tc>
          <w:tcPr>
            <w:tcW w:w="4033" w:type="pct"/>
            <w:shd w:val="clear" w:color="auto" w:fill="1F497D" w:themeFill="text2"/>
          </w:tcPr>
          <w:p w14:paraId="0B8A7590" w14:textId="77777777" w:rsidR="00CE526B" w:rsidRPr="00CE526B" w:rsidRDefault="00CE526B" w:rsidP="00CE526B">
            <w:pPr>
              <w:spacing w:before="0" w:after="0" w:line="240" w:lineRule="auto"/>
              <w:rPr>
                <w:b/>
                <w:iCs/>
                <w:color w:val="FFFFFF" w:themeColor="background1"/>
                <w:szCs w:val="24"/>
              </w:rPr>
            </w:pPr>
            <w:r w:rsidRPr="00CE526B">
              <w:rPr>
                <w:b/>
                <w:iCs/>
                <w:color w:val="FFFFFF" w:themeColor="background1"/>
                <w:szCs w:val="24"/>
              </w:rPr>
              <w:t>LGA</w:t>
            </w:r>
          </w:p>
        </w:tc>
      </w:tr>
      <w:tr w:rsidR="00CE526B" w:rsidRPr="00CE526B" w14:paraId="09BD86FA" w14:textId="77777777" w:rsidTr="00C44A8F">
        <w:trPr>
          <w:cantSplit/>
        </w:trPr>
        <w:tc>
          <w:tcPr>
            <w:tcW w:w="967" w:type="pct"/>
            <w:vAlign w:val="bottom"/>
          </w:tcPr>
          <w:p w14:paraId="21FD4B03" w14:textId="77777777" w:rsidR="00CE526B" w:rsidRPr="00CE526B" w:rsidRDefault="00CE526B" w:rsidP="00CE526B">
            <w:pPr>
              <w:spacing w:before="0" w:after="0" w:line="240" w:lineRule="auto"/>
              <w:jc w:val="center"/>
              <w:rPr>
                <w:rFonts w:cs="Arial"/>
                <w:iCs/>
              </w:rPr>
            </w:pPr>
            <w:r w:rsidRPr="00CE526B">
              <w:rPr>
                <w:rFonts w:cs="Arial"/>
                <w:iCs/>
                <w:color w:val="000000"/>
              </w:rPr>
              <w:t>ACT</w:t>
            </w:r>
          </w:p>
        </w:tc>
        <w:tc>
          <w:tcPr>
            <w:tcW w:w="4033" w:type="pct"/>
            <w:vAlign w:val="bottom"/>
          </w:tcPr>
          <w:p w14:paraId="0D337288" w14:textId="77777777" w:rsidR="00CE526B" w:rsidRPr="00CE526B" w:rsidRDefault="00CE526B" w:rsidP="00CE526B">
            <w:pPr>
              <w:spacing w:before="0" w:after="0" w:line="240" w:lineRule="auto"/>
              <w:rPr>
                <w:iCs/>
                <w:szCs w:val="24"/>
              </w:rPr>
            </w:pPr>
            <w:r w:rsidRPr="00CE526B">
              <w:rPr>
                <w:iCs/>
                <w:szCs w:val="24"/>
              </w:rPr>
              <w:t>Unincorporated ACT</w:t>
            </w:r>
          </w:p>
        </w:tc>
      </w:tr>
      <w:tr w:rsidR="00CE526B" w:rsidRPr="00CE526B" w14:paraId="22791BEA" w14:textId="77777777" w:rsidTr="00C44A8F">
        <w:trPr>
          <w:cantSplit/>
        </w:trPr>
        <w:tc>
          <w:tcPr>
            <w:tcW w:w="967" w:type="pct"/>
            <w:vAlign w:val="bottom"/>
          </w:tcPr>
          <w:p w14:paraId="46EFE7CE" w14:textId="77777777" w:rsidR="00CE526B" w:rsidRPr="00CE526B" w:rsidRDefault="00CE526B" w:rsidP="00CE526B">
            <w:pPr>
              <w:spacing w:before="0" w:after="0" w:line="240" w:lineRule="auto"/>
              <w:jc w:val="center"/>
              <w:rPr>
                <w:rFonts w:cs="Arial"/>
                <w:iCs/>
              </w:rPr>
            </w:pPr>
            <w:r w:rsidRPr="00CE526B">
              <w:rPr>
                <w:iCs/>
                <w:color w:val="000000"/>
                <w:szCs w:val="24"/>
              </w:rPr>
              <w:t>NSW</w:t>
            </w:r>
          </w:p>
        </w:tc>
        <w:tc>
          <w:tcPr>
            <w:tcW w:w="4033" w:type="pct"/>
            <w:vAlign w:val="bottom"/>
          </w:tcPr>
          <w:p w14:paraId="7C9CB282" w14:textId="77777777" w:rsidR="00CE526B" w:rsidRPr="00CE526B" w:rsidRDefault="00CE526B" w:rsidP="00CE526B">
            <w:pPr>
              <w:spacing w:before="0" w:after="0" w:line="240" w:lineRule="auto"/>
              <w:rPr>
                <w:iCs/>
                <w:szCs w:val="24"/>
              </w:rPr>
            </w:pPr>
            <w:r w:rsidRPr="00CE526B">
              <w:rPr>
                <w:iCs/>
                <w:szCs w:val="24"/>
              </w:rPr>
              <w:t xml:space="preserve">Bega Valley </w:t>
            </w:r>
          </w:p>
        </w:tc>
      </w:tr>
      <w:tr w:rsidR="00CE526B" w:rsidRPr="00CE526B" w14:paraId="06971D00" w14:textId="77777777" w:rsidTr="00C44A8F">
        <w:trPr>
          <w:cantSplit/>
        </w:trPr>
        <w:tc>
          <w:tcPr>
            <w:tcW w:w="967" w:type="pct"/>
            <w:vAlign w:val="bottom"/>
          </w:tcPr>
          <w:p w14:paraId="1B30AF0F" w14:textId="77777777" w:rsidR="00CE526B" w:rsidRPr="00CE526B" w:rsidRDefault="00CE526B" w:rsidP="00CE526B">
            <w:pPr>
              <w:spacing w:before="0" w:after="0" w:line="240" w:lineRule="auto"/>
              <w:jc w:val="center"/>
              <w:rPr>
                <w:rFonts w:cs="Arial"/>
                <w:iCs/>
              </w:rPr>
            </w:pPr>
            <w:r w:rsidRPr="00CE526B">
              <w:rPr>
                <w:iCs/>
                <w:color w:val="000000"/>
                <w:szCs w:val="24"/>
              </w:rPr>
              <w:t>NSW</w:t>
            </w:r>
          </w:p>
        </w:tc>
        <w:tc>
          <w:tcPr>
            <w:tcW w:w="4033" w:type="pct"/>
            <w:vAlign w:val="bottom"/>
          </w:tcPr>
          <w:p w14:paraId="35B89E21" w14:textId="77777777" w:rsidR="00CE526B" w:rsidRPr="00CE526B" w:rsidRDefault="00CE526B" w:rsidP="00CE526B">
            <w:pPr>
              <w:spacing w:before="0" w:after="0" w:line="240" w:lineRule="auto"/>
              <w:rPr>
                <w:iCs/>
                <w:szCs w:val="24"/>
              </w:rPr>
            </w:pPr>
            <w:r w:rsidRPr="00CE526B">
              <w:rPr>
                <w:iCs/>
                <w:szCs w:val="24"/>
              </w:rPr>
              <w:t xml:space="preserve">Blue Mountains </w:t>
            </w:r>
          </w:p>
        </w:tc>
      </w:tr>
      <w:tr w:rsidR="00CE526B" w:rsidRPr="00CE526B" w14:paraId="02EBBC73" w14:textId="77777777" w:rsidTr="00C44A8F">
        <w:trPr>
          <w:cantSplit/>
        </w:trPr>
        <w:tc>
          <w:tcPr>
            <w:tcW w:w="967" w:type="pct"/>
            <w:vAlign w:val="bottom"/>
          </w:tcPr>
          <w:p w14:paraId="6E4047A3" w14:textId="77777777" w:rsidR="00CE526B" w:rsidRPr="00CE526B" w:rsidRDefault="00CE526B" w:rsidP="00CE526B">
            <w:pPr>
              <w:spacing w:before="0" w:after="0" w:line="240" w:lineRule="auto"/>
              <w:jc w:val="center"/>
              <w:rPr>
                <w:rFonts w:cs="Arial"/>
                <w:iCs/>
              </w:rPr>
            </w:pPr>
            <w:r w:rsidRPr="00CE526B">
              <w:rPr>
                <w:iCs/>
                <w:color w:val="000000"/>
                <w:szCs w:val="24"/>
              </w:rPr>
              <w:t>NSW</w:t>
            </w:r>
          </w:p>
        </w:tc>
        <w:tc>
          <w:tcPr>
            <w:tcW w:w="4033" w:type="pct"/>
            <w:vAlign w:val="bottom"/>
          </w:tcPr>
          <w:p w14:paraId="330932B9" w14:textId="77777777" w:rsidR="00CE526B" w:rsidRPr="00CE526B" w:rsidRDefault="00CE526B" w:rsidP="00CE526B">
            <w:pPr>
              <w:spacing w:before="0" w:after="0" w:line="240" w:lineRule="auto"/>
              <w:rPr>
                <w:iCs/>
                <w:szCs w:val="24"/>
              </w:rPr>
            </w:pPr>
            <w:r w:rsidRPr="00CE526B">
              <w:rPr>
                <w:iCs/>
                <w:szCs w:val="24"/>
              </w:rPr>
              <w:t>Central Coast  (NSW)</w:t>
            </w:r>
          </w:p>
        </w:tc>
      </w:tr>
      <w:tr w:rsidR="00CE526B" w:rsidRPr="00CE526B" w14:paraId="56FAE237" w14:textId="77777777" w:rsidTr="00C44A8F">
        <w:trPr>
          <w:cantSplit/>
        </w:trPr>
        <w:tc>
          <w:tcPr>
            <w:tcW w:w="967" w:type="pct"/>
            <w:vAlign w:val="bottom"/>
          </w:tcPr>
          <w:p w14:paraId="28A94811" w14:textId="77777777" w:rsidR="00CE526B" w:rsidRPr="00CE526B" w:rsidRDefault="00CE526B" w:rsidP="00CE526B">
            <w:pPr>
              <w:spacing w:before="0" w:after="0" w:line="240" w:lineRule="auto"/>
              <w:jc w:val="center"/>
              <w:rPr>
                <w:rFonts w:cs="Arial"/>
                <w:iCs/>
              </w:rPr>
            </w:pPr>
            <w:r w:rsidRPr="00CE526B">
              <w:rPr>
                <w:iCs/>
                <w:color w:val="000000"/>
                <w:szCs w:val="24"/>
              </w:rPr>
              <w:t>NSW</w:t>
            </w:r>
          </w:p>
        </w:tc>
        <w:tc>
          <w:tcPr>
            <w:tcW w:w="4033" w:type="pct"/>
            <w:vAlign w:val="bottom"/>
          </w:tcPr>
          <w:p w14:paraId="013E882D" w14:textId="77777777" w:rsidR="00CE526B" w:rsidRPr="00CE526B" w:rsidRDefault="00CE526B" w:rsidP="00CE526B">
            <w:pPr>
              <w:spacing w:before="0" w:after="0" w:line="240" w:lineRule="auto"/>
              <w:rPr>
                <w:iCs/>
                <w:szCs w:val="24"/>
              </w:rPr>
            </w:pPr>
            <w:r w:rsidRPr="00CE526B">
              <w:rPr>
                <w:iCs/>
                <w:szCs w:val="24"/>
              </w:rPr>
              <w:t xml:space="preserve">Cessnock </w:t>
            </w:r>
          </w:p>
        </w:tc>
      </w:tr>
      <w:tr w:rsidR="00CE526B" w:rsidRPr="00CE526B" w14:paraId="634437CB" w14:textId="77777777" w:rsidTr="00C44A8F">
        <w:trPr>
          <w:cantSplit/>
        </w:trPr>
        <w:tc>
          <w:tcPr>
            <w:tcW w:w="967" w:type="pct"/>
            <w:vAlign w:val="bottom"/>
          </w:tcPr>
          <w:p w14:paraId="71C536D7" w14:textId="77777777" w:rsidR="00CE526B" w:rsidRPr="00CE526B" w:rsidRDefault="00CE526B" w:rsidP="00CE526B">
            <w:pPr>
              <w:spacing w:before="0" w:after="0" w:line="240" w:lineRule="auto"/>
              <w:jc w:val="center"/>
              <w:rPr>
                <w:rFonts w:cs="Arial"/>
                <w:iCs/>
              </w:rPr>
            </w:pPr>
            <w:r w:rsidRPr="00CE526B">
              <w:rPr>
                <w:iCs/>
                <w:color w:val="000000"/>
                <w:szCs w:val="24"/>
              </w:rPr>
              <w:t>NSW</w:t>
            </w:r>
          </w:p>
        </w:tc>
        <w:tc>
          <w:tcPr>
            <w:tcW w:w="4033" w:type="pct"/>
            <w:vAlign w:val="bottom"/>
          </w:tcPr>
          <w:p w14:paraId="35D5B9C3" w14:textId="77777777" w:rsidR="00CE526B" w:rsidRPr="00CE526B" w:rsidRDefault="00CE526B" w:rsidP="00CE526B">
            <w:pPr>
              <w:spacing w:before="0" w:after="0" w:line="240" w:lineRule="auto"/>
              <w:rPr>
                <w:iCs/>
                <w:szCs w:val="24"/>
              </w:rPr>
            </w:pPr>
            <w:r w:rsidRPr="00CE526B">
              <w:rPr>
                <w:iCs/>
                <w:szCs w:val="24"/>
              </w:rPr>
              <w:t xml:space="preserve">Eurobodalla </w:t>
            </w:r>
          </w:p>
        </w:tc>
      </w:tr>
      <w:tr w:rsidR="00CE526B" w:rsidRPr="00CE526B" w14:paraId="1FBA2704" w14:textId="77777777" w:rsidTr="00C44A8F">
        <w:trPr>
          <w:cantSplit/>
        </w:trPr>
        <w:tc>
          <w:tcPr>
            <w:tcW w:w="967" w:type="pct"/>
            <w:vAlign w:val="bottom"/>
          </w:tcPr>
          <w:p w14:paraId="4B1D4B4D" w14:textId="77777777" w:rsidR="00CE526B" w:rsidRPr="00CE526B" w:rsidRDefault="00CE526B" w:rsidP="00CE526B">
            <w:pPr>
              <w:spacing w:before="0" w:after="0" w:line="240" w:lineRule="auto"/>
              <w:jc w:val="center"/>
              <w:rPr>
                <w:rFonts w:cs="Arial"/>
                <w:iCs/>
              </w:rPr>
            </w:pPr>
            <w:r w:rsidRPr="00CE526B">
              <w:rPr>
                <w:rFonts w:cs="Arial"/>
                <w:iCs/>
                <w:color w:val="000000"/>
              </w:rPr>
              <w:t>NSW</w:t>
            </w:r>
          </w:p>
        </w:tc>
        <w:tc>
          <w:tcPr>
            <w:tcW w:w="4033" w:type="pct"/>
            <w:vAlign w:val="bottom"/>
          </w:tcPr>
          <w:p w14:paraId="3DDE99AC" w14:textId="77777777" w:rsidR="00CE526B" w:rsidRPr="00CE526B" w:rsidRDefault="00CE526B" w:rsidP="00CE526B">
            <w:pPr>
              <w:spacing w:before="0" w:after="0" w:line="240" w:lineRule="auto"/>
              <w:rPr>
                <w:iCs/>
                <w:szCs w:val="24"/>
              </w:rPr>
            </w:pPr>
            <w:r w:rsidRPr="00CE526B">
              <w:rPr>
                <w:iCs/>
                <w:szCs w:val="24"/>
              </w:rPr>
              <w:t xml:space="preserve">Kempsey </w:t>
            </w:r>
          </w:p>
        </w:tc>
      </w:tr>
      <w:tr w:rsidR="00CE526B" w:rsidRPr="00CE526B" w14:paraId="4FF2477E" w14:textId="77777777" w:rsidTr="00C44A8F">
        <w:trPr>
          <w:cantSplit/>
        </w:trPr>
        <w:tc>
          <w:tcPr>
            <w:tcW w:w="967" w:type="pct"/>
            <w:vAlign w:val="bottom"/>
          </w:tcPr>
          <w:p w14:paraId="43777B87" w14:textId="77777777" w:rsidR="00CE526B" w:rsidRPr="00CE526B" w:rsidRDefault="00CE526B" w:rsidP="00CE526B">
            <w:pPr>
              <w:spacing w:before="0" w:after="0" w:line="240" w:lineRule="auto"/>
              <w:jc w:val="center"/>
              <w:rPr>
                <w:rFonts w:cs="Arial"/>
                <w:iCs/>
              </w:rPr>
            </w:pPr>
            <w:r w:rsidRPr="00CE526B">
              <w:rPr>
                <w:iCs/>
                <w:color w:val="000000"/>
                <w:szCs w:val="24"/>
              </w:rPr>
              <w:t>NSW</w:t>
            </w:r>
          </w:p>
        </w:tc>
        <w:tc>
          <w:tcPr>
            <w:tcW w:w="4033" w:type="pct"/>
            <w:vAlign w:val="bottom"/>
          </w:tcPr>
          <w:p w14:paraId="59CAB0ED" w14:textId="77777777" w:rsidR="00CE526B" w:rsidRPr="00CE526B" w:rsidRDefault="00CE526B" w:rsidP="00CE526B">
            <w:pPr>
              <w:spacing w:before="0" w:after="0" w:line="240" w:lineRule="auto"/>
              <w:rPr>
                <w:iCs/>
                <w:szCs w:val="24"/>
              </w:rPr>
            </w:pPr>
            <w:r w:rsidRPr="00CE526B">
              <w:rPr>
                <w:iCs/>
                <w:szCs w:val="24"/>
              </w:rPr>
              <w:t xml:space="preserve">Lake Macquarie </w:t>
            </w:r>
          </w:p>
        </w:tc>
      </w:tr>
      <w:tr w:rsidR="00CE526B" w:rsidRPr="00CE526B" w14:paraId="13F94FDA" w14:textId="77777777" w:rsidTr="00C44A8F">
        <w:trPr>
          <w:cantSplit/>
        </w:trPr>
        <w:tc>
          <w:tcPr>
            <w:tcW w:w="967" w:type="pct"/>
            <w:vAlign w:val="bottom"/>
          </w:tcPr>
          <w:p w14:paraId="1CAD8CFC" w14:textId="77777777" w:rsidR="00CE526B" w:rsidRPr="00CE526B" w:rsidRDefault="00CE526B" w:rsidP="00CE526B">
            <w:pPr>
              <w:spacing w:before="0" w:after="0" w:line="240" w:lineRule="auto"/>
              <w:jc w:val="center"/>
              <w:rPr>
                <w:rFonts w:cs="Arial"/>
                <w:iCs/>
              </w:rPr>
            </w:pPr>
            <w:r w:rsidRPr="00CE526B">
              <w:rPr>
                <w:iCs/>
                <w:color w:val="000000"/>
                <w:szCs w:val="24"/>
              </w:rPr>
              <w:t>NSW</w:t>
            </w:r>
          </w:p>
        </w:tc>
        <w:tc>
          <w:tcPr>
            <w:tcW w:w="4033" w:type="pct"/>
            <w:vAlign w:val="bottom"/>
          </w:tcPr>
          <w:p w14:paraId="49065BB7" w14:textId="77777777" w:rsidR="00CE526B" w:rsidRPr="00CE526B" w:rsidRDefault="00CE526B" w:rsidP="00CE526B">
            <w:pPr>
              <w:spacing w:before="0" w:after="0" w:line="240" w:lineRule="auto"/>
              <w:rPr>
                <w:iCs/>
                <w:szCs w:val="24"/>
              </w:rPr>
            </w:pPr>
            <w:r w:rsidRPr="00CE526B">
              <w:rPr>
                <w:iCs/>
                <w:szCs w:val="24"/>
              </w:rPr>
              <w:t xml:space="preserve">Port Macquarie-Hastings </w:t>
            </w:r>
          </w:p>
        </w:tc>
      </w:tr>
      <w:tr w:rsidR="00CE526B" w:rsidRPr="00CE526B" w14:paraId="3E871766" w14:textId="77777777" w:rsidTr="00C44A8F">
        <w:trPr>
          <w:cantSplit/>
        </w:trPr>
        <w:tc>
          <w:tcPr>
            <w:tcW w:w="967" w:type="pct"/>
            <w:vAlign w:val="bottom"/>
          </w:tcPr>
          <w:p w14:paraId="5E7925E6" w14:textId="77777777" w:rsidR="00CE526B" w:rsidRPr="00CE526B" w:rsidRDefault="00CE526B" w:rsidP="00CE526B">
            <w:pPr>
              <w:spacing w:before="0" w:after="0" w:line="240" w:lineRule="auto"/>
              <w:jc w:val="center"/>
              <w:rPr>
                <w:rFonts w:cs="Arial"/>
                <w:iCs/>
              </w:rPr>
            </w:pPr>
            <w:r w:rsidRPr="00CE526B">
              <w:rPr>
                <w:iCs/>
                <w:color w:val="000000"/>
                <w:szCs w:val="24"/>
              </w:rPr>
              <w:t>NSW</w:t>
            </w:r>
          </w:p>
        </w:tc>
        <w:tc>
          <w:tcPr>
            <w:tcW w:w="4033" w:type="pct"/>
            <w:vAlign w:val="bottom"/>
          </w:tcPr>
          <w:p w14:paraId="68AFE23C" w14:textId="77777777" w:rsidR="00CE526B" w:rsidRPr="00CE526B" w:rsidRDefault="00CE526B" w:rsidP="00CE526B">
            <w:pPr>
              <w:spacing w:before="0" w:after="0" w:line="240" w:lineRule="auto"/>
              <w:rPr>
                <w:iCs/>
                <w:szCs w:val="24"/>
              </w:rPr>
            </w:pPr>
            <w:r w:rsidRPr="00CE526B">
              <w:rPr>
                <w:iCs/>
                <w:szCs w:val="24"/>
              </w:rPr>
              <w:t xml:space="preserve">Port Stephens </w:t>
            </w:r>
          </w:p>
        </w:tc>
      </w:tr>
      <w:tr w:rsidR="00CE526B" w:rsidRPr="00CE526B" w14:paraId="472E31FA" w14:textId="77777777" w:rsidTr="00C44A8F">
        <w:trPr>
          <w:cantSplit/>
        </w:trPr>
        <w:tc>
          <w:tcPr>
            <w:tcW w:w="967" w:type="pct"/>
            <w:vAlign w:val="bottom"/>
          </w:tcPr>
          <w:p w14:paraId="5F998AB4" w14:textId="77777777" w:rsidR="00CE526B" w:rsidRPr="00CE526B" w:rsidRDefault="00CE526B" w:rsidP="00CE526B">
            <w:pPr>
              <w:spacing w:before="0" w:after="0" w:line="240" w:lineRule="auto"/>
              <w:jc w:val="center"/>
              <w:rPr>
                <w:rFonts w:cs="Arial"/>
                <w:iCs/>
              </w:rPr>
            </w:pPr>
            <w:r w:rsidRPr="00CE526B">
              <w:rPr>
                <w:iCs/>
                <w:color w:val="000000"/>
                <w:szCs w:val="24"/>
              </w:rPr>
              <w:t>NSW</w:t>
            </w:r>
          </w:p>
        </w:tc>
        <w:tc>
          <w:tcPr>
            <w:tcW w:w="4033" w:type="pct"/>
            <w:vAlign w:val="bottom"/>
          </w:tcPr>
          <w:p w14:paraId="206B15C0" w14:textId="77777777" w:rsidR="00CE526B" w:rsidRPr="00CE526B" w:rsidRDefault="00CE526B" w:rsidP="00CE526B">
            <w:pPr>
              <w:spacing w:before="0" w:after="0" w:line="240" w:lineRule="auto"/>
              <w:rPr>
                <w:iCs/>
                <w:szCs w:val="24"/>
              </w:rPr>
            </w:pPr>
            <w:r w:rsidRPr="00CE526B">
              <w:rPr>
                <w:iCs/>
                <w:szCs w:val="24"/>
              </w:rPr>
              <w:t xml:space="preserve">Shoalhaven </w:t>
            </w:r>
          </w:p>
        </w:tc>
      </w:tr>
      <w:tr w:rsidR="00CE526B" w:rsidRPr="00CE526B" w14:paraId="29DE5F03" w14:textId="77777777" w:rsidTr="00C44A8F">
        <w:trPr>
          <w:cantSplit/>
        </w:trPr>
        <w:tc>
          <w:tcPr>
            <w:tcW w:w="967" w:type="pct"/>
            <w:vAlign w:val="bottom"/>
          </w:tcPr>
          <w:p w14:paraId="52402BBF" w14:textId="77777777" w:rsidR="00CE526B" w:rsidRPr="00CE526B" w:rsidRDefault="00CE526B" w:rsidP="00CE526B">
            <w:pPr>
              <w:spacing w:before="0" w:after="0" w:line="240" w:lineRule="auto"/>
              <w:jc w:val="center"/>
              <w:rPr>
                <w:rFonts w:cs="Arial"/>
                <w:iCs/>
              </w:rPr>
            </w:pPr>
            <w:r w:rsidRPr="00CE526B">
              <w:rPr>
                <w:rFonts w:cs="Arial"/>
                <w:iCs/>
                <w:color w:val="000000"/>
              </w:rPr>
              <w:t>NT</w:t>
            </w:r>
          </w:p>
        </w:tc>
        <w:tc>
          <w:tcPr>
            <w:tcW w:w="4033" w:type="pct"/>
            <w:vAlign w:val="bottom"/>
          </w:tcPr>
          <w:p w14:paraId="02DB15C2" w14:textId="77777777" w:rsidR="00CE526B" w:rsidRPr="00CE526B" w:rsidRDefault="00CE526B" w:rsidP="00CE526B">
            <w:pPr>
              <w:spacing w:before="0" w:after="0" w:line="240" w:lineRule="auto"/>
              <w:rPr>
                <w:iCs/>
                <w:szCs w:val="24"/>
              </w:rPr>
            </w:pPr>
            <w:r w:rsidRPr="00CE526B">
              <w:rPr>
                <w:iCs/>
                <w:szCs w:val="24"/>
              </w:rPr>
              <w:t xml:space="preserve">Barkly </w:t>
            </w:r>
          </w:p>
        </w:tc>
      </w:tr>
      <w:tr w:rsidR="00CE526B" w:rsidRPr="00CE526B" w14:paraId="58E9212B" w14:textId="77777777" w:rsidTr="00C44A8F">
        <w:trPr>
          <w:cantSplit/>
        </w:trPr>
        <w:tc>
          <w:tcPr>
            <w:tcW w:w="967" w:type="pct"/>
            <w:vAlign w:val="bottom"/>
          </w:tcPr>
          <w:p w14:paraId="52EFBE06" w14:textId="77777777" w:rsidR="00CE526B" w:rsidRPr="00CE526B" w:rsidRDefault="00CE526B" w:rsidP="00CE526B">
            <w:pPr>
              <w:spacing w:before="0" w:after="0" w:line="240" w:lineRule="auto"/>
              <w:jc w:val="center"/>
              <w:rPr>
                <w:rFonts w:cs="Arial"/>
                <w:iCs/>
              </w:rPr>
            </w:pPr>
            <w:r w:rsidRPr="00CE526B">
              <w:rPr>
                <w:rFonts w:cs="Arial"/>
                <w:iCs/>
                <w:color w:val="000000"/>
              </w:rPr>
              <w:t>NT</w:t>
            </w:r>
          </w:p>
        </w:tc>
        <w:tc>
          <w:tcPr>
            <w:tcW w:w="4033" w:type="pct"/>
            <w:vAlign w:val="bottom"/>
          </w:tcPr>
          <w:p w14:paraId="5259C50B" w14:textId="77777777" w:rsidR="00CE526B" w:rsidRPr="00CE526B" w:rsidRDefault="00CE526B" w:rsidP="00CE526B">
            <w:pPr>
              <w:spacing w:before="0" w:after="0" w:line="240" w:lineRule="auto"/>
              <w:rPr>
                <w:iCs/>
                <w:szCs w:val="24"/>
              </w:rPr>
            </w:pPr>
            <w:r w:rsidRPr="00CE526B">
              <w:rPr>
                <w:iCs/>
                <w:szCs w:val="24"/>
              </w:rPr>
              <w:t xml:space="preserve">Litchfield </w:t>
            </w:r>
          </w:p>
        </w:tc>
      </w:tr>
      <w:tr w:rsidR="00CE526B" w:rsidRPr="00CE526B" w14:paraId="5F400BFC" w14:textId="77777777" w:rsidTr="00C44A8F">
        <w:trPr>
          <w:cantSplit/>
        </w:trPr>
        <w:tc>
          <w:tcPr>
            <w:tcW w:w="967" w:type="pct"/>
            <w:vAlign w:val="bottom"/>
          </w:tcPr>
          <w:p w14:paraId="02AA573A"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5BE0EF0F" w14:textId="77777777" w:rsidR="00CE526B" w:rsidRPr="00CE526B" w:rsidRDefault="00CE526B" w:rsidP="00CE526B">
            <w:pPr>
              <w:spacing w:before="0" w:after="0" w:line="240" w:lineRule="auto"/>
              <w:rPr>
                <w:iCs/>
                <w:szCs w:val="24"/>
              </w:rPr>
            </w:pPr>
            <w:r w:rsidRPr="00CE526B">
              <w:rPr>
                <w:iCs/>
                <w:szCs w:val="24"/>
              </w:rPr>
              <w:t xml:space="preserve">Sunshine Coast </w:t>
            </w:r>
          </w:p>
        </w:tc>
      </w:tr>
      <w:tr w:rsidR="00CE526B" w:rsidRPr="00CE526B" w14:paraId="0D8E2B41" w14:textId="77777777" w:rsidTr="00C44A8F">
        <w:trPr>
          <w:cantSplit/>
        </w:trPr>
        <w:tc>
          <w:tcPr>
            <w:tcW w:w="967" w:type="pct"/>
            <w:vAlign w:val="bottom"/>
          </w:tcPr>
          <w:p w14:paraId="3718A4DB" w14:textId="77777777" w:rsidR="00CE526B" w:rsidRPr="00CE526B" w:rsidRDefault="00CE526B" w:rsidP="00CE526B">
            <w:pPr>
              <w:spacing w:before="0" w:after="0" w:line="240" w:lineRule="auto"/>
              <w:jc w:val="center"/>
              <w:rPr>
                <w:rFonts w:cs="Arial"/>
                <w:iCs/>
              </w:rPr>
            </w:pPr>
            <w:r w:rsidRPr="00CE526B">
              <w:rPr>
                <w:iCs/>
                <w:color w:val="000000"/>
                <w:szCs w:val="24"/>
              </w:rPr>
              <w:t>SA</w:t>
            </w:r>
          </w:p>
        </w:tc>
        <w:tc>
          <w:tcPr>
            <w:tcW w:w="4033" w:type="pct"/>
            <w:vAlign w:val="bottom"/>
          </w:tcPr>
          <w:p w14:paraId="47792506" w14:textId="77777777" w:rsidR="00CE526B" w:rsidRPr="00CE526B" w:rsidRDefault="00CE526B" w:rsidP="00CE526B">
            <w:pPr>
              <w:spacing w:before="0" w:after="0" w:line="240" w:lineRule="auto"/>
              <w:rPr>
                <w:iCs/>
                <w:szCs w:val="24"/>
              </w:rPr>
            </w:pPr>
            <w:r w:rsidRPr="00CE526B">
              <w:rPr>
                <w:iCs/>
                <w:szCs w:val="24"/>
              </w:rPr>
              <w:t xml:space="preserve">Adelaide Hills </w:t>
            </w:r>
          </w:p>
        </w:tc>
      </w:tr>
      <w:tr w:rsidR="00CE526B" w:rsidRPr="00CE526B" w14:paraId="556AF915" w14:textId="77777777" w:rsidTr="00C44A8F">
        <w:trPr>
          <w:cantSplit/>
        </w:trPr>
        <w:tc>
          <w:tcPr>
            <w:tcW w:w="967" w:type="pct"/>
            <w:vAlign w:val="bottom"/>
          </w:tcPr>
          <w:p w14:paraId="221E0873" w14:textId="77777777" w:rsidR="00CE526B" w:rsidRPr="00CE526B" w:rsidRDefault="00CE526B" w:rsidP="00CE526B">
            <w:pPr>
              <w:spacing w:before="0" w:after="0" w:line="240" w:lineRule="auto"/>
              <w:jc w:val="center"/>
              <w:rPr>
                <w:rFonts w:cs="Arial"/>
                <w:iCs/>
              </w:rPr>
            </w:pPr>
            <w:r w:rsidRPr="00CE526B">
              <w:rPr>
                <w:rFonts w:cs="Arial"/>
                <w:iCs/>
                <w:color w:val="000000"/>
              </w:rPr>
              <w:t>SA</w:t>
            </w:r>
          </w:p>
        </w:tc>
        <w:tc>
          <w:tcPr>
            <w:tcW w:w="4033" w:type="pct"/>
            <w:vAlign w:val="bottom"/>
          </w:tcPr>
          <w:p w14:paraId="7536E137" w14:textId="77777777" w:rsidR="00CE526B" w:rsidRPr="00CE526B" w:rsidRDefault="00CE526B" w:rsidP="00CE526B">
            <w:pPr>
              <w:spacing w:before="0" w:after="0" w:line="240" w:lineRule="auto"/>
              <w:rPr>
                <w:iCs/>
                <w:szCs w:val="24"/>
              </w:rPr>
            </w:pPr>
            <w:r w:rsidRPr="00CE526B">
              <w:rPr>
                <w:iCs/>
                <w:szCs w:val="24"/>
              </w:rPr>
              <w:t>Campbelltown  (SA)</w:t>
            </w:r>
          </w:p>
        </w:tc>
      </w:tr>
      <w:tr w:rsidR="00CE526B" w:rsidRPr="00CE526B" w14:paraId="632B7FBB" w14:textId="77777777" w:rsidTr="00C44A8F">
        <w:trPr>
          <w:cantSplit/>
        </w:trPr>
        <w:tc>
          <w:tcPr>
            <w:tcW w:w="967" w:type="pct"/>
            <w:vAlign w:val="bottom"/>
          </w:tcPr>
          <w:p w14:paraId="03E28F72" w14:textId="77777777" w:rsidR="00CE526B" w:rsidRPr="00CE526B" w:rsidRDefault="00CE526B" w:rsidP="00CE526B">
            <w:pPr>
              <w:spacing w:before="0" w:after="0" w:line="240" w:lineRule="auto"/>
              <w:jc w:val="center"/>
              <w:rPr>
                <w:rFonts w:cs="Arial"/>
                <w:iCs/>
              </w:rPr>
            </w:pPr>
            <w:r w:rsidRPr="00CE526B">
              <w:rPr>
                <w:rFonts w:cs="Arial"/>
                <w:iCs/>
                <w:color w:val="000000"/>
              </w:rPr>
              <w:t>SA</w:t>
            </w:r>
          </w:p>
        </w:tc>
        <w:tc>
          <w:tcPr>
            <w:tcW w:w="4033" w:type="pct"/>
            <w:vAlign w:val="bottom"/>
          </w:tcPr>
          <w:p w14:paraId="25A5C2B6" w14:textId="77777777" w:rsidR="00CE526B" w:rsidRPr="00CE526B" w:rsidRDefault="00CE526B" w:rsidP="00CE526B">
            <w:pPr>
              <w:spacing w:before="0" w:after="0" w:line="240" w:lineRule="auto"/>
              <w:rPr>
                <w:iCs/>
                <w:szCs w:val="24"/>
              </w:rPr>
            </w:pPr>
            <w:r w:rsidRPr="00CE526B">
              <w:rPr>
                <w:iCs/>
                <w:szCs w:val="24"/>
              </w:rPr>
              <w:t xml:space="preserve">Clare and Gilbert Valleys </w:t>
            </w:r>
          </w:p>
        </w:tc>
      </w:tr>
      <w:tr w:rsidR="00CE526B" w:rsidRPr="00CE526B" w14:paraId="34E7FE6B" w14:textId="77777777" w:rsidTr="00C44A8F">
        <w:trPr>
          <w:cantSplit/>
        </w:trPr>
        <w:tc>
          <w:tcPr>
            <w:tcW w:w="967" w:type="pct"/>
            <w:vAlign w:val="bottom"/>
          </w:tcPr>
          <w:p w14:paraId="16D00AF1" w14:textId="77777777" w:rsidR="00CE526B" w:rsidRPr="00CE526B" w:rsidRDefault="00CE526B" w:rsidP="00CE526B">
            <w:pPr>
              <w:spacing w:before="0" w:after="0" w:line="240" w:lineRule="auto"/>
              <w:jc w:val="center"/>
              <w:rPr>
                <w:rFonts w:cs="Arial"/>
                <w:iCs/>
              </w:rPr>
            </w:pPr>
            <w:r w:rsidRPr="00CE526B">
              <w:rPr>
                <w:rFonts w:cs="Arial"/>
                <w:iCs/>
                <w:color w:val="000000"/>
              </w:rPr>
              <w:t>SA</w:t>
            </w:r>
          </w:p>
        </w:tc>
        <w:tc>
          <w:tcPr>
            <w:tcW w:w="4033" w:type="pct"/>
            <w:vAlign w:val="bottom"/>
          </w:tcPr>
          <w:p w14:paraId="46408981" w14:textId="77777777" w:rsidR="00CE526B" w:rsidRPr="00CE526B" w:rsidRDefault="00CE526B" w:rsidP="00CE526B">
            <w:pPr>
              <w:spacing w:before="0" w:after="0" w:line="240" w:lineRule="auto"/>
              <w:rPr>
                <w:iCs/>
                <w:szCs w:val="24"/>
              </w:rPr>
            </w:pPr>
            <w:r w:rsidRPr="00CE526B">
              <w:rPr>
                <w:iCs/>
                <w:szCs w:val="24"/>
              </w:rPr>
              <w:t xml:space="preserve">Kangaroo Island </w:t>
            </w:r>
          </w:p>
        </w:tc>
      </w:tr>
      <w:tr w:rsidR="00CE526B" w:rsidRPr="00CE526B" w14:paraId="3A166B1D" w14:textId="77777777" w:rsidTr="00C44A8F">
        <w:trPr>
          <w:cantSplit/>
        </w:trPr>
        <w:tc>
          <w:tcPr>
            <w:tcW w:w="967" w:type="pct"/>
            <w:vAlign w:val="bottom"/>
          </w:tcPr>
          <w:p w14:paraId="43181F92" w14:textId="77777777" w:rsidR="00CE526B" w:rsidRPr="00CE526B" w:rsidRDefault="00CE526B" w:rsidP="00CE526B">
            <w:pPr>
              <w:spacing w:before="0" w:after="0" w:line="240" w:lineRule="auto"/>
              <w:jc w:val="center"/>
              <w:rPr>
                <w:rFonts w:cs="Arial"/>
                <w:iCs/>
              </w:rPr>
            </w:pPr>
            <w:r w:rsidRPr="00CE526B">
              <w:rPr>
                <w:rFonts w:cs="Arial"/>
                <w:iCs/>
                <w:color w:val="000000"/>
              </w:rPr>
              <w:t>SA</w:t>
            </w:r>
          </w:p>
        </w:tc>
        <w:tc>
          <w:tcPr>
            <w:tcW w:w="4033" w:type="pct"/>
            <w:vAlign w:val="bottom"/>
          </w:tcPr>
          <w:p w14:paraId="0F7FEF92" w14:textId="77777777" w:rsidR="00CE526B" w:rsidRPr="00CE526B" w:rsidRDefault="00CE526B" w:rsidP="00CE526B">
            <w:pPr>
              <w:spacing w:before="0" w:after="0" w:line="240" w:lineRule="auto"/>
              <w:rPr>
                <w:iCs/>
                <w:szCs w:val="24"/>
              </w:rPr>
            </w:pPr>
            <w:r w:rsidRPr="00CE526B">
              <w:rPr>
                <w:iCs/>
                <w:szCs w:val="24"/>
              </w:rPr>
              <w:t xml:space="preserve">Lower Eyre Peninsula </w:t>
            </w:r>
          </w:p>
        </w:tc>
      </w:tr>
      <w:tr w:rsidR="00CE526B" w:rsidRPr="00CE526B" w14:paraId="19976AEA" w14:textId="77777777" w:rsidTr="00C44A8F">
        <w:trPr>
          <w:cantSplit/>
        </w:trPr>
        <w:tc>
          <w:tcPr>
            <w:tcW w:w="967" w:type="pct"/>
            <w:vAlign w:val="bottom"/>
          </w:tcPr>
          <w:p w14:paraId="0917FE6C" w14:textId="77777777" w:rsidR="00CE526B" w:rsidRPr="00CE526B" w:rsidRDefault="00CE526B" w:rsidP="00CE526B">
            <w:pPr>
              <w:spacing w:before="0" w:after="0" w:line="240" w:lineRule="auto"/>
              <w:jc w:val="center"/>
              <w:rPr>
                <w:rFonts w:cs="Arial"/>
                <w:iCs/>
              </w:rPr>
            </w:pPr>
            <w:r w:rsidRPr="00CE526B">
              <w:rPr>
                <w:rFonts w:cs="Arial"/>
                <w:iCs/>
                <w:color w:val="000000"/>
              </w:rPr>
              <w:lastRenderedPageBreak/>
              <w:t>SA</w:t>
            </w:r>
          </w:p>
        </w:tc>
        <w:tc>
          <w:tcPr>
            <w:tcW w:w="4033" w:type="pct"/>
            <w:vAlign w:val="bottom"/>
          </w:tcPr>
          <w:p w14:paraId="78882243" w14:textId="77777777" w:rsidR="00CE526B" w:rsidRPr="00CE526B" w:rsidRDefault="00CE526B" w:rsidP="00CE526B">
            <w:pPr>
              <w:spacing w:before="0" w:after="0" w:line="240" w:lineRule="auto"/>
              <w:rPr>
                <w:iCs/>
                <w:szCs w:val="24"/>
              </w:rPr>
            </w:pPr>
            <w:r w:rsidRPr="00CE526B">
              <w:rPr>
                <w:iCs/>
                <w:szCs w:val="24"/>
              </w:rPr>
              <w:t xml:space="preserve">Mitcham </w:t>
            </w:r>
          </w:p>
        </w:tc>
      </w:tr>
      <w:tr w:rsidR="00CE526B" w:rsidRPr="00CE526B" w14:paraId="17966B8E" w14:textId="77777777" w:rsidTr="00C44A8F">
        <w:trPr>
          <w:cantSplit/>
        </w:trPr>
        <w:tc>
          <w:tcPr>
            <w:tcW w:w="967" w:type="pct"/>
            <w:vAlign w:val="bottom"/>
          </w:tcPr>
          <w:p w14:paraId="60ED4F2C" w14:textId="77777777" w:rsidR="00CE526B" w:rsidRPr="00CE526B" w:rsidRDefault="00CE526B" w:rsidP="00CE526B">
            <w:pPr>
              <w:spacing w:before="0" w:after="0" w:line="240" w:lineRule="auto"/>
              <w:jc w:val="center"/>
              <w:rPr>
                <w:rFonts w:cs="Arial"/>
                <w:iCs/>
              </w:rPr>
            </w:pPr>
            <w:r w:rsidRPr="00CE526B">
              <w:rPr>
                <w:rFonts w:cs="Arial"/>
                <w:iCs/>
                <w:color w:val="000000"/>
              </w:rPr>
              <w:t>SA</w:t>
            </w:r>
          </w:p>
        </w:tc>
        <w:tc>
          <w:tcPr>
            <w:tcW w:w="4033" w:type="pct"/>
            <w:vAlign w:val="bottom"/>
          </w:tcPr>
          <w:p w14:paraId="0B0345B8" w14:textId="77777777" w:rsidR="00CE526B" w:rsidRPr="00CE526B" w:rsidRDefault="00CE526B" w:rsidP="00CE526B">
            <w:pPr>
              <w:spacing w:before="0" w:after="0" w:line="240" w:lineRule="auto"/>
              <w:rPr>
                <w:iCs/>
                <w:szCs w:val="24"/>
              </w:rPr>
            </w:pPr>
            <w:r w:rsidRPr="00CE526B">
              <w:rPr>
                <w:iCs/>
                <w:szCs w:val="24"/>
              </w:rPr>
              <w:t xml:space="preserve">Mount Barker </w:t>
            </w:r>
          </w:p>
        </w:tc>
      </w:tr>
      <w:tr w:rsidR="00CE526B" w:rsidRPr="00CE526B" w14:paraId="0B6796F4" w14:textId="77777777" w:rsidTr="00C44A8F">
        <w:trPr>
          <w:cantSplit/>
        </w:trPr>
        <w:tc>
          <w:tcPr>
            <w:tcW w:w="967" w:type="pct"/>
            <w:vAlign w:val="bottom"/>
          </w:tcPr>
          <w:p w14:paraId="00A8D38C" w14:textId="77777777" w:rsidR="00CE526B" w:rsidRPr="00CE526B" w:rsidRDefault="00CE526B" w:rsidP="00CE526B">
            <w:pPr>
              <w:spacing w:before="0" w:after="0" w:line="240" w:lineRule="auto"/>
              <w:jc w:val="center"/>
              <w:rPr>
                <w:rFonts w:cs="Arial"/>
                <w:iCs/>
              </w:rPr>
            </w:pPr>
            <w:r w:rsidRPr="00CE526B">
              <w:rPr>
                <w:rFonts w:cs="Arial"/>
                <w:iCs/>
                <w:color w:val="000000"/>
              </w:rPr>
              <w:t>SA</w:t>
            </w:r>
          </w:p>
        </w:tc>
        <w:tc>
          <w:tcPr>
            <w:tcW w:w="4033" w:type="pct"/>
            <w:vAlign w:val="bottom"/>
          </w:tcPr>
          <w:p w14:paraId="67C854BC" w14:textId="77777777" w:rsidR="00CE526B" w:rsidRPr="00CE526B" w:rsidRDefault="00CE526B" w:rsidP="00CE526B">
            <w:pPr>
              <w:spacing w:before="0" w:after="0" w:line="240" w:lineRule="auto"/>
              <w:rPr>
                <w:iCs/>
                <w:szCs w:val="24"/>
              </w:rPr>
            </w:pPr>
            <w:r w:rsidRPr="00CE526B">
              <w:rPr>
                <w:iCs/>
                <w:szCs w:val="24"/>
              </w:rPr>
              <w:t xml:space="preserve">Onkaparinga </w:t>
            </w:r>
          </w:p>
        </w:tc>
      </w:tr>
      <w:tr w:rsidR="00CE526B" w:rsidRPr="00CE526B" w14:paraId="0E06223B" w14:textId="77777777" w:rsidTr="00C44A8F">
        <w:trPr>
          <w:cantSplit/>
        </w:trPr>
        <w:tc>
          <w:tcPr>
            <w:tcW w:w="967" w:type="pct"/>
            <w:vAlign w:val="bottom"/>
          </w:tcPr>
          <w:p w14:paraId="2016C7BD" w14:textId="77777777" w:rsidR="00CE526B" w:rsidRPr="00CE526B" w:rsidRDefault="00CE526B" w:rsidP="00CE526B">
            <w:pPr>
              <w:spacing w:before="0" w:after="0" w:line="240" w:lineRule="auto"/>
              <w:jc w:val="center"/>
              <w:rPr>
                <w:rFonts w:cs="Arial"/>
                <w:iCs/>
              </w:rPr>
            </w:pPr>
            <w:r w:rsidRPr="00CE526B">
              <w:rPr>
                <w:rFonts w:cs="Arial"/>
                <w:iCs/>
                <w:color w:val="000000"/>
              </w:rPr>
              <w:t>SA</w:t>
            </w:r>
          </w:p>
        </w:tc>
        <w:tc>
          <w:tcPr>
            <w:tcW w:w="4033" w:type="pct"/>
            <w:vAlign w:val="bottom"/>
          </w:tcPr>
          <w:p w14:paraId="24F960DF" w14:textId="77777777" w:rsidR="00CE526B" w:rsidRPr="00CE526B" w:rsidRDefault="00CE526B" w:rsidP="00CE526B">
            <w:pPr>
              <w:spacing w:before="0" w:after="0" w:line="240" w:lineRule="auto"/>
              <w:rPr>
                <w:iCs/>
                <w:szCs w:val="24"/>
              </w:rPr>
            </w:pPr>
            <w:proofErr w:type="spellStart"/>
            <w:r w:rsidRPr="00CE526B">
              <w:rPr>
                <w:iCs/>
                <w:szCs w:val="24"/>
              </w:rPr>
              <w:t>Playford</w:t>
            </w:r>
            <w:proofErr w:type="spellEnd"/>
            <w:r w:rsidRPr="00CE526B">
              <w:rPr>
                <w:iCs/>
                <w:szCs w:val="24"/>
              </w:rPr>
              <w:t xml:space="preserve"> </w:t>
            </w:r>
          </w:p>
        </w:tc>
      </w:tr>
      <w:tr w:rsidR="00CE526B" w:rsidRPr="00CE526B" w14:paraId="0D554CC4" w14:textId="77777777" w:rsidTr="00C44A8F">
        <w:trPr>
          <w:cantSplit/>
        </w:trPr>
        <w:tc>
          <w:tcPr>
            <w:tcW w:w="967" w:type="pct"/>
            <w:vAlign w:val="bottom"/>
          </w:tcPr>
          <w:p w14:paraId="1C5BF565" w14:textId="77777777" w:rsidR="00CE526B" w:rsidRPr="00CE526B" w:rsidRDefault="00CE526B" w:rsidP="00CE526B">
            <w:pPr>
              <w:spacing w:before="0" w:after="0" w:line="240" w:lineRule="auto"/>
              <w:jc w:val="center"/>
              <w:rPr>
                <w:rFonts w:cs="Arial"/>
                <w:iCs/>
              </w:rPr>
            </w:pPr>
            <w:r w:rsidRPr="00CE526B">
              <w:rPr>
                <w:rFonts w:cs="Arial"/>
                <w:iCs/>
                <w:color w:val="000000"/>
              </w:rPr>
              <w:t>SA</w:t>
            </w:r>
          </w:p>
        </w:tc>
        <w:tc>
          <w:tcPr>
            <w:tcW w:w="4033" w:type="pct"/>
            <w:vAlign w:val="bottom"/>
          </w:tcPr>
          <w:p w14:paraId="0EE1F3DE" w14:textId="77777777" w:rsidR="00CE526B" w:rsidRPr="00CE526B" w:rsidRDefault="00CE526B" w:rsidP="00CE526B">
            <w:pPr>
              <w:spacing w:before="0" w:after="0" w:line="240" w:lineRule="auto"/>
              <w:rPr>
                <w:iCs/>
                <w:szCs w:val="24"/>
              </w:rPr>
            </w:pPr>
            <w:r w:rsidRPr="00CE526B">
              <w:rPr>
                <w:iCs/>
                <w:szCs w:val="24"/>
              </w:rPr>
              <w:t xml:space="preserve">Port Lincoln </w:t>
            </w:r>
          </w:p>
        </w:tc>
      </w:tr>
      <w:tr w:rsidR="00CE526B" w:rsidRPr="00CE526B" w14:paraId="11C97C22" w14:textId="77777777" w:rsidTr="00C44A8F">
        <w:trPr>
          <w:cantSplit/>
        </w:trPr>
        <w:tc>
          <w:tcPr>
            <w:tcW w:w="967" w:type="pct"/>
            <w:vAlign w:val="bottom"/>
          </w:tcPr>
          <w:p w14:paraId="1C6EA8C3" w14:textId="77777777" w:rsidR="00CE526B" w:rsidRPr="00CE526B" w:rsidRDefault="00CE526B" w:rsidP="00CE526B">
            <w:pPr>
              <w:spacing w:before="0" w:after="0" w:line="240" w:lineRule="auto"/>
              <w:jc w:val="center"/>
              <w:rPr>
                <w:rFonts w:cs="Arial"/>
                <w:iCs/>
              </w:rPr>
            </w:pPr>
            <w:r w:rsidRPr="00CE526B">
              <w:rPr>
                <w:rFonts w:cs="Arial"/>
                <w:iCs/>
                <w:color w:val="000000"/>
              </w:rPr>
              <w:t>SA</w:t>
            </w:r>
          </w:p>
        </w:tc>
        <w:tc>
          <w:tcPr>
            <w:tcW w:w="4033" w:type="pct"/>
            <w:vAlign w:val="bottom"/>
          </w:tcPr>
          <w:p w14:paraId="5C4D0519" w14:textId="77777777" w:rsidR="00CE526B" w:rsidRPr="00CE526B" w:rsidRDefault="00CE526B" w:rsidP="00CE526B">
            <w:pPr>
              <w:spacing w:before="0" w:after="0" w:line="240" w:lineRule="auto"/>
              <w:rPr>
                <w:iCs/>
                <w:szCs w:val="24"/>
              </w:rPr>
            </w:pPr>
            <w:r w:rsidRPr="00CE526B">
              <w:rPr>
                <w:iCs/>
                <w:szCs w:val="24"/>
              </w:rPr>
              <w:t xml:space="preserve">Tea Tree Gully </w:t>
            </w:r>
          </w:p>
        </w:tc>
      </w:tr>
      <w:tr w:rsidR="00CE526B" w:rsidRPr="00CE526B" w14:paraId="08D0CE7C" w14:textId="77777777" w:rsidTr="00C44A8F">
        <w:trPr>
          <w:cantSplit/>
        </w:trPr>
        <w:tc>
          <w:tcPr>
            <w:tcW w:w="967" w:type="pct"/>
            <w:vAlign w:val="bottom"/>
          </w:tcPr>
          <w:p w14:paraId="79ABD4FA" w14:textId="77777777" w:rsidR="00CE526B" w:rsidRPr="00CE526B" w:rsidRDefault="00CE526B" w:rsidP="00CE526B">
            <w:pPr>
              <w:spacing w:before="0" w:after="0" w:line="240" w:lineRule="auto"/>
              <w:jc w:val="center"/>
              <w:rPr>
                <w:rFonts w:cs="Arial"/>
                <w:iCs/>
              </w:rPr>
            </w:pPr>
            <w:r w:rsidRPr="00CE526B">
              <w:rPr>
                <w:rFonts w:cs="Arial"/>
                <w:iCs/>
                <w:color w:val="000000"/>
              </w:rPr>
              <w:t>TAS</w:t>
            </w:r>
          </w:p>
        </w:tc>
        <w:tc>
          <w:tcPr>
            <w:tcW w:w="4033" w:type="pct"/>
            <w:vAlign w:val="bottom"/>
          </w:tcPr>
          <w:p w14:paraId="5016769A" w14:textId="77777777" w:rsidR="00CE526B" w:rsidRPr="00CE526B" w:rsidRDefault="00CE526B" w:rsidP="00CE526B">
            <w:pPr>
              <w:spacing w:before="0" w:after="0" w:line="240" w:lineRule="auto"/>
              <w:rPr>
                <w:iCs/>
                <w:szCs w:val="24"/>
              </w:rPr>
            </w:pPr>
            <w:r w:rsidRPr="00CE526B">
              <w:rPr>
                <w:iCs/>
                <w:szCs w:val="24"/>
              </w:rPr>
              <w:t xml:space="preserve">Break </w:t>
            </w:r>
            <w:proofErr w:type="spellStart"/>
            <w:r w:rsidRPr="00CE526B">
              <w:rPr>
                <w:iCs/>
                <w:szCs w:val="24"/>
              </w:rPr>
              <w:t>O'Day</w:t>
            </w:r>
            <w:proofErr w:type="spellEnd"/>
            <w:r w:rsidRPr="00CE526B">
              <w:rPr>
                <w:iCs/>
                <w:szCs w:val="24"/>
              </w:rPr>
              <w:t xml:space="preserve"> </w:t>
            </w:r>
          </w:p>
        </w:tc>
      </w:tr>
      <w:tr w:rsidR="00CE526B" w:rsidRPr="00CE526B" w14:paraId="7ADC85D2" w14:textId="77777777" w:rsidTr="00C44A8F">
        <w:trPr>
          <w:cantSplit/>
        </w:trPr>
        <w:tc>
          <w:tcPr>
            <w:tcW w:w="967" w:type="pct"/>
            <w:vAlign w:val="bottom"/>
          </w:tcPr>
          <w:p w14:paraId="4D8E2B09" w14:textId="77777777" w:rsidR="00CE526B" w:rsidRPr="00CE526B" w:rsidRDefault="00CE526B" w:rsidP="00CE526B">
            <w:pPr>
              <w:spacing w:before="0" w:after="0" w:line="240" w:lineRule="auto"/>
              <w:jc w:val="center"/>
              <w:rPr>
                <w:rFonts w:cs="Arial"/>
                <w:iCs/>
              </w:rPr>
            </w:pPr>
            <w:r w:rsidRPr="00CE526B">
              <w:rPr>
                <w:rFonts w:cs="Arial"/>
                <w:iCs/>
                <w:color w:val="000000"/>
              </w:rPr>
              <w:t>TAS</w:t>
            </w:r>
          </w:p>
        </w:tc>
        <w:tc>
          <w:tcPr>
            <w:tcW w:w="4033" w:type="pct"/>
            <w:vAlign w:val="bottom"/>
          </w:tcPr>
          <w:p w14:paraId="6215D6C1" w14:textId="77777777" w:rsidR="00CE526B" w:rsidRPr="00CE526B" w:rsidRDefault="00CE526B" w:rsidP="00CE526B">
            <w:pPr>
              <w:spacing w:before="0" w:after="0" w:line="240" w:lineRule="auto"/>
              <w:rPr>
                <w:iCs/>
                <w:szCs w:val="24"/>
              </w:rPr>
            </w:pPr>
            <w:r w:rsidRPr="00CE526B">
              <w:rPr>
                <w:iCs/>
                <w:szCs w:val="24"/>
              </w:rPr>
              <w:t xml:space="preserve">Brighton </w:t>
            </w:r>
          </w:p>
        </w:tc>
      </w:tr>
      <w:tr w:rsidR="00CE526B" w:rsidRPr="00CE526B" w14:paraId="08252462" w14:textId="77777777" w:rsidTr="00C44A8F">
        <w:trPr>
          <w:cantSplit/>
        </w:trPr>
        <w:tc>
          <w:tcPr>
            <w:tcW w:w="967" w:type="pct"/>
            <w:vAlign w:val="bottom"/>
          </w:tcPr>
          <w:p w14:paraId="7906D613" w14:textId="77777777" w:rsidR="00CE526B" w:rsidRPr="00CE526B" w:rsidRDefault="00CE526B" w:rsidP="00CE526B">
            <w:pPr>
              <w:spacing w:before="0" w:after="0" w:line="240" w:lineRule="auto"/>
              <w:jc w:val="center"/>
              <w:rPr>
                <w:rFonts w:cs="Arial"/>
                <w:iCs/>
              </w:rPr>
            </w:pPr>
            <w:r w:rsidRPr="00CE526B">
              <w:rPr>
                <w:rFonts w:cs="Arial"/>
                <w:iCs/>
                <w:color w:val="000000"/>
              </w:rPr>
              <w:t>TAS</w:t>
            </w:r>
          </w:p>
        </w:tc>
        <w:tc>
          <w:tcPr>
            <w:tcW w:w="4033" w:type="pct"/>
            <w:vAlign w:val="bottom"/>
          </w:tcPr>
          <w:p w14:paraId="164FA2CC" w14:textId="77777777" w:rsidR="00CE526B" w:rsidRPr="00CE526B" w:rsidRDefault="00CE526B" w:rsidP="00CE526B">
            <w:pPr>
              <w:spacing w:before="0" w:after="0" w:line="240" w:lineRule="auto"/>
              <w:rPr>
                <w:iCs/>
                <w:szCs w:val="24"/>
              </w:rPr>
            </w:pPr>
            <w:r w:rsidRPr="00CE526B">
              <w:rPr>
                <w:iCs/>
                <w:szCs w:val="24"/>
              </w:rPr>
              <w:t xml:space="preserve">Clarence </w:t>
            </w:r>
          </w:p>
        </w:tc>
      </w:tr>
      <w:tr w:rsidR="00CE526B" w:rsidRPr="00CE526B" w14:paraId="634A1681" w14:textId="77777777" w:rsidTr="00C44A8F">
        <w:trPr>
          <w:cantSplit/>
        </w:trPr>
        <w:tc>
          <w:tcPr>
            <w:tcW w:w="967" w:type="pct"/>
            <w:vAlign w:val="bottom"/>
          </w:tcPr>
          <w:p w14:paraId="13F186E4" w14:textId="77777777" w:rsidR="00CE526B" w:rsidRPr="00CE526B" w:rsidRDefault="00CE526B" w:rsidP="00CE526B">
            <w:pPr>
              <w:spacing w:before="0" w:after="0" w:line="240" w:lineRule="auto"/>
              <w:jc w:val="center"/>
              <w:rPr>
                <w:rFonts w:cs="Arial"/>
                <w:iCs/>
              </w:rPr>
            </w:pPr>
            <w:r w:rsidRPr="00CE526B">
              <w:rPr>
                <w:rFonts w:cs="Arial"/>
                <w:iCs/>
                <w:color w:val="000000"/>
              </w:rPr>
              <w:t>TAS</w:t>
            </w:r>
          </w:p>
        </w:tc>
        <w:tc>
          <w:tcPr>
            <w:tcW w:w="4033" w:type="pct"/>
            <w:vAlign w:val="bottom"/>
          </w:tcPr>
          <w:p w14:paraId="33D090A7" w14:textId="77777777" w:rsidR="00CE526B" w:rsidRPr="00CE526B" w:rsidRDefault="00CE526B" w:rsidP="00CE526B">
            <w:pPr>
              <w:spacing w:before="0" w:after="0" w:line="240" w:lineRule="auto"/>
              <w:rPr>
                <w:iCs/>
                <w:szCs w:val="24"/>
              </w:rPr>
            </w:pPr>
            <w:r w:rsidRPr="00CE526B">
              <w:rPr>
                <w:iCs/>
                <w:szCs w:val="24"/>
              </w:rPr>
              <w:t xml:space="preserve">Derwent Valley </w:t>
            </w:r>
          </w:p>
        </w:tc>
      </w:tr>
      <w:tr w:rsidR="00CE526B" w:rsidRPr="00CE526B" w14:paraId="573B07C7" w14:textId="77777777" w:rsidTr="00C44A8F">
        <w:trPr>
          <w:cantSplit/>
        </w:trPr>
        <w:tc>
          <w:tcPr>
            <w:tcW w:w="967" w:type="pct"/>
            <w:vAlign w:val="bottom"/>
          </w:tcPr>
          <w:p w14:paraId="2C4E49C7" w14:textId="77777777" w:rsidR="00CE526B" w:rsidRPr="00CE526B" w:rsidRDefault="00CE526B" w:rsidP="00CE526B">
            <w:pPr>
              <w:spacing w:before="0" w:after="0" w:line="240" w:lineRule="auto"/>
              <w:jc w:val="center"/>
              <w:rPr>
                <w:rFonts w:cs="Arial"/>
                <w:iCs/>
              </w:rPr>
            </w:pPr>
            <w:r w:rsidRPr="00CE526B">
              <w:rPr>
                <w:rFonts w:cs="Arial"/>
                <w:iCs/>
                <w:color w:val="000000"/>
              </w:rPr>
              <w:t>TAS</w:t>
            </w:r>
          </w:p>
        </w:tc>
        <w:tc>
          <w:tcPr>
            <w:tcW w:w="4033" w:type="pct"/>
            <w:vAlign w:val="bottom"/>
          </w:tcPr>
          <w:p w14:paraId="527114E2" w14:textId="77777777" w:rsidR="00CE526B" w:rsidRPr="00CE526B" w:rsidRDefault="00CE526B" w:rsidP="00CE526B">
            <w:pPr>
              <w:spacing w:before="0" w:after="0" w:line="240" w:lineRule="auto"/>
              <w:rPr>
                <w:iCs/>
                <w:szCs w:val="24"/>
              </w:rPr>
            </w:pPr>
            <w:r w:rsidRPr="00CE526B">
              <w:rPr>
                <w:iCs/>
                <w:szCs w:val="24"/>
              </w:rPr>
              <w:t xml:space="preserve">Glenorchy </w:t>
            </w:r>
          </w:p>
        </w:tc>
      </w:tr>
      <w:tr w:rsidR="00CE526B" w:rsidRPr="00CE526B" w14:paraId="1BE4EF59" w14:textId="77777777" w:rsidTr="00C44A8F">
        <w:trPr>
          <w:cantSplit/>
        </w:trPr>
        <w:tc>
          <w:tcPr>
            <w:tcW w:w="967" w:type="pct"/>
            <w:vAlign w:val="bottom"/>
          </w:tcPr>
          <w:p w14:paraId="0EA649CB" w14:textId="77777777" w:rsidR="00CE526B" w:rsidRPr="00CE526B" w:rsidRDefault="00CE526B" w:rsidP="00CE526B">
            <w:pPr>
              <w:spacing w:before="0" w:after="0" w:line="240" w:lineRule="auto"/>
              <w:jc w:val="center"/>
              <w:rPr>
                <w:rFonts w:cs="Arial"/>
                <w:iCs/>
              </w:rPr>
            </w:pPr>
            <w:r w:rsidRPr="00CE526B">
              <w:rPr>
                <w:rFonts w:cs="Arial"/>
                <w:iCs/>
                <w:color w:val="000000"/>
              </w:rPr>
              <w:t>TAS</w:t>
            </w:r>
          </w:p>
        </w:tc>
        <w:tc>
          <w:tcPr>
            <w:tcW w:w="4033" w:type="pct"/>
            <w:vAlign w:val="bottom"/>
          </w:tcPr>
          <w:p w14:paraId="1C69A4D3" w14:textId="77777777" w:rsidR="00CE526B" w:rsidRPr="00CE526B" w:rsidRDefault="00CE526B" w:rsidP="00CE526B">
            <w:pPr>
              <w:spacing w:before="0" w:after="0" w:line="240" w:lineRule="auto"/>
              <w:rPr>
                <w:iCs/>
                <w:szCs w:val="24"/>
              </w:rPr>
            </w:pPr>
            <w:r w:rsidRPr="00CE526B">
              <w:rPr>
                <w:iCs/>
                <w:szCs w:val="24"/>
              </w:rPr>
              <w:t xml:space="preserve">Hobart </w:t>
            </w:r>
          </w:p>
        </w:tc>
      </w:tr>
      <w:tr w:rsidR="00CE526B" w:rsidRPr="00CE526B" w14:paraId="044D0B30" w14:textId="77777777" w:rsidTr="00C44A8F">
        <w:trPr>
          <w:cantSplit/>
        </w:trPr>
        <w:tc>
          <w:tcPr>
            <w:tcW w:w="967" w:type="pct"/>
            <w:vAlign w:val="bottom"/>
          </w:tcPr>
          <w:p w14:paraId="38BEE1C1" w14:textId="77777777" w:rsidR="00CE526B" w:rsidRPr="00CE526B" w:rsidRDefault="00CE526B" w:rsidP="00CE526B">
            <w:pPr>
              <w:spacing w:before="0" w:after="0" w:line="240" w:lineRule="auto"/>
              <w:jc w:val="center"/>
              <w:rPr>
                <w:rFonts w:cs="Arial"/>
                <w:iCs/>
              </w:rPr>
            </w:pPr>
            <w:r w:rsidRPr="00CE526B">
              <w:rPr>
                <w:rFonts w:cs="Arial"/>
                <w:iCs/>
                <w:color w:val="000000"/>
              </w:rPr>
              <w:t>TAS</w:t>
            </w:r>
          </w:p>
        </w:tc>
        <w:tc>
          <w:tcPr>
            <w:tcW w:w="4033" w:type="pct"/>
            <w:vAlign w:val="bottom"/>
          </w:tcPr>
          <w:p w14:paraId="0DE77A57" w14:textId="77777777" w:rsidR="00CE526B" w:rsidRPr="00CE526B" w:rsidRDefault="00CE526B" w:rsidP="00CE526B">
            <w:pPr>
              <w:spacing w:before="0" w:after="0" w:line="240" w:lineRule="auto"/>
              <w:rPr>
                <w:iCs/>
                <w:szCs w:val="24"/>
              </w:rPr>
            </w:pPr>
            <w:r w:rsidRPr="00CE526B">
              <w:rPr>
                <w:iCs/>
                <w:szCs w:val="24"/>
              </w:rPr>
              <w:t xml:space="preserve">Huon Valley </w:t>
            </w:r>
          </w:p>
        </w:tc>
      </w:tr>
      <w:tr w:rsidR="00CE526B" w:rsidRPr="00CE526B" w14:paraId="5E45A477" w14:textId="77777777" w:rsidTr="00C44A8F">
        <w:trPr>
          <w:cantSplit/>
        </w:trPr>
        <w:tc>
          <w:tcPr>
            <w:tcW w:w="967" w:type="pct"/>
            <w:vAlign w:val="bottom"/>
          </w:tcPr>
          <w:p w14:paraId="1AB2F107" w14:textId="77777777" w:rsidR="00CE526B" w:rsidRPr="00CE526B" w:rsidRDefault="00CE526B" w:rsidP="00CE526B">
            <w:pPr>
              <w:spacing w:before="0" w:after="0" w:line="240" w:lineRule="auto"/>
              <w:jc w:val="center"/>
              <w:rPr>
                <w:rFonts w:cs="Arial"/>
                <w:iCs/>
              </w:rPr>
            </w:pPr>
            <w:r w:rsidRPr="00CE526B">
              <w:rPr>
                <w:rFonts w:cs="Arial"/>
                <w:iCs/>
                <w:color w:val="000000"/>
              </w:rPr>
              <w:t>TAS</w:t>
            </w:r>
          </w:p>
        </w:tc>
        <w:tc>
          <w:tcPr>
            <w:tcW w:w="4033" w:type="pct"/>
            <w:vAlign w:val="bottom"/>
          </w:tcPr>
          <w:p w14:paraId="5DD5630C" w14:textId="77777777" w:rsidR="00CE526B" w:rsidRPr="00CE526B" w:rsidRDefault="00CE526B" w:rsidP="00CE526B">
            <w:pPr>
              <w:spacing w:before="0" w:after="0" w:line="240" w:lineRule="auto"/>
              <w:rPr>
                <w:iCs/>
                <w:szCs w:val="24"/>
              </w:rPr>
            </w:pPr>
            <w:proofErr w:type="spellStart"/>
            <w:r w:rsidRPr="00CE526B">
              <w:rPr>
                <w:iCs/>
                <w:szCs w:val="24"/>
              </w:rPr>
              <w:t>Kingborough</w:t>
            </w:r>
            <w:proofErr w:type="spellEnd"/>
            <w:r w:rsidRPr="00CE526B">
              <w:rPr>
                <w:iCs/>
                <w:szCs w:val="24"/>
              </w:rPr>
              <w:t xml:space="preserve"> </w:t>
            </w:r>
          </w:p>
        </w:tc>
      </w:tr>
      <w:tr w:rsidR="00CE526B" w:rsidRPr="00CE526B" w14:paraId="454C8944" w14:textId="77777777" w:rsidTr="00C44A8F">
        <w:trPr>
          <w:cantSplit/>
        </w:trPr>
        <w:tc>
          <w:tcPr>
            <w:tcW w:w="967" w:type="pct"/>
            <w:vAlign w:val="bottom"/>
          </w:tcPr>
          <w:p w14:paraId="30C352A8"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5046C04F" w14:textId="77777777" w:rsidR="00CE526B" w:rsidRPr="00CE526B" w:rsidRDefault="00CE526B" w:rsidP="00CE526B">
            <w:pPr>
              <w:spacing w:before="0" w:after="0" w:line="240" w:lineRule="auto"/>
              <w:rPr>
                <w:iCs/>
                <w:szCs w:val="24"/>
              </w:rPr>
            </w:pPr>
            <w:r w:rsidRPr="00CE526B">
              <w:rPr>
                <w:iCs/>
                <w:szCs w:val="24"/>
              </w:rPr>
              <w:t xml:space="preserve">Alpine </w:t>
            </w:r>
          </w:p>
        </w:tc>
      </w:tr>
      <w:tr w:rsidR="00CE526B" w:rsidRPr="00CE526B" w14:paraId="62B4A135" w14:textId="77777777" w:rsidTr="00C44A8F">
        <w:trPr>
          <w:cantSplit/>
        </w:trPr>
        <w:tc>
          <w:tcPr>
            <w:tcW w:w="967" w:type="pct"/>
            <w:vAlign w:val="bottom"/>
          </w:tcPr>
          <w:p w14:paraId="243AC521"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7DA94B24" w14:textId="77777777" w:rsidR="00CE526B" w:rsidRPr="00CE526B" w:rsidRDefault="00CE526B" w:rsidP="00CE526B">
            <w:pPr>
              <w:spacing w:before="0" w:after="0" w:line="240" w:lineRule="auto"/>
              <w:rPr>
                <w:iCs/>
                <w:szCs w:val="24"/>
              </w:rPr>
            </w:pPr>
            <w:r w:rsidRPr="00CE526B">
              <w:rPr>
                <w:iCs/>
                <w:szCs w:val="24"/>
              </w:rPr>
              <w:t xml:space="preserve">Ballarat </w:t>
            </w:r>
          </w:p>
        </w:tc>
      </w:tr>
      <w:tr w:rsidR="00CE526B" w:rsidRPr="00CE526B" w14:paraId="00B8AC7A" w14:textId="77777777" w:rsidTr="00C44A8F">
        <w:trPr>
          <w:cantSplit/>
        </w:trPr>
        <w:tc>
          <w:tcPr>
            <w:tcW w:w="967" w:type="pct"/>
            <w:vAlign w:val="bottom"/>
          </w:tcPr>
          <w:p w14:paraId="46995548"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03697BA2" w14:textId="77777777" w:rsidR="00CE526B" w:rsidRPr="00CE526B" w:rsidRDefault="00CE526B" w:rsidP="00CE526B">
            <w:pPr>
              <w:spacing w:before="0" w:after="0" w:line="240" w:lineRule="auto"/>
              <w:rPr>
                <w:iCs/>
                <w:szCs w:val="24"/>
              </w:rPr>
            </w:pPr>
            <w:r w:rsidRPr="00CE526B">
              <w:rPr>
                <w:iCs/>
                <w:szCs w:val="24"/>
              </w:rPr>
              <w:t xml:space="preserve">Bass Coast </w:t>
            </w:r>
          </w:p>
        </w:tc>
      </w:tr>
      <w:tr w:rsidR="00CE526B" w:rsidRPr="00CE526B" w14:paraId="28D35E39" w14:textId="77777777" w:rsidTr="00C44A8F">
        <w:trPr>
          <w:cantSplit/>
        </w:trPr>
        <w:tc>
          <w:tcPr>
            <w:tcW w:w="967" w:type="pct"/>
            <w:vAlign w:val="bottom"/>
          </w:tcPr>
          <w:p w14:paraId="47BD87C1"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4D0DE33C" w14:textId="77777777" w:rsidR="00CE526B" w:rsidRPr="00CE526B" w:rsidRDefault="00CE526B" w:rsidP="00CE526B">
            <w:pPr>
              <w:spacing w:before="0" w:after="0" w:line="240" w:lineRule="auto"/>
              <w:rPr>
                <w:iCs/>
                <w:szCs w:val="24"/>
              </w:rPr>
            </w:pPr>
            <w:r w:rsidRPr="00CE526B">
              <w:rPr>
                <w:iCs/>
                <w:szCs w:val="24"/>
              </w:rPr>
              <w:t xml:space="preserve">Baw </w:t>
            </w:r>
            <w:proofErr w:type="spellStart"/>
            <w:r w:rsidRPr="00CE526B">
              <w:rPr>
                <w:iCs/>
                <w:szCs w:val="24"/>
              </w:rPr>
              <w:t>Baw</w:t>
            </w:r>
            <w:proofErr w:type="spellEnd"/>
            <w:r w:rsidRPr="00CE526B">
              <w:rPr>
                <w:iCs/>
                <w:szCs w:val="24"/>
              </w:rPr>
              <w:t xml:space="preserve"> </w:t>
            </w:r>
          </w:p>
        </w:tc>
      </w:tr>
      <w:tr w:rsidR="00CE526B" w:rsidRPr="00CE526B" w14:paraId="5A1746F5" w14:textId="77777777" w:rsidTr="00C44A8F">
        <w:trPr>
          <w:cantSplit/>
        </w:trPr>
        <w:tc>
          <w:tcPr>
            <w:tcW w:w="967" w:type="pct"/>
            <w:vAlign w:val="bottom"/>
          </w:tcPr>
          <w:p w14:paraId="4FD279FC"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589EAB1C" w14:textId="77777777" w:rsidR="00CE526B" w:rsidRPr="00CE526B" w:rsidRDefault="00CE526B" w:rsidP="00CE526B">
            <w:pPr>
              <w:spacing w:before="0" w:after="0" w:line="240" w:lineRule="auto"/>
              <w:rPr>
                <w:iCs/>
                <w:szCs w:val="24"/>
              </w:rPr>
            </w:pPr>
            <w:r w:rsidRPr="00CE526B">
              <w:rPr>
                <w:iCs/>
                <w:szCs w:val="24"/>
              </w:rPr>
              <w:t xml:space="preserve">Cardinia </w:t>
            </w:r>
          </w:p>
        </w:tc>
      </w:tr>
      <w:tr w:rsidR="00CE526B" w:rsidRPr="00CE526B" w14:paraId="17E5464B" w14:textId="77777777" w:rsidTr="00C44A8F">
        <w:trPr>
          <w:cantSplit/>
        </w:trPr>
        <w:tc>
          <w:tcPr>
            <w:tcW w:w="967" w:type="pct"/>
            <w:vAlign w:val="bottom"/>
          </w:tcPr>
          <w:p w14:paraId="4A0A1386"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7F9BD271" w14:textId="77777777" w:rsidR="00CE526B" w:rsidRPr="00CE526B" w:rsidRDefault="00CE526B" w:rsidP="00CE526B">
            <w:pPr>
              <w:spacing w:before="0" w:after="0" w:line="240" w:lineRule="auto"/>
              <w:rPr>
                <w:iCs/>
                <w:szCs w:val="24"/>
              </w:rPr>
            </w:pPr>
            <w:r w:rsidRPr="00CE526B">
              <w:rPr>
                <w:iCs/>
                <w:szCs w:val="24"/>
              </w:rPr>
              <w:t xml:space="preserve">Colac-Otway </w:t>
            </w:r>
          </w:p>
        </w:tc>
      </w:tr>
      <w:tr w:rsidR="00CE526B" w:rsidRPr="00CE526B" w14:paraId="4B1A0F0B" w14:textId="77777777" w:rsidTr="00C44A8F">
        <w:trPr>
          <w:cantSplit/>
        </w:trPr>
        <w:tc>
          <w:tcPr>
            <w:tcW w:w="967" w:type="pct"/>
            <w:vAlign w:val="bottom"/>
          </w:tcPr>
          <w:p w14:paraId="51C66DDB"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447156C1" w14:textId="77777777" w:rsidR="00CE526B" w:rsidRPr="00CE526B" w:rsidRDefault="00CE526B" w:rsidP="00CE526B">
            <w:pPr>
              <w:spacing w:before="0" w:after="0" w:line="240" w:lineRule="auto"/>
              <w:rPr>
                <w:iCs/>
                <w:szCs w:val="24"/>
              </w:rPr>
            </w:pPr>
            <w:r w:rsidRPr="00CE526B">
              <w:rPr>
                <w:iCs/>
                <w:szCs w:val="24"/>
              </w:rPr>
              <w:t xml:space="preserve">East Gippsland </w:t>
            </w:r>
          </w:p>
        </w:tc>
      </w:tr>
      <w:tr w:rsidR="00CE526B" w:rsidRPr="00CE526B" w14:paraId="3B004D60" w14:textId="77777777" w:rsidTr="00C44A8F">
        <w:trPr>
          <w:cantSplit/>
        </w:trPr>
        <w:tc>
          <w:tcPr>
            <w:tcW w:w="967" w:type="pct"/>
            <w:vAlign w:val="bottom"/>
          </w:tcPr>
          <w:p w14:paraId="41BFE62C"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79EE0344" w14:textId="77777777" w:rsidR="00CE526B" w:rsidRPr="00CE526B" w:rsidRDefault="00CE526B" w:rsidP="00CE526B">
            <w:pPr>
              <w:spacing w:before="0" w:after="0" w:line="240" w:lineRule="auto"/>
              <w:rPr>
                <w:iCs/>
                <w:szCs w:val="24"/>
              </w:rPr>
            </w:pPr>
            <w:r w:rsidRPr="00CE526B">
              <w:rPr>
                <w:iCs/>
                <w:szCs w:val="24"/>
              </w:rPr>
              <w:t xml:space="preserve">Glenelg </w:t>
            </w:r>
          </w:p>
        </w:tc>
      </w:tr>
      <w:tr w:rsidR="00CE526B" w:rsidRPr="00CE526B" w14:paraId="4A56C1EF" w14:textId="77777777" w:rsidTr="00C44A8F">
        <w:trPr>
          <w:cantSplit/>
        </w:trPr>
        <w:tc>
          <w:tcPr>
            <w:tcW w:w="967" w:type="pct"/>
            <w:vAlign w:val="bottom"/>
          </w:tcPr>
          <w:p w14:paraId="15A53784"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7E4F7C0C" w14:textId="77777777" w:rsidR="00CE526B" w:rsidRPr="00CE526B" w:rsidRDefault="00CE526B" w:rsidP="00CE526B">
            <w:pPr>
              <w:spacing w:before="0" w:after="0" w:line="240" w:lineRule="auto"/>
              <w:rPr>
                <w:iCs/>
                <w:szCs w:val="24"/>
              </w:rPr>
            </w:pPr>
            <w:r w:rsidRPr="00CE526B">
              <w:rPr>
                <w:iCs/>
                <w:szCs w:val="24"/>
              </w:rPr>
              <w:t xml:space="preserve">Golden Plains </w:t>
            </w:r>
          </w:p>
        </w:tc>
      </w:tr>
      <w:tr w:rsidR="00CE526B" w:rsidRPr="00CE526B" w14:paraId="6BFFC311" w14:textId="77777777" w:rsidTr="00C44A8F">
        <w:trPr>
          <w:cantSplit/>
        </w:trPr>
        <w:tc>
          <w:tcPr>
            <w:tcW w:w="967" w:type="pct"/>
            <w:vAlign w:val="bottom"/>
          </w:tcPr>
          <w:p w14:paraId="7D5AC51D"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1E48DAD4" w14:textId="77777777" w:rsidR="00CE526B" w:rsidRPr="00CE526B" w:rsidRDefault="00CE526B" w:rsidP="00CE526B">
            <w:pPr>
              <w:spacing w:before="0" w:after="0" w:line="240" w:lineRule="auto"/>
              <w:rPr>
                <w:iCs/>
                <w:szCs w:val="24"/>
              </w:rPr>
            </w:pPr>
            <w:r w:rsidRPr="00CE526B">
              <w:rPr>
                <w:iCs/>
                <w:szCs w:val="24"/>
              </w:rPr>
              <w:t xml:space="preserve">Greater Bendigo </w:t>
            </w:r>
          </w:p>
        </w:tc>
      </w:tr>
      <w:tr w:rsidR="00CE526B" w:rsidRPr="00CE526B" w14:paraId="5704824F" w14:textId="77777777" w:rsidTr="00C44A8F">
        <w:trPr>
          <w:cantSplit/>
        </w:trPr>
        <w:tc>
          <w:tcPr>
            <w:tcW w:w="967" w:type="pct"/>
            <w:vAlign w:val="bottom"/>
          </w:tcPr>
          <w:p w14:paraId="4DEB4B07"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56AA1C17" w14:textId="77777777" w:rsidR="00CE526B" w:rsidRPr="00CE526B" w:rsidRDefault="00CE526B" w:rsidP="00CE526B">
            <w:pPr>
              <w:spacing w:before="0" w:after="0" w:line="240" w:lineRule="auto"/>
              <w:rPr>
                <w:iCs/>
                <w:szCs w:val="24"/>
              </w:rPr>
            </w:pPr>
            <w:r w:rsidRPr="00CE526B">
              <w:rPr>
                <w:iCs/>
                <w:szCs w:val="24"/>
              </w:rPr>
              <w:t xml:space="preserve">Greater Geelong </w:t>
            </w:r>
          </w:p>
        </w:tc>
      </w:tr>
      <w:tr w:rsidR="00CE526B" w:rsidRPr="00CE526B" w14:paraId="2D9EEFF4" w14:textId="77777777" w:rsidTr="00C44A8F">
        <w:trPr>
          <w:cantSplit/>
        </w:trPr>
        <w:tc>
          <w:tcPr>
            <w:tcW w:w="967" w:type="pct"/>
            <w:vAlign w:val="bottom"/>
          </w:tcPr>
          <w:p w14:paraId="6307F660"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4383AD5F" w14:textId="77777777" w:rsidR="00CE526B" w:rsidRPr="00CE526B" w:rsidRDefault="00CE526B" w:rsidP="00CE526B">
            <w:pPr>
              <w:spacing w:before="0" w:after="0" w:line="240" w:lineRule="auto"/>
              <w:rPr>
                <w:iCs/>
                <w:szCs w:val="24"/>
              </w:rPr>
            </w:pPr>
            <w:r w:rsidRPr="00CE526B">
              <w:rPr>
                <w:iCs/>
                <w:szCs w:val="24"/>
              </w:rPr>
              <w:t xml:space="preserve">Hepburn </w:t>
            </w:r>
          </w:p>
        </w:tc>
      </w:tr>
      <w:tr w:rsidR="00CE526B" w:rsidRPr="00CE526B" w14:paraId="7ED6B9FA" w14:textId="77777777" w:rsidTr="00C44A8F">
        <w:trPr>
          <w:cantSplit/>
        </w:trPr>
        <w:tc>
          <w:tcPr>
            <w:tcW w:w="967" w:type="pct"/>
            <w:vAlign w:val="bottom"/>
          </w:tcPr>
          <w:p w14:paraId="45682055"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46AD3BAA" w14:textId="77777777" w:rsidR="00CE526B" w:rsidRPr="00CE526B" w:rsidRDefault="00CE526B" w:rsidP="00CE526B">
            <w:pPr>
              <w:spacing w:before="0" w:after="0" w:line="240" w:lineRule="auto"/>
              <w:rPr>
                <w:iCs/>
                <w:szCs w:val="24"/>
              </w:rPr>
            </w:pPr>
            <w:r w:rsidRPr="00CE526B">
              <w:rPr>
                <w:iCs/>
                <w:szCs w:val="24"/>
              </w:rPr>
              <w:t xml:space="preserve">Indigo </w:t>
            </w:r>
          </w:p>
        </w:tc>
      </w:tr>
      <w:tr w:rsidR="00CE526B" w:rsidRPr="00CE526B" w14:paraId="2D3C6924" w14:textId="77777777" w:rsidTr="00C44A8F">
        <w:trPr>
          <w:cantSplit/>
        </w:trPr>
        <w:tc>
          <w:tcPr>
            <w:tcW w:w="967" w:type="pct"/>
            <w:vAlign w:val="bottom"/>
          </w:tcPr>
          <w:p w14:paraId="0EA9A821"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1DA3BAA7" w14:textId="77777777" w:rsidR="00CE526B" w:rsidRPr="00CE526B" w:rsidRDefault="00CE526B" w:rsidP="00CE526B">
            <w:pPr>
              <w:spacing w:before="0" w:after="0" w:line="240" w:lineRule="auto"/>
              <w:rPr>
                <w:iCs/>
                <w:szCs w:val="24"/>
              </w:rPr>
            </w:pPr>
            <w:r w:rsidRPr="00CE526B">
              <w:rPr>
                <w:iCs/>
                <w:szCs w:val="24"/>
              </w:rPr>
              <w:t>Latrobe  (Vic.)</w:t>
            </w:r>
          </w:p>
        </w:tc>
      </w:tr>
      <w:tr w:rsidR="00CE526B" w:rsidRPr="00CE526B" w14:paraId="4EB3DECB" w14:textId="77777777" w:rsidTr="00C44A8F">
        <w:trPr>
          <w:cantSplit/>
        </w:trPr>
        <w:tc>
          <w:tcPr>
            <w:tcW w:w="967" w:type="pct"/>
            <w:vAlign w:val="bottom"/>
          </w:tcPr>
          <w:p w14:paraId="019A6711"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1B70BA9D" w14:textId="77777777" w:rsidR="00CE526B" w:rsidRPr="00CE526B" w:rsidRDefault="00CE526B" w:rsidP="00CE526B">
            <w:pPr>
              <w:spacing w:before="0" w:after="0" w:line="240" w:lineRule="auto"/>
              <w:rPr>
                <w:iCs/>
                <w:szCs w:val="24"/>
              </w:rPr>
            </w:pPr>
            <w:r w:rsidRPr="00CE526B">
              <w:rPr>
                <w:iCs/>
                <w:szCs w:val="24"/>
              </w:rPr>
              <w:t xml:space="preserve">Macedon Ranges </w:t>
            </w:r>
          </w:p>
        </w:tc>
      </w:tr>
      <w:tr w:rsidR="00CE526B" w:rsidRPr="00CE526B" w14:paraId="4F6311EA" w14:textId="77777777" w:rsidTr="00C44A8F">
        <w:trPr>
          <w:cantSplit/>
        </w:trPr>
        <w:tc>
          <w:tcPr>
            <w:tcW w:w="967" w:type="pct"/>
            <w:vAlign w:val="bottom"/>
          </w:tcPr>
          <w:p w14:paraId="6576FB35"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2090002A" w14:textId="77777777" w:rsidR="00CE526B" w:rsidRPr="00CE526B" w:rsidRDefault="00CE526B" w:rsidP="00CE526B">
            <w:pPr>
              <w:spacing w:before="0" w:after="0" w:line="240" w:lineRule="auto"/>
              <w:rPr>
                <w:iCs/>
                <w:szCs w:val="24"/>
              </w:rPr>
            </w:pPr>
            <w:r w:rsidRPr="00CE526B">
              <w:rPr>
                <w:iCs/>
                <w:szCs w:val="24"/>
              </w:rPr>
              <w:t xml:space="preserve">Manningham </w:t>
            </w:r>
          </w:p>
        </w:tc>
      </w:tr>
      <w:tr w:rsidR="00CE526B" w:rsidRPr="00CE526B" w14:paraId="4B63492E" w14:textId="77777777" w:rsidTr="00C44A8F">
        <w:trPr>
          <w:cantSplit/>
        </w:trPr>
        <w:tc>
          <w:tcPr>
            <w:tcW w:w="967" w:type="pct"/>
            <w:vAlign w:val="bottom"/>
          </w:tcPr>
          <w:p w14:paraId="26B322DD"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414D3E7E" w14:textId="77777777" w:rsidR="00CE526B" w:rsidRPr="00CE526B" w:rsidRDefault="00CE526B" w:rsidP="00CE526B">
            <w:pPr>
              <w:spacing w:before="0" w:after="0" w:line="240" w:lineRule="auto"/>
              <w:rPr>
                <w:iCs/>
                <w:szCs w:val="24"/>
              </w:rPr>
            </w:pPr>
            <w:r w:rsidRPr="00CE526B">
              <w:rPr>
                <w:iCs/>
                <w:szCs w:val="24"/>
              </w:rPr>
              <w:t xml:space="preserve">Mansfield </w:t>
            </w:r>
          </w:p>
        </w:tc>
      </w:tr>
      <w:tr w:rsidR="00CE526B" w:rsidRPr="00CE526B" w14:paraId="17E2D026" w14:textId="77777777" w:rsidTr="00C44A8F">
        <w:trPr>
          <w:cantSplit/>
        </w:trPr>
        <w:tc>
          <w:tcPr>
            <w:tcW w:w="967" w:type="pct"/>
            <w:vAlign w:val="bottom"/>
          </w:tcPr>
          <w:p w14:paraId="3AFB48A5"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551EC119" w14:textId="77777777" w:rsidR="00CE526B" w:rsidRPr="00CE526B" w:rsidRDefault="00CE526B" w:rsidP="00CE526B">
            <w:pPr>
              <w:spacing w:before="0" w:after="0" w:line="240" w:lineRule="auto"/>
              <w:rPr>
                <w:iCs/>
                <w:szCs w:val="24"/>
              </w:rPr>
            </w:pPr>
            <w:r w:rsidRPr="00CE526B">
              <w:rPr>
                <w:iCs/>
                <w:szCs w:val="24"/>
              </w:rPr>
              <w:t xml:space="preserve">Mitchell </w:t>
            </w:r>
          </w:p>
        </w:tc>
      </w:tr>
      <w:tr w:rsidR="00CE526B" w:rsidRPr="00CE526B" w14:paraId="6F94D040" w14:textId="77777777" w:rsidTr="00C44A8F">
        <w:trPr>
          <w:cantSplit/>
        </w:trPr>
        <w:tc>
          <w:tcPr>
            <w:tcW w:w="967" w:type="pct"/>
            <w:vAlign w:val="bottom"/>
          </w:tcPr>
          <w:p w14:paraId="73580324"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127D64E8" w14:textId="77777777" w:rsidR="00CE526B" w:rsidRPr="00CE526B" w:rsidRDefault="00CE526B" w:rsidP="00CE526B">
            <w:pPr>
              <w:spacing w:before="0" w:after="0" w:line="240" w:lineRule="auto"/>
              <w:rPr>
                <w:iCs/>
                <w:szCs w:val="24"/>
              </w:rPr>
            </w:pPr>
            <w:r w:rsidRPr="00CE526B">
              <w:rPr>
                <w:iCs/>
                <w:szCs w:val="24"/>
              </w:rPr>
              <w:t xml:space="preserve">Moorabool </w:t>
            </w:r>
          </w:p>
        </w:tc>
      </w:tr>
      <w:tr w:rsidR="00CE526B" w:rsidRPr="00CE526B" w14:paraId="1213524D" w14:textId="77777777" w:rsidTr="00C44A8F">
        <w:trPr>
          <w:cantSplit/>
        </w:trPr>
        <w:tc>
          <w:tcPr>
            <w:tcW w:w="967" w:type="pct"/>
            <w:vAlign w:val="bottom"/>
          </w:tcPr>
          <w:p w14:paraId="3B061B64"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745593C8" w14:textId="77777777" w:rsidR="00CE526B" w:rsidRPr="00CE526B" w:rsidRDefault="00CE526B" w:rsidP="00CE526B">
            <w:pPr>
              <w:spacing w:before="0" w:after="0" w:line="240" w:lineRule="auto"/>
              <w:rPr>
                <w:iCs/>
                <w:szCs w:val="24"/>
              </w:rPr>
            </w:pPr>
            <w:r w:rsidRPr="00CE526B">
              <w:rPr>
                <w:iCs/>
                <w:szCs w:val="24"/>
              </w:rPr>
              <w:t xml:space="preserve">Mornington Peninsula </w:t>
            </w:r>
          </w:p>
        </w:tc>
      </w:tr>
      <w:tr w:rsidR="00CE526B" w:rsidRPr="00CE526B" w14:paraId="2D5E19FB" w14:textId="77777777" w:rsidTr="00C44A8F">
        <w:trPr>
          <w:cantSplit/>
        </w:trPr>
        <w:tc>
          <w:tcPr>
            <w:tcW w:w="967" w:type="pct"/>
            <w:vAlign w:val="bottom"/>
          </w:tcPr>
          <w:p w14:paraId="0A490428"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2E311E24" w14:textId="77777777" w:rsidR="00CE526B" w:rsidRPr="00CE526B" w:rsidRDefault="00CE526B" w:rsidP="00CE526B">
            <w:pPr>
              <w:spacing w:before="0" w:after="0" w:line="240" w:lineRule="auto"/>
              <w:rPr>
                <w:iCs/>
                <w:szCs w:val="24"/>
              </w:rPr>
            </w:pPr>
            <w:r w:rsidRPr="00CE526B">
              <w:rPr>
                <w:iCs/>
                <w:szCs w:val="24"/>
              </w:rPr>
              <w:t xml:space="preserve">Mount Alexander </w:t>
            </w:r>
          </w:p>
        </w:tc>
      </w:tr>
      <w:tr w:rsidR="00CE526B" w:rsidRPr="00CE526B" w14:paraId="5606CE96" w14:textId="77777777" w:rsidTr="00C44A8F">
        <w:trPr>
          <w:cantSplit/>
        </w:trPr>
        <w:tc>
          <w:tcPr>
            <w:tcW w:w="967" w:type="pct"/>
            <w:vAlign w:val="bottom"/>
          </w:tcPr>
          <w:p w14:paraId="0E176FEE"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342DA45A" w14:textId="77777777" w:rsidR="00CE526B" w:rsidRPr="00CE526B" w:rsidRDefault="00CE526B" w:rsidP="00CE526B">
            <w:pPr>
              <w:spacing w:before="0" w:after="0" w:line="240" w:lineRule="auto"/>
              <w:rPr>
                <w:iCs/>
                <w:szCs w:val="24"/>
              </w:rPr>
            </w:pPr>
            <w:r w:rsidRPr="00CE526B">
              <w:rPr>
                <w:iCs/>
                <w:szCs w:val="24"/>
              </w:rPr>
              <w:t xml:space="preserve">Moyne </w:t>
            </w:r>
          </w:p>
        </w:tc>
      </w:tr>
      <w:tr w:rsidR="00CE526B" w:rsidRPr="00CE526B" w14:paraId="5844FCA5" w14:textId="77777777" w:rsidTr="00C44A8F">
        <w:trPr>
          <w:cantSplit/>
        </w:trPr>
        <w:tc>
          <w:tcPr>
            <w:tcW w:w="967" w:type="pct"/>
            <w:vAlign w:val="bottom"/>
          </w:tcPr>
          <w:p w14:paraId="5E302BAE"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79088E38" w14:textId="77777777" w:rsidR="00CE526B" w:rsidRPr="00CE526B" w:rsidRDefault="00CE526B" w:rsidP="00CE526B">
            <w:pPr>
              <w:spacing w:before="0" w:after="0" w:line="240" w:lineRule="auto"/>
              <w:rPr>
                <w:iCs/>
                <w:szCs w:val="24"/>
              </w:rPr>
            </w:pPr>
            <w:r w:rsidRPr="00CE526B">
              <w:rPr>
                <w:iCs/>
                <w:szCs w:val="24"/>
              </w:rPr>
              <w:t xml:space="preserve">Murrindindi </w:t>
            </w:r>
          </w:p>
        </w:tc>
      </w:tr>
      <w:tr w:rsidR="00CE526B" w:rsidRPr="00CE526B" w14:paraId="4F46AFE7" w14:textId="77777777" w:rsidTr="00C44A8F">
        <w:trPr>
          <w:cantSplit/>
        </w:trPr>
        <w:tc>
          <w:tcPr>
            <w:tcW w:w="967" w:type="pct"/>
            <w:vAlign w:val="bottom"/>
          </w:tcPr>
          <w:p w14:paraId="699D1AFC"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4B21159B" w14:textId="77777777" w:rsidR="00CE526B" w:rsidRPr="00CE526B" w:rsidRDefault="00CE526B" w:rsidP="00CE526B">
            <w:pPr>
              <w:spacing w:before="0" w:after="0" w:line="240" w:lineRule="auto"/>
              <w:rPr>
                <w:iCs/>
                <w:szCs w:val="24"/>
              </w:rPr>
            </w:pPr>
            <w:r w:rsidRPr="00CE526B">
              <w:rPr>
                <w:iCs/>
                <w:szCs w:val="24"/>
              </w:rPr>
              <w:t xml:space="preserve">Nillumbik </w:t>
            </w:r>
          </w:p>
        </w:tc>
      </w:tr>
      <w:tr w:rsidR="00CE526B" w:rsidRPr="00CE526B" w14:paraId="4F888726" w14:textId="77777777" w:rsidTr="00C44A8F">
        <w:trPr>
          <w:cantSplit/>
        </w:trPr>
        <w:tc>
          <w:tcPr>
            <w:tcW w:w="967" w:type="pct"/>
            <w:vAlign w:val="bottom"/>
          </w:tcPr>
          <w:p w14:paraId="65D70D87"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062EE15E" w14:textId="77777777" w:rsidR="00CE526B" w:rsidRPr="00CE526B" w:rsidRDefault="00CE526B" w:rsidP="00CE526B">
            <w:pPr>
              <w:spacing w:before="0" w:after="0" w:line="240" w:lineRule="auto"/>
              <w:rPr>
                <w:iCs/>
                <w:szCs w:val="24"/>
              </w:rPr>
            </w:pPr>
            <w:r w:rsidRPr="00CE526B">
              <w:rPr>
                <w:iCs/>
                <w:szCs w:val="24"/>
              </w:rPr>
              <w:t xml:space="preserve">Northern Grampians </w:t>
            </w:r>
          </w:p>
        </w:tc>
      </w:tr>
      <w:tr w:rsidR="00CE526B" w:rsidRPr="00CE526B" w14:paraId="19FB0E26" w14:textId="77777777" w:rsidTr="00C44A8F">
        <w:trPr>
          <w:cantSplit/>
        </w:trPr>
        <w:tc>
          <w:tcPr>
            <w:tcW w:w="967" w:type="pct"/>
            <w:vAlign w:val="bottom"/>
          </w:tcPr>
          <w:p w14:paraId="43B598E4"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28B745BC" w14:textId="77777777" w:rsidR="00CE526B" w:rsidRPr="00CE526B" w:rsidRDefault="00CE526B" w:rsidP="00CE526B">
            <w:pPr>
              <w:spacing w:before="0" w:after="0" w:line="240" w:lineRule="auto"/>
              <w:rPr>
                <w:iCs/>
                <w:szCs w:val="24"/>
              </w:rPr>
            </w:pPr>
            <w:r w:rsidRPr="00CE526B">
              <w:rPr>
                <w:iCs/>
                <w:szCs w:val="24"/>
              </w:rPr>
              <w:t xml:space="preserve">South Gippsland </w:t>
            </w:r>
          </w:p>
        </w:tc>
      </w:tr>
      <w:tr w:rsidR="00CE526B" w:rsidRPr="00CE526B" w14:paraId="2C3B6EF4" w14:textId="77777777" w:rsidTr="00C44A8F">
        <w:trPr>
          <w:cantSplit/>
        </w:trPr>
        <w:tc>
          <w:tcPr>
            <w:tcW w:w="967" w:type="pct"/>
            <w:vAlign w:val="bottom"/>
          </w:tcPr>
          <w:p w14:paraId="4F5A7AE8" w14:textId="77777777" w:rsidR="00CE526B" w:rsidRPr="00CE526B" w:rsidRDefault="00CE526B" w:rsidP="00CE526B">
            <w:pPr>
              <w:spacing w:before="0" w:after="0" w:line="240" w:lineRule="auto"/>
              <w:jc w:val="center"/>
              <w:rPr>
                <w:rFonts w:cs="Arial"/>
                <w:iCs/>
              </w:rPr>
            </w:pPr>
            <w:r w:rsidRPr="00CE526B">
              <w:rPr>
                <w:rFonts w:cs="Arial"/>
                <w:iCs/>
                <w:color w:val="000000"/>
              </w:rPr>
              <w:t>VIC</w:t>
            </w:r>
          </w:p>
        </w:tc>
        <w:tc>
          <w:tcPr>
            <w:tcW w:w="4033" w:type="pct"/>
            <w:vAlign w:val="bottom"/>
          </w:tcPr>
          <w:p w14:paraId="5D29EB79" w14:textId="77777777" w:rsidR="00CE526B" w:rsidRPr="00CE526B" w:rsidRDefault="00CE526B" w:rsidP="00CE526B">
            <w:pPr>
              <w:spacing w:before="0" w:after="0" w:line="240" w:lineRule="auto"/>
              <w:rPr>
                <w:iCs/>
                <w:szCs w:val="24"/>
              </w:rPr>
            </w:pPr>
            <w:r w:rsidRPr="00CE526B">
              <w:rPr>
                <w:iCs/>
                <w:szCs w:val="24"/>
              </w:rPr>
              <w:t xml:space="preserve">Southern Grampians </w:t>
            </w:r>
          </w:p>
        </w:tc>
      </w:tr>
      <w:tr w:rsidR="00CE526B" w:rsidRPr="00CE526B" w14:paraId="6F99A847" w14:textId="77777777" w:rsidTr="00C44A8F">
        <w:trPr>
          <w:cantSplit/>
        </w:trPr>
        <w:tc>
          <w:tcPr>
            <w:tcW w:w="967" w:type="pct"/>
            <w:vAlign w:val="bottom"/>
          </w:tcPr>
          <w:p w14:paraId="7F1C52FD"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7CA8B7A1" w14:textId="77777777" w:rsidR="00CE526B" w:rsidRPr="00CE526B" w:rsidRDefault="00CE526B" w:rsidP="00CE526B">
            <w:pPr>
              <w:spacing w:before="0" w:after="0" w:line="240" w:lineRule="auto"/>
              <w:rPr>
                <w:iCs/>
                <w:szCs w:val="24"/>
              </w:rPr>
            </w:pPr>
            <w:r w:rsidRPr="00CE526B">
              <w:rPr>
                <w:iCs/>
                <w:szCs w:val="24"/>
              </w:rPr>
              <w:t xml:space="preserve">Surf Coast </w:t>
            </w:r>
          </w:p>
        </w:tc>
      </w:tr>
      <w:tr w:rsidR="00CE526B" w:rsidRPr="00CE526B" w14:paraId="3D1079F5" w14:textId="77777777" w:rsidTr="00C44A8F">
        <w:trPr>
          <w:cantSplit/>
        </w:trPr>
        <w:tc>
          <w:tcPr>
            <w:tcW w:w="967" w:type="pct"/>
            <w:vAlign w:val="bottom"/>
          </w:tcPr>
          <w:p w14:paraId="74D99151" w14:textId="77777777" w:rsidR="00CE526B" w:rsidRPr="00CE526B" w:rsidRDefault="00CE526B" w:rsidP="00CE526B">
            <w:pPr>
              <w:spacing w:before="0" w:after="0" w:line="240" w:lineRule="auto"/>
              <w:jc w:val="center"/>
              <w:rPr>
                <w:rFonts w:cs="Arial"/>
                <w:iCs/>
              </w:rPr>
            </w:pPr>
            <w:r w:rsidRPr="00CE526B">
              <w:rPr>
                <w:iCs/>
                <w:color w:val="000000"/>
                <w:szCs w:val="24"/>
              </w:rPr>
              <w:t>VIC</w:t>
            </w:r>
          </w:p>
        </w:tc>
        <w:tc>
          <w:tcPr>
            <w:tcW w:w="4033" w:type="pct"/>
            <w:vAlign w:val="bottom"/>
          </w:tcPr>
          <w:p w14:paraId="59A8D56C" w14:textId="77777777" w:rsidR="00CE526B" w:rsidRPr="00CE526B" w:rsidRDefault="00CE526B" w:rsidP="00CE526B">
            <w:pPr>
              <w:spacing w:before="0" w:after="0" w:line="240" w:lineRule="auto"/>
              <w:rPr>
                <w:iCs/>
                <w:szCs w:val="24"/>
              </w:rPr>
            </w:pPr>
            <w:r w:rsidRPr="00CE526B">
              <w:rPr>
                <w:iCs/>
                <w:szCs w:val="24"/>
              </w:rPr>
              <w:t>Unincorporated Vic</w:t>
            </w:r>
          </w:p>
        </w:tc>
      </w:tr>
      <w:tr w:rsidR="00CE526B" w:rsidRPr="00CE526B" w14:paraId="673990F5" w14:textId="77777777" w:rsidTr="00C44A8F">
        <w:trPr>
          <w:cantSplit/>
        </w:trPr>
        <w:tc>
          <w:tcPr>
            <w:tcW w:w="967" w:type="pct"/>
            <w:vAlign w:val="bottom"/>
          </w:tcPr>
          <w:p w14:paraId="3C239128" w14:textId="77777777" w:rsidR="00CE526B" w:rsidRPr="00CE526B" w:rsidRDefault="00CE526B" w:rsidP="00CE526B">
            <w:pPr>
              <w:spacing w:before="0" w:after="0" w:line="240" w:lineRule="auto"/>
              <w:jc w:val="center"/>
              <w:rPr>
                <w:rFonts w:cs="Arial"/>
                <w:iCs/>
                <w:color w:val="000000"/>
              </w:rPr>
            </w:pPr>
            <w:r w:rsidRPr="00CE526B">
              <w:rPr>
                <w:rFonts w:cs="Arial"/>
                <w:iCs/>
                <w:color w:val="000000"/>
              </w:rPr>
              <w:t>VIC</w:t>
            </w:r>
          </w:p>
        </w:tc>
        <w:tc>
          <w:tcPr>
            <w:tcW w:w="4033" w:type="pct"/>
            <w:vAlign w:val="bottom"/>
          </w:tcPr>
          <w:p w14:paraId="3B848D9D" w14:textId="77777777" w:rsidR="00CE526B" w:rsidRPr="00CE526B" w:rsidRDefault="00CE526B" w:rsidP="00CE526B">
            <w:pPr>
              <w:spacing w:before="0" w:after="0" w:line="240" w:lineRule="auto"/>
              <w:rPr>
                <w:iCs/>
                <w:szCs w:val="24"/>
              </w:rPr>
            </w:pPr>
            <w:r w:rsidRPr="00CE526B">
              <w:rPr>
                <w:iCs/>
                <w:szCs w:val="24"/>
              </w:rPr>
              <w:t xml:space="preserve">Wangaratta </w:t>
            </w:r>
          </w:p>
        </w:tc>
      </w:tr>
      <w:tr w:rsidR="00CE526B" w:rsidRPr="00CE526B" w14:paraId="25AAF4D9" w14:textId="77777777" w:rsidTr="00C44A8F">
        <w:trPr>
          <w:cantSplit/>
        </w:trPr>
        <w:tc>
          <w:tcPr>
            <w:tcW w:w="967" w:type="pct"/>
            <w:vAlign w:val="bottom"/>
          </w:tcPr>
          <w:p w14:paraId="267AE770" w14:textId="77777777" w:rsidR="00CE526B" w:rsidRPr="00CE526B" w:rsidRDefault="00CE526B" w:rsidP="00CE526B">
            <w:pPr>
              <w:spacing w:before="0" w:after="0" w:line="240" w:lineRule="auto"/>
              <w:jc w:val="center"/>
              <w:rPr>
                <w:iCs/>
                <w:color w:val="000000"/>
                <w:szCs w:val="24"/>
              </w:rPr>
            </w:pPr>
            <w:r w:rsidRPr="00CE526B">
              <w:rPr>
                <w:iCs/>
                <w:color w:val="000000"/>
                <w:szCs w:val="24"/>
              </w:rPr>
              <w:t>VIC</w:t>
            </w:r>
          </w:p>
        </w:tc>
        <w:tc>
          <w:tcPr>
            <w:tcW w:w="4033" w:type="pct"/>
            <w:vAlign w:val="bottom"/>
          </w:tcPr>
          <w:p w14:paraId="540D84C2" w14:textId="77777777" w:rsidR="00CE526B" w:rsidRPr="00CE526B" w:rsidRDefault="00CE526B" w:rsidP="00CE526B">
            <w:pPr>
              <w:spacing w:before="0" w:after="0" w:line="240" w:lineRule="auto"/>
              <w:rPr>
                <w:iCs/>
                <w:szCs w:val="24"/>
              </w:rPr>
            </w:pPr>
            <w:r w:rsidRPr="00CE526B">
              <w:rPr>
                <w:iCs/>
                <w:szCs w:val="24"/>
              </w:rPr>
              <w:t xml:space="preserve">Wellington </w:t>
            </w:r>
          </w:p>
        </w:tc>
      </w:tr>
      <w:tr w:rsidR="00CE526B" w:rsidRPr="00CE526B" w14:paraId="4833BCBD" w14:textId="77777777" w:rsidTr="00C44A8F">
        <w:trPr>
          <w:cantSplit/>
        </w:trPr>
        <w:tc>
          <w:tcPr>
            <w:tcW w:w="967" w:type="pct"/>
            <w:vAlign w:val="bottom"/>
          </w:tcPr>
          <w:p w14:paraId="2A7FF1AA" w14:textId="77777777" w:rsidR="00CE526B" w:rsidRPr="00CE526B" w:rsidRDefault="00CE526B" w:rsidP="00CE526B">
            <w:pPr>
              <w:spacing w:before="0" w:after="0" w:line="240" w:lineRule="auto"/>
              <w:jc w:val="center"/>
              <w:rPr>
                <w:iCs/>
                <w:color w:val="000000"/>
                <w:szCs w:val="24"/>
              </w:rPr>
            </w:pPr>
            <w:r w:rsidRPr="00CE526B">
              <w:rPr>
                <w:iCs/>
                <w:color w:val="000000"/>
                <w:szCs w:val="24"/>
              </w:rPr>
              <w:t>VIC</w:t>
            </w:r>
          </w:p>
        </w:tc>
        <w:tc>
          <w:tcPr>
            <w:tcW w:w="4033" w:type="pct"/>
            <w:vAlign w:val="bottom"/>
          </w:tcPr>
          <w:p w14:paraId="0966CF84" w14:textId="77777777" w:rsidR="00CE526B" w:rsidRPr="00CE526B" w:rsidRDefault="00CE526B" w:rsidP="00CE526B">
            <w:pPr>
              <w:spacing w:before="0" w:after="0" w:line="240" w:lineRule="auto"/>
              <w:rPr>
                <w:iCs/>
                <w:szCs w:val="24"/>
              </w:rPr>
            </w:pPr>
            <w:r w:rsidRPr="00CE526B">
              <w:rPr>
                <w:iCs/>
                <w:szCs w:val="24"/>
              </w:rPr>
              <w:t xml:space="preserve">Yarra Ranges </w:t>
            </w:r>
          </w:p>
        </w:tc>
      </w:tr>
      <w:tr w:rsidR="00CE526B" w:rsidRPr="00CE526B" w14:paraId="020F6A7B" w14:textId="77777777" w:rsidTr="00C44A8F">
        <w:trPr>
          <w:cantSplit/>
        </w:trPr>
        <w:tc>
          <w:tcPr>
            <w:tcW w:w="967" w:type="pct"/>
            <w:vAlign w:val="bottom"/>
          </w:tcPr>
          <w:p w14:paraId="03DC8AEF" w14:textId="77777777" w:rsidR="00CE526B" w:rsidRPr="00CE526B" w:rsidRDefault="00CE526B" w:rsidP="00CE526B">
            <w:pPr>
              <w:spacing w:before="0" w:after="0" w:line="240" w:lineRule="auto"/>
              <w:jc w:val="center"/>
              <w:rPr>
                <w:rFonts w:cs="Arial"/>
                <w:iCs/>
                <w:color w:val="000000"/>
              </w:rPr>
            </w:pPr>
            <w:r w:rsidRPr="00CE526B">
              <w:rPr>
                <w:rFonts w:cs="Arial"/>
                <w:iCs/>
                <w:color w:val="000000"/>
              </w:rPr>
              <w:t>WA</w:t>
            </w:r>
          </w:p>
        </w:tc>
        <w:tc>
          <w:tcPr>
            <w:tcW w:w="4033" w:type="pct"/>
            <w:vAlign w:val="bottom"/>
          </w:tcPr>
          <w:p w14:paraId="3ECAB85C" w14:textId="77777777" w:rsidR="00CE526B" w:rsidRPr="00CE526B" w:rsidRDefault="00CE526B" w:rsidP="00CE526B">
            <w:pPr>
              <w:spacing w:before="0" w:after="0" w:line="240" w:lineRule="auto"/>
              <w:rPr>
                <w:iCs/>
                <w:szCs w:val="24"/>
              </w:rPr>
            </w:pPr>
            <w:r w:rsidRPr="00CE526B">
              <w:rPr>
                <w:iCs/>
                <w:szCs w:val="24"/>
              </w:rPr>
              <w:t xml:space="preserve">Armadale </w:t>
            </w:r>
          </w:p>
        </w:tc>
      </w:tr>
      <w:tr w:rsidR="00CE526B" w:rsidRPr="00CE526B" w14:paraId="5239E57E" w14:textId="77777777" w:rsidTr="00C44A8F">
        <w:trPr>
          <w:cantSplit/>
        </w:trPr>
        <w:tc>
          <w:tcPr>
            <w:tcW w:w="967" w:type="pct"/>
            <w:vAlign w:val="bottom"/>
          </w:tcPr>
          <w:p w14:paraId="2474A7FC" w14:textId="77777777" w:rsidR="00CE526B" w:rsidRPr="00CE526B" w:rsidRDefault="00CE526B" w:rsidP="00CE526B">
            <w:pPr>
              <w:spacing w:before="0" w:after="0" w:line="240" w:lineRule="auto"/>
              <w:jc w:val="center"/>
              <w:rPr>
                <w:rFonts w:cs="Arial"/>
                <w:iCs/>
                <w:color w:val="000000"/>
              </w:rPr>
            </w:pPr>
            <w:r w:rsidRPr="00CE526B">
              <w:rPr>
                <w:rFonts w:cs="Arial"/>
                <w:iCs/>
                <w:color w:val="000000"/>
              </w:rPr>
              <w:t>WA</w:t>
            </w:r>
          </w:p>
        </w:tc>
        <w:tc>
          <w:tcPr>
            <w:tcW w:w="4033" w:type="pct"/>
            <w:vAlign w:val="bottom"/>
          </w:tcPr>
          <w:p w14:paraId="2A5D23FA" w14:textId="77777777" w:rsidR="00CE526B" w:rsidRPr="00CE526B" w:rsidRDefault="00CE526B" w:rsidP="00CE526B">
            <w:pPr>
              <w:spacing w:before="0" w:after="0" w:line="240" w:lineRule="auto"/>
              <w:rPr>
                <w:iCs/>
                <w:szCs w:val="24"/>
              </w:rPr>
            </w:pPr>
            <w:r w:rsidRPr="00CE526B">
              <w:rPr>
                <w:iCs/>
                <w:szCs w:val="24"/>
              </w:rPr>
              <w:t xml:space="preserve">Augusta-Margaret River </w:t>
            </w:r>
          </w:p>
        </w:tc>
      </w:tr>
      <w:tr w:rsidR="00CE526B" w:rsidRPr="00CE526B" w14:paraId="23A78D71" w14:textId="77777777" w:rsidTr="00C44A8F">
        <w:trPr>
          <w:cantSplit/>
        </w:trPr>
        <w:tc>
          <w:tcPr>
            <w:tcW w:w="967" w:type="pct"/>
            <w:vAlign w:val="bottom"/>
          </w:tcPr>
          <w:p w14:paraId="1225EB0B" w14:textId="77777777" w:rsidR="00CE526B" w:rsidRPr="00CE526B" w:rsidRDefault="00CE526B" w:rsidP="00CE526B">
            <w:pPr>
              <w:spacing w:before="0" w:after="0" w:line="240" w:lineRule="auto"/>
              <w:jc w:val="center"/>
              <w:rPr>
                <w:rFonts w:cs="Arial"/>
                <w:iCs/>
                <w:color w:val="000000"/>
              </w:rPr>
            </w:pPr>
            <w:r w:rsidRPr="00CE526B">
              <w:rPr>
                <w:rFonts w:cs="Arial"/>
                <w:iCs/>
                <w:color w:val="000000"/>
              </w:rPr>
              <w:t>WA</w:t>
            </w:r>
          </w:p>
        </w:tc>
        <w:tc>
          <w:tcPr>
            <w:tcW w:w="4033" w:type="pct"/>
            <w:vAlign w:val="bottom"/>
          </w:tcPr>
          <w:p w14:paraId="53B6B76C" w14:textId="77777777" w:rsidR="00CE526B" w:rsidRPr="00CE526B" w:rsidRDefault="00CE526B" w:rsidP="00CE526B">
            <w:pPr>
              <w:spacing w:before="0" w:after="0" w:line="240" w:lineRule="auto"/>
              <w:rPr>
                <w:iCs/>
                <w:szCs w:val="24"/>
              </w:rPr>
            </w:pPr>
            <w:r w:rsidRPr="00CE526B">
              <w:rPr>
                <w:iCs/>
                <w:szCs w:val="24"/>
              </w:rPr>
              <w:t xml:space="preserve">Busselton </w:t>
            </w:r>
          </w:p>
        </w:tc>
      </w:tr>
      <w:tr w:rsidR="00CE526B" w:rsidRPr="00CE526B" w14:paraId="438DD178" w14:textId="77777777" w:rsidTr="00C44A8F">
        <w:trPr>
          <w:cantSplit/>
        </w:trPr>
        <w:tc>
          <w:tcPr>
            <w:tcW w:w="967" w:type="pct"/>
            <w:vAlign w:val="bottom"/>
          </w:tcPr>
          <w:p w14:paraId="6DE9EE68" w14:textId="77777777" w:rsidR="00CE526B" w:rsidRPr="00CE526B" w:rsidRDefault="00CE526B" w:rsidP="00CE526B">
            <w:pPr>
              <w:spacing w:before="0" w:after="0" w:line="240" w:lineRule="auto"/>
              <w:jc w:val="center"/>
              <w:rPr>
                <w:rFonts w:cs="Arial"/>
                <w:iCs/>
                <w:color w:val="000000"/>
              </w:rPr>
            </w:pPr>
            <w:r w:rsidRPr="00CE526B">
              <w:rPr>
                <w:rFonts w:cs="Arial"/>
                <w:iCs/>
                <w:color w:val="000000"/>
              </w:rPr>
              <w:t>WA</w:t>
            </w:r>
          </w:p>
        </w:tc>
        <w:tc>
          <w:tcPr>
            <w:tcW w:w="4033" w:type="pct"/>
            <w:vAlign w:val="bottom"/>
          </w:tcPr>
          <w:p w14:paraId="426BFB20" w14:textId="77777777" w:rsidR="00CE526B" w:rsidRPr="00CE526B" w:rsidRDefault="00CE526B" w:rsidP="00CE526B">
            <w:pPr>
              <w:spacing w:before="0" w:after="0" w:line="240" w:lineRule="auto"/>
              <w:rPr>
                <w:iCs/>
                <w:szCs w:val="24"/>
              </w:rPr>
            </w:pPr>
            <w:r w:rsidRPr="00CE526B">
              <w:rPr>
                <w:iCs/>
                <w:szCs w:val="24"/>
              </w:rPr>
              <w:t xml:space="preserve">Kalamunda </w:t>
            </w:r>
          </w:p>
        </w:tc>
      </w:tr>
      <w:tr w:rsidR="00CE526B" w:rsidRPr="00CE526B" w14:paraId="2417D1D1" w14:textId="77777777" w:rsidTr="00C44A8F">
        <w:trPr>
          <w:cantSplit/>
        </w:trPr>
        <w:tc>
          <w:tcPr>
            <w:tcW w:w="967" w:type="pct"/>
            <w:vAlign w:val="bottom"/>
          </w:tcPr>
          <w:p w14:paraId="32A9B014" w14:textId="77777777" w:rsidR="00CE526B" w:rsidRPr="00CE526B" w:rsidRDefault="00CE526B" w:rsidP="00CE526B">
            <w:pPr>
              <w:spacing w:before="0" w:after="0" w:line="240" w:lineRule="auto"/>
              <w:jc w:val="center"/>
              <w:rPr>
                <w:rFonts w:cs="Arial"/>
                <w:iCs/>
                <w:color w:val="000000"/>
              </w:rPr>
            </w:pPr>
            <w:r w:rsidRPr="00CE526B">
              <w:rPr>
                <w:rFonts w:cs="Arial"/>
                <w:iCs/>
                <w:color w:val="000000"/>
              </w:rPr>
              <w:t>WA</w:t>
            </w:r>
          </w:p>
        </w:tc>
        <w:tc>
          <w:tcPr>
            <w:tcW w:w="4033" w:type="pct"/>
            <w:vAlign w:val="bottom"/>
          </w:tcPr>
          <w:p w14:paraId="32D4ADAF" w14:textId="77777777" w:rsidR="00CE526B" w:rsidRPr="00CE526B" w:rsidRDefault="00CE526B" w:rsidP="00CE526B">
            <w:pPr>
              <w:spacing w:before="0" w:after="0" w:line="240" w:lineRule="auto"/>
              <w:rPr>
                <w:iCs/>
                <w:szCs w:val="24"/>
              </w:rPr>
            </w:pPr>
            <w:r w:rsidRPr="00CE526B">
              <w:rPr>
                <w:iCs/>
                <w:szCs w:val="24"/>
              </w:rPr>
              <w:t xml:space="preserve">Mundaring </w:t>
            </w:r>
          </w:p>
        </w:tc>
      </w:tr>
      <w:tr w:rsidR="00CE526B" w:rsidRPr="00CE526B" w14:paraId="7BE271AF" w14:textId="77777777" w:rsidTr="00C44A8F">
        <w:trPr>
          <w:cantSplit/>
        </w:trPr>
        <w:tc>
          <w:tcPr>
            <w:tcW w:w="967" w:type="pct"/>
            <w:vAlign w:val="bottom"/>
          </w:tcPr>
          <w:p w14:paraId="40D8FE17" w14:textId="77777777" w:rsidR="00CE526B" w:rsidRPr="00CE526B" w:rsidRDefault="00CE526B" w:rsidP="00CE526B">
            <w:pPr>
              <w:spacing w:before="0" w:after="0" w:line="240" w:lineRule="auto"/>
              <w:jc w:val="center"/>
              <w:rPr>
                <w:rFonts w:cs="Arial"/>
                <w:iCs/>
                <w:color w:val="000000"/>
              </w:rPr>
            </w:pPr>
            <w:r w:rsidRPr="00CE526B">
              <w:rPr>
                <w:rFonts w:cs="Arial"/>
                <w:iCs/>
                <w:color w:val="000000"/>
              </w:rPr>
              <w:t>WA</w:t>
            </w:r>
          </w:p>
        </w:tc>
        <w:tc>
          <w:tcPr>
            <w:tcW w:w="4033" w:type="pct"/>
            <w:vAlign w:val="bottom"/>
          </w:tcPr>
          <w:p w14:paraId="5F9896EA" w14:textId="77777777" w:rsidR="00CE526B" w:rsidRPr="00CE526B" w:rsidRDefault="00CE526B" w:rsidP="00CE526B">
            <w:pPr>
              <w:spacing w:before="0" w:after="0" w:line="240" w:lineRule="auto"/>
              <w:rPr>
                <w:iCs/>
                <w:szCs w:val="24"/>
              </w:rPr>
            </w:pPr>
            <w:r w:rsidRPr="00CE526B">
              <w:rPr>
                <w:iCs/>
                <w:szCs w:val="24"/>
              </w:rPr>
              <w:t xml:space="preserve">Swan </w:t>
            </w:r>
          </w:p>
        </w:tc>
      </w:tr>
    </w:tbl>
    <w:p w14:paraId="442DA434" w14:textId="77777777" w:rsidR="00702AE4" w:rsidRDefault="00411A74" w:rsidP="00411A74">
      <w:pPr>
        <w:rPr>
          <w:rFonts w:cstheme="minorHAnsi"/>
          <w:szCs w:val="20"/>
        </w:rPr>
      </w:pPr>
      <w:r>
        <w:rPr>
          <w:rFonts w:cstheme="minorHAnsi"/>
          <w:szCs w:val="20"/>
        </w:rPr>
        <w:t xml:space="preserve">Is your project addressing bushfire risk in more than one LGA? </w:t>
      </w:r>
    </w:p>
    <w:p w14:paraId="73960881" w14:textId="77777777" w:rsidR="00545254" w:rsidRDefault="00545254" w:rsidP="00545254">
      <w:pPr>
        <w:pStyle w:val="Normalexplanatory"/>
      </w:pPr>
      <w:r>
        <w:t>If yes, provide details of where and how project activities will be delivered across the locations.</w:t>
      </w:r>
    </w:p>
    <w:p w14:paraId="3E7DFA06" w14:textId="5DD13798" w:rsidR="0075019D" w:rsidRDefault="00545254" w:rsidP="00545254">
      <w:pPr>
        <w:pStyle w:val="Heading3"/>
      </w:pPr>
      <w:r>
        <w:lastRenderedPageBreak/>
        <w:t xml:space="preserve"> </w:t>
      </w:r>
      <w:r w:rsidR="0075019D">
        <w:t>Priority Local Government Area (LGAs) – Tropical Cyclone Risk</w:t>
      </w:r>
    </w:p>
    <w:p w14:paraId="60183E42" w14:textId="2E2C479B" w:rsidR="0075019D" w:rsidRDefault="0075019D" w:rsidP="0075019D">
      <w:pPr>
        <w:rPr>
          <w:lang w:eastAsia="en-AU"/>
        </w:rPr>
      </w:pPr>
      <w:r>
        <w:rPr>
          <w:lang w:eastAsia="en-AU"/>
        </w:rPr>
        <w:t>Is your project addressing tropical cyclone risk in one of the Priority LGAs listed in appendix A of the guidelines?</w:t>
      </w:r>
    </w:p>
    <w:p w14:paraId="1D195281" w14:textId="77777777" w:rsidR="0075019D" w:rsidRDefault="0075019D" w:rsidP="0075019D">
      <w:pPr>
        <w:rPr>
          <w:i/>
          <w:color w:val="365F91" w:themeColor="accent1" w:themeShade="BF"/>
          <w:lang w:eastAsia="en-AU"/>
        </w:rPr>
      </w:pPr>
      <w:r w:rsidRPr="00F41EB5">
        <w:rPr>
          <w:i/>
          <w:color w:val="365F91" w:themeColor="accent1" w:themeShade="BF"/>
          <w:lang w:eastAsia="en-AU"/>
        </w:rPr>
        <w:t xml:space="preserve">If yes, select the relevant LGA from the list below. </w:t>
      </w:r>
      <w:r>
        <w:rPr>
          <w:i/>
          <w:color w:val="365F91" w:themeColor="accent1" w:themeShade="BF"/>
          <w:lang w:eastAsia="en-AU"/>
        </w:rPr>
        <w:t xml:space="preserve">If no, proceed to next question. </w:t>
      </w:r>
    </w:p>
    <w:p w14:paraId="39304F3F" w14:textId="5649AB23" w:rsidR="00CE526B" w:rsidRPr="00CE526B" w:rsidRDefault="00CE526B" w:rsidP="0075019D">
      <w:pPr>
        <w:rPr>
          <w:rFonts w:eastAsia="Times New Roman" w:cs="Times New Roman"/>
          <w:b/>
          <w:iCs/>
          <w:szCs w:val="24"/>
        </w:rPr>
      </w:pPr>
      <w:r w:rsidRPr="00CE526B">
        <w:rPr>
          <w:rFonts w:eastAsia="Times New Roman" w:cs="Times New Roman"/>
          <w:b/>
          <w:iCs/>
          <w:szCs w:val="24"/>
        </w:rPr>
        <w:t>Table 2 – Tropical Cyclone Risk LGAs</w:t>
      </w:r>
    </w:p>
    <w:p w14:paraId="21106DF3" w14:textId="77777777" w:rsidR="002B4FE8" w:rsidRDefault="00CE526B" w:rsidP="002B4FE8">
      <w:pPr>
        <w:pStyle w:val="Normalexplanatory"/>
      </w:pPr>
      <w:r w:rsidRPr="00CE526B">
        <w:t>Applications for projects that address tropical cyclone risks in the selected LGAs</w:t>
      </w:r>
      <w:r w:rsidRPr="00CE526B" w:rsidDel="00E966B7">
        <w:t xml:space="preserve"> </w:t>
      </w:r>
      <w:r w:rsidRPr="00CE526B">
        <w:t>identified in the table below will be awarded an additional 20 points.</w:t>
      </w:r>
    </w:p>
    <w:p w14:paraId="0D5CE35B" w14:textId="71BD20B6" w:rsidR="00CE526B" w:rsidRPr="002B4FE8" w:rsidRDefault="002B4FE8" w:rsidP="002B4FE8">
      <w:pPr>
        <w:pStyle w:val="Normalexplanatory"/>
        <w:rPr>
          <w:rFonts w:cs="Arial"/>
          <w:szCs w:val="20"/>
        </w:rPr>
      </w:pPr>
      <w:r w:rsidRPr="002B4FE8">
        <w:rPr>
          <w:rFonts w:cs="Arial"/>
          <w:szCs w:val="20"/>
        </w:rPr>
        <w:t>You can only receive a maximum of 20 additional points per application</w:t>
      </w:r>
      <w:r>
        <w:rPr>
          <w:rFonts w:cs="Arial"/>
          <w:szCs w:val="20"/>
        </w:rPr>
        <w:t>.</w:t>
      </w:r>
      <w:r w:rsidRPr="002B4FE8">
        <w:rPr>
          <w:rFonts w:cs="Arial"/>
          <w:color w:val="000000"/>
          <w:szCs w:val="20"/>
        </w:rPr>
        <w:t xml:space="preserve"> </w:t>
      </w:r>
      <w:r w:rsidR="00CE526B" w:rsidRPr="00CE526B">
        <w:t xml:space="preserve"> </w:t>
      </w:r>
    </w:p>
    <w:tbl>
      <w:tblPr>
        <w:tblStyle w:val="TableGrid1"/>
        <w:tblW w:w="4994" w:type="pct"/>
        <w:tblLook w:val="04A0" w:firstRow="1" w:lastRow="0" w:firstColumn="1" w:lastColumn="0" w:noHBand="0" w:noVBand="1"/>
      </w:tblPr>
      <w:tblGrid>
        <w:gridCol w:w="1695"/>
        <w:gridCol w:w="7071"/>
      </w:tblGrid>
      <w:tr w:rsidR="00CE526B" w:rsidRPr="00CE526B" w14:paraId="0E9738DD" w14:textId="77777777" w:rsidTr="00C44A8F">
        <w:trPr>
          <w:cantSplit/>
          <w:tblHeader/>
        </w:trPr>
        <w:tc>
          <w:tcPr>
            <w:tcW w:w="967" w:type="pct"/>
            <w:shd w:val="clear" w:color="auto" w:fill="1F497D" w:themeFill="text2"/>
          </w:tcPr>
          <w:p w14:paraId="3F8AC7C4" w14:textId="77777777" w:rsidR="00CE526B" w:rsidRPr="00CE526B" w:rsidRDefault="00CE526B" w:rsidP="00CE526B">
            <w:pPr>
              <w:spacing w:before="0" w:after="0" w:line="240" w:lineRule="auto"/>
              <w:jc w:val="center"/>
              <w:rPr>
                <w:b/>
                <w:iCs/>
                <w:color w:val="FFFFFF" w:themeColor="background1"/>
                <w:szCs w:val="24"/>
              </w:rPr>
            </w:pPr>
            <w:r w:rsidRPr="00CE526B">
              <w:rPr>
                <w:b/>
                <w:iCs/>
                <w:color w:val="FFFFFF" w:themeColor="background1"/>
                <w:szCs w:val="24"/>
              </w:rPr>
              <w:t>State</w:t>
            </w:r>
          </w:p>
        </w:tc>
        <w:tc>
          <w:tcPr>
            <w:tcW w:w="4033" w:type="pct"/>
            <w:shd w:val="clear" w:color="auto" w:fill="1F497D" w:themeFill="text2"/>
          </w:tcPr>
          <w:p w14:paraId="4A1E7C66" w14:textId="77777777" w:rsidR="00CE526B" w:rsidRPr="00CE526B" w:rsidRDefault="00CE526B" w:rsidP="00CE526B">
            <w:pPr>
              <w:spacing w:before="0" w:after="0" w:line="240" w:lineRule="auto"/>
              <w:rPr>
                <w:b/>
                <w:iCs/>
                <w:color w:val="FFFFFF" w:themeColor="background1"/>
                <w:szCs w:val="24"/>
              </w:rPr>
            </w:pPr>
            <w:r w:rsidRPr="00CE526B">
              <w:rPr>
                <w:b/>
                <w:iCs/>
                <w:color w:val="FFFFFF" w:themeColor="background1"/>
                <w:szCs w:val="24"/>
              </w:rPr>
              <w:t>LGA</w:t>
            </w:r>
          </w:p>
        </w:tc>
      </w:tr>
      <w:tr w:rsidR="00CE526B" w:rsidRPr="00CE526B" w14:paraId="5528B90A" w14:textId="77777777" w:rsidTr="00C44A8F">
        <w:trPr>
          <w:cantSplit/>
        </w:trPr>
        <w:tc>
          <w:tcPr>
            <w:tcW w:w="967" w:type="pct"/>
            <w:vAlign w:val="bottom"/>
          </w:tcPr>
          <w:p w14:paraId="5A6D27A9" w14:textId="77777777" w:rsidR="00CE526B" w:rsidRPr="00CE526B" w:rsidRDefault="00CE526B" w:rsidP="00CE526B">
            <w:pPr>
              <w:spacing w:before="0" w:after="0" w:line="240" w:lineRule="auto"/>
              <w:jc w:val="center"/>
              <w:rPr>
                <w:rFonts w:cs="Arial"/>
                <w:iCs/>
              </w:rPr>
            </w:pPr>
            <w:r w:rsidRPr="00CE526B">
              <w:rPr>
                <w:iCs/>
                <w:color w:val="000000"/>
                <w:szCs w:val="24"/>
              </w:rPr>
              <w:t>NT</w:t>
            </w:r>
          </w:p>
        </w:tc>
        <w:tc>
          <w:tcPr>
            <w:tcW w:w="4033" w:type="pct"/>
            <w:vAlign w:val="bottom"/>
          </w:tcPr>
          <w:p w14:paraId="28977322" w14:textId="77777777" w:rsidR="00CE526B" w:rsidRPr="00CE526B" w:rsidRDefault="00CE526B" w:rsidP="00CE526B">
            <w:pPr>
              <w:spacing w:before="0" w:after="0" w:line="240" w:lineRule="auto"/>
              <w:rPr>
                <w:rFonts w:cs="Arial"/>
                <w:iCs/>
              </w:rPr>
            </w:pPr>
            <w:r w:rsidRPr="00CE526B">
              <w:rPr>
                <w:rFonts w:cs="Arial"/>
                <w:iCs/>
              </w:rPr>
              <w:t xml:space="preserve">Darwin </w:t>
            </w:r>
          </w:p>
        </w:tc>
      </w:tr>
      <w:tr w:rsidR="00CE526B" w:rsidRPr="00CE526B" w14:paraId="39718127" w14:textId="77777777" w:rsidTr="00C44A8F">
        <w:trPr>
          <w:cantSplit/>
        </w:trPr>
        <w:tc>
          <w:tcPr>
            <w:tcW w:w="967" w:type="pct"/>
            <w:vAlign w:val="bottom"/>
          </w:tcPr>
          <w:p w14:paraId="164F9EBC" w14:textId="77777777" w:rsidR="00CE526B" w:rsidRPr="00CE526B" w:rsidRDefault="00CE526B" w:rsidP="00CE526B">
            <w:pPr>
              <w:spacing w:before="0" w:after="0" w:line="240" w:lineRule="auto"/>
              <w:jc w:val="center"/>
              <w:rPr>
                <w:rFonts w:cs="Arial"/>
                <w:iCs/>
              </w:rPr>
            </w:pPr>
            <w:r w:rsidRPr="00CE526B">
              <w:rPr>
                <w:rFonts w:cs="Arial"/>
                <w:iCs/>
                <w:color w:val="000000"/>
              </w:rPr>
              <w:t>NT</w:t>
            </w:r>
          </w:p>
        </w:tc>
        <w:tc>
          <w:tcPr>
            <w:tcW w:w="4033" w:type="pct"/>
            <w:vAlign w:val="bottom"/>
          </w:tcPr>
          <w:p w14:paraId="07894D92" w14:textId="77777777" w:rsidR="00CE526B" w:rsidRPr="00CE526B" w:rsidRDefault="00CE526B" w:rsidP="00CE526B">
            <w:pPr>
              <w:spacing w:before="0" w:after="0" w:line="240" w:lineRule="auto"/>
              <w:rPr>
                <w:rFonts w:cs="Arial"/>
                <w:iCs/>
              </w:rPr>
            </w:pPr>
            <w:r w:rsidRPr="00CE526B">
              <w:rPr>
                <w:rFonts w:cs="Arial"/>
                <w:iCs/>
              </w:rPr>
              <w:t xml:space="preserve">East Arnhem </w:t>
            </w:r>
          </w:p>
        </w:tc>
      </w:tr>
      <w:tr w:rsidR="00CE526B" w:rsidRPr="00CE526B" w14:paraId="5F906DB8" w14:textId="77777777" w:rsidTr="00C44A8F">
        <w:trPr>
          <w:cantSplit/>
        </w:trPr>
        <w:tc>
          <w:tcPr>
            <w:tcW w:w="967" w:type="pct"/>
            <w:vAlign w:val="bottom"/>
          </w:tcPr>
          <w:p w14:paraId="527487F7" w14:textId="77777777" w:rsidR="00CE526B" w:rsidRPr="00CE526B" w:rsidRDefault="00CE526B" w:rsidP="00CE526B">
            <w:pPr>
              <w:spacing w:before="0" w:after="0" w:line="240" w:lineRule="auto"/>
              <w:jc w:val="center"/>
              <w:rPr>
                <w:rFonts w:cs="Arial"/>
                <w:iCs/>
              </w:rPr>
            </w:pPr>
            <w:r w:rsidRPr="00CE526B">
              <w:rPr>
                <w:iCs/>
                <w:color w:val="000000"/>
                <w:szCs w:val="24"/>
              </w:rPr>
              <w:t>NT</w:t>
            </w:r>
          </w:p>
        </w:tc>
        <w:tc>
          <w:tcPr>
            <w:tcW w:w="4033" w:type="pct"/>
            <w:vAlign w:val="bottom"/>
          </w:tcPr>
          <w:p w14:paraId="5B90DD8E" w14:textId="77777777" w:rsidR="00CE526B" w:rsidRPr="00CE526B" w:rsidRDefault="00CE526B" w:rsidP="00CE526B">
            <w:pPr>
              <w:spacing w:before="0" w:after="0" w:line="240" w:lineRule="auto"/>
              <w:rPr>
                <w:rFonts w:cs="Arial"/>
                <w:iCs/>
              </w:rPr>
            </w:pPr>
            <w:r w:rsidRPr="00CE526B">
              <w:rPr>
                <w:rFonts w:cs="Arial"/>
                <w:iCs/>
              </w:rPr>
              <w:t xml:space="preserve">Katherine </w:t>
            </w:r>
          </w:p>
        </w:tc>
      </w:tr>
      <w:tr w:rsidR="00CE526B" w:rsidRPr="00CE526B" w14:paraId="6C1940A6" w14:textId="77777777" w:rsidTr="00C44A8F">
        <w:trPr>
          <w:cantSplit/>
        </w:trPr>
        <w:tc>
          <w:tcPr>
            <w:tcW w:w="967" w:type="pct"/>
            <w:vAlign w:val="bottom"/>
          </w:tcPr>
          <w:p w14:paraId="42CE2394" w14:textId="77777777" w:rsidR="00CE526B" w:rsidRPr="00CE526B" w:rsidRDefault="00CE526B" w:rsidP="00CE526B">
            <w:pPr>
              <w:spacing w:before="0" w:after="0" w:line="240" w:lineRule="auto"/>
              <w:jc w:val="center"/>
              <w:rPr>
                <w:rFonts w:cs="Arial"/>
                <w:iCs/>
              </w:rPr>
            </w:pPr>
            <w:r w:rsidRPr="00CE526B">
              <w:rPr>
                <w:rFonts w:cs="Arial"/>
                <w:iCs/>
                <w:color w:val="000000"/>
              </w:rPr>
              <w:t>NT</w:t>
            </w:r>
          </w:p>
        </w:tc>
        <w:tc>
          <w:tcPr>
            <w:tcW w:w="4033" w:type="pct"/>
            <w:vAlign w:val="bottom"/>
          </w:tcPr>
          <w:p w14:paraId="7937C8A4" w14:textId="77777777" w:rsidR="00CE526B" w:rsidRPr="00CE526B" w:rsidRDefault="00CE526B" w:rsidP="00CE526B">
            <w:pPr>
              <w:spacing w:before="0" w:after="0" w:line="240" w:lineRule="auto"/>
              <w:rPr>
                <w:rFonts w:cs="Arial"/>
                <w:iCs/>
              </w:rPr>
            </w:pPr>
            <w:r w:rsidRPr="00CE526B">
              <w:rPr>
                <w:rFonts w:cs="Arial"/>
                <w:iCs/>
              </w:rPr>
              <w:t xml:space="preserve">Litchfield </w:t>
            </w:r>
          </w:p>
        </w:tc>
      </w:tr>
      <w:tr w:rsidR="00CE526B" w:rsidRPr="00CE526B" w14:paraId="259AE38F" w14:textId="77777777" w:rsidTr="00C44A8F">
        <w:trPr>
          <w:cantSplit/>
        </w:trPr>
        <w:tc>
          <w:tcPr>
            <w:tcW w:w="967" w:type="pct"/>
            <w:vAlign w:val="bottom"/>
          </w:tcPr>
          <w:p w14:paraId="1FD210ED" w14:textId="77777777" w:rsidR="00CE526B" w:rsidRPr="00CE526B" w:rsidRDefault="00CE526B" w:rsidP="00CE526B">
            <w:pPr>
              <w:spacing w:before="0" w:after="0" w:line="240" w:lineRule="auto"/>
              <w:jc w:val="center"/>
              <w:rPr>
                <w:rFonts w:cs="Arial"/>
                <w:iCs/>
              </w:rPr>
            </w:pPr>
            <w:r w:rsidRPr="00CE526B">
              <w:rPr>
                <w:rFonts w:cs="Arial"/>
                <w:iCs/>
                <w:color w:val="000000"/>
              </w:rPr>
              <w:t>NT</w:t>
            </w:r>
          </w:p>
        </w:tc>
        <w:tc>
          <w:tcPr>
            <w:tcW w:w="4033" w:type="pct"/>
            <w:vAlign w:val="bottom"/>
          </w:tcPr>
          <w:p w14:paraId="58E007DF" w14:textId="77777777" w:rsidR="00CE526B" w:rsidRPr="00CE526B" w:rsidRDefault="00CE526B" w:rsidP="00CE526B">
            <w:pPr>
              <w:spacing w:before="0" w:after="0" w:line="240" w:lineRule="auto"/>
              <w:rPr>
                <w:rFonts w:cs="Arial"/>
                <w:iCs/>
              </w:rPr>
            </w:pPr>
            <w:r w:rsidRPr="00CE526B">
              <w:rPr>
                <w:rFonts w:cs="Arial"/>
                <w:iCs/>
              </w:rPr>
              <w:t xml:space="preserve">Palmerston </w:t>
            </w:r>
          </w:p>
        </w:tc>
      </w:tr>
      <w:tr w:rsidR="00CE526B" w:rsidRPr="00CE526B" w14:paraId="70AA002F" w14:textId="77777777" w:rsidTr="00C44A8F">
        <w:trPr>
          <w:cantSplit/>
        </w:trPr>
        <w:tc>
          <w:tcPr>
            <w:tcW w:w="967" w:type="pct"/>
            <w:vAlign w:val="bottom"/>
          </w:tcPr>
          <w:p w14:paraId="4218ADDB" w14:textId="77777777" w:rsidR="00CE526B" w:rsidRPr="00CE526B" w:rsidRDefault="00CE526B" w:rsidP="00CE526B">
            <w:pPr>
              <w:spacing w:before="0" w:after="0" w:line="240" w:lineRule="auto"/>
              <w:jc w:val="center"/>
              <w:rPr>
                <w:rFonts w:cs="Arial"/>
                <w:iCs/>
              </w:rPr>
            </w:pPr>
            <w:r w:rsidRPr="00CE526B">
              <w:rPr>
                <w:rFonts w:cs="Arial"/>
                <w:iCs/>
                <w:color w:val="000000"/>
              </w:rPr>
              <w:t>NT</w:t>
            </w:r>
          </w:p>
        </w:tc>
        <w:tc>
          <w:tcPr>
            <w:tcW w:w="4033" w:type="pct"/>
            <w:vAlign w:val="bottom"/>
          </w:tcPr>
          <w:p w14:paraId="47D27A48" w14:textId="77777777" w:rsidR="00CE526B" w:rsidRPr="00CE526B" w:rsidRDefault="00CE526B" w:rsidP="00CE526B">
            <w:pPr>
              <w:spacing w:before="0" w:after="0" w:line="240" w:lineRule="auto"/>
              <w:rPr>
                <w:rFonts w:cs="Arial"/>
                <w:iCs/>
              </w:rPr>
            </w:pPr>
            <w:r w:rsidRPr="00CE526B">
              <w:rPr>
                <w:rFonts w:cs="Arial"/>
                <w:iCs/>
              </w:rPr>
              <w:t xml:space="preserve">Roper Gulf </w:t>
            </w:r>
          </w:p>
        </w:tc>
      </w:tr>
      <w:tr w:rsidR="00CE526B" w:rsidRPr="00CE526B" w14:paraId="476B9CE6" w14:textId="77777777" w:rsidTr="00C44A8F">
        <w:trPr>
          <w:cantSplit/>
        </w:trPr>
        <w:tc>
          <w:tcPr>
            <w:tcW w:w="967" w:type="pct"/>
            <w:vAlign w:val="bottom"/>
          </w:tcPr>
          <w:p w14:paraId="44D5F7B8" w14:textId="77777777" w:rsidR="00CE526B" w:rsidRPr="00CE526B" w:rsidRDefault="00CE526B" w:rsidP="00CE526B">
            <w:pPr>
              <w:spacing w:before="0" w:after="0" w:line="240" w:lineRule="auto"/>
              <w:jc w:val="center"/>
              <w:rPr>
                <w:rFonts w:cs="Arial"/>
                <w:iCs/>
              </w:rPr>
            </w:pPr>
            <w:r w:rsidRPr="00CE526B">
              <w:rPr>
                <w:rFonts w:cs="Arial"/>
                <w:iCs/>
                <w:color w:val="000000"/>
              </w:rPr>
              <w:t>NT</w:t>
            </w:r>
          </w:p>
        </w:tc>
        <w:tc>
          <w:tcPr>
            <w:tcW w:w="4033" w:type="pct"/>
            <w:vAlign w:val="bottom"/>
          </w:tcPr>
          <w:p w14:paraId="5F8D365E" w14:textId="77777777" w:rsidR="00CE526B" w:rsidRPr="00CE526B" w:rsidRDefault="00CE526B" w:rsidP="00CE526B">
            <w:pPr>
              <w:spacing w:before="0" w:after="0" w:line="240" w:lineRule="auto"/>
              <w:rPr>
                <w:rFonts w:cs="Arial"/>
                <w:iCs/>
              </w:rPr>
            </w:pPr>
            <w:r w:rsidRPr="00CE526B">
              <w:rPr>
                <w:rFonts w:cs="Arial"/>
                <w:iCs/>
              </w:rPr>
              <w:t xml:space="preserve">Tiwi Islands </w:t>
            </w:r>
          </w:p>
        </w:tc>
      </w:tr>
      <w:tr w:rsidR="00CE526B" w:rsidRPr="00CE526B" w14:paraId="360E01E5" w14:textId="77777777" w:rsidTr="00C44A8F">
        <w:trPr>
          <w:cantSplit/>
        </w:trPr>
        <w:tc>
          <w:tcPr>
            <w:tcW w:w="967" w:type="pct"/>
            <w:vAlign w:val="bottom"/>
          </w:tcPr>
          <w:p w14:paraId="066EFADA" w14:textId="77777777" w:rsidR="00CE526B" w:rsidRPr="00CE526B" w:rsidRDefault="00CE526B" w:rsidP="00CE526B">
            <w:pPr>
              <w:spacing w:before="0" w:after="0" w:line="240" w:lineRule="auto"/>
              <w:jc w:val="center"/>
              <w:rPr>
                <w:rFonts w:cs="Arial"/>
                <w:iCs/>
              </w:rPr>
            </w:pPr>
            <w:r w:rsidRPr="00CE526B">
              <w:rPr>
                <w:rFonts w:cs="Arial"/>
                <w:iCs/>
                <w:color w:val="000000"/>
              </w:rPr>
              <w:t>NT</w:t>
            </w:r>
          </w:p>
        </w:tc>
        <w:tc>
          <w:tcPr>
            <w:tcW w:w="4033" w:type="pct"/>
            <w:vAlign w:val="bottom"/>
          </w:tcPr>
          <w:p w14:paraId="6A9A21C2" w14:textId="77777777" w:rsidR="00CE526B" w:rsidRPr="00CE526B" w:rsidRDefault="00CE526B" w:rsidP="00CE526B">
            <w:pPr>
              <w:spacing w:before="0" w:after="0" w:line="240" w:lineRule="auto"/>
              <w:rPr>
                <w:rFonts w:cs="Arial"/>
                <w:iCs/>
              </w:rPr>
            </w:pPr>
            <w:r w:rsidRPr="00CE526B">
              <w:rPr>
                <w:rFonts w:cs="Arial"/>
                <w:iCs/>
              </w:rPr>
              <w:t xml:space="preserve">West Arnhem </w:t>
            </w:r>
          </w:p>
        </w:tc>
      </w:tr>
      <w:tr w:rsidR="00CE526B" w:rsidRPr="00CE526B" w14:paraId="1643D4B1" w14:textId="77777777" w:rsidTr="00C44A8F">
        <w:trPr>
          <w:cantSplit/>
        </w:trPr>
        <w:tc>
          <w:tcPr>
            <w:tcW w:w="967" w:type="pct"/>
            <w:vAlign w:val="bottom"/>
          </w:tcPr>
          <w:p w14:paraId="526B6FAE"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7EA8369B" w14:textId="77777777" w:rsidR="00CE526B" w:rsidRPr="00CE526B" w:rsidRDefault="00CE526B" w:rsidP="00CE526B">
            <w:pPr>
              <w:spacing w:before="0" w:after="0" w:line="240" w:lineRule="auto"/>
              <w:rPr>
                <w:rFonts w:cs="Arial"/>
                <w:iCs/>
              </w:rPr>
            </w:pPr>
            <w:r w:rsidRPr="00CE526B">
              <w:rPr>
                <w:rFonts w:cs="Arial"/>
                <w:iCs/>
              </w:rPr>
              <w:t xml:space="preserve">Aurukun </w:t>
            </w:r>
          </w:p>
        </w:tc>
      </w:tr>
      <w:tr w:rsidR="00CE526B" w:rsidRPr="00CE526B" w14:paraId="366BD3D2" w14:textId="77777777" w:rsidTr="00C44A8F">
        <w:trPr>
          <w:cantSplit/>
        </w:trPr>
        <w:tc>
          <w:tcPr>
            <w:tcW w:w="967" w:type="pct"/>
            <w:vAlign w:val="bottom"/>
          </w:tcPr>
          <w:p w14:paraId="434351DC"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08A82A4F" w14:textId="77777777" w:rsidR="00CE526B" w:rsidRPr="00CE526B" w:rsidRDefault="00CE526B" w:rsidP="00CE526B">
            <w:pPr>
              <w:spacing w:before="0" w:after="0" w:line="240" w:lineRule="auto"/>
              <w:rPr>
                <w:rFonts w:cs="Arial"/>
                <w:iCs/>
              </w:rPr>
            </w:pPr>
            <w:r w:rsidRPr="00CE526B">
              <w:rPr>
                <w:rFonts w:cs="Arial"/>
                <w:iCs/>
              </w:rPr>
              <w:t xml:space="preserve">Banana </w:t>
            </w:r>
          </w:p>
        </w:tc>
      </w:tr>
      <w:tr w:rsidR="00CE526B" w:rsidRPr="00CE526B" w14:paraId="534A5529" w14:textId="77777777" w:rsidTr="00C44A8F">
        <w:trPr>
          <w:cantSplit/>
        </w:trPr>
        <w:tc>
          <w:tcPr>
            <w:tcW w:w="967" w:type="pct"/>
            <w:vAlign w:val="bottom"/>
          </w:tcPr>
          <w:p w14:paraId="61A9DED4"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4CD6460E" w14:textId="77777777" w:rsidR="00CE526B" w:rsidRPr="00CE526B" w:rsidRDefault="00CE526B" w:rsidP="00CE526B">
            <w:pPr>
              <w:spacing w:before="0" w:after="0" w:line="240" w:lineRule="auto"/>
              <w:rPr>
                <w:rFonts w:cs="Arial"/>
                <w:iCs/>
              </w:rPr>
            </w:pPr>
            <w:r w:rsidRPr="00CE526B">
              <w:rPr>
                <w:rFonts w:cs="Arial"/>
                <w:iCs/>
              </w:rPr>
              <w:t xml:space="preserve">Barcaldine </w:t>
            </w:r>
          </w:p>
        </w:tc>
      </w:tr>
      <w:tr w:rsidR="00CE526B" w:rsidRPr="00CE526B" w14:paraId="0BE41866" w14:textId="77777777" w:rsidTr="00C44A8F">
        <w:trPr>
          <w:cantSplit/>
        </w:trPr>
        <w:tc>
          <w:tcPr>
            <w:tcW w:w="967" w:type="pct"/>
            <w:vAlign w:val="bottom"/>
          </w:tcPr>
          <w:p w14:paraId="65B1EA12"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756DAF1E" w14:textId="77777777" w:rsidR="00CE526B" w:rsidRPr="00CE526B" w:rsidRDefault="00CE526B" w:rsidP="00CE526B">
            <w:pPr>
              <w:spacing w:before="0" w:after="0" w:line="240" w:lineRule="auto"/>
              <w:rPr>
                <w:rFonts w:cs="Arial"/>
                <w:iCs/>
              </w:rPr>
            </w:pPr>
            <w:r w:rsidRPr="00CE526B">
              <w:rPr>
                <w:rFonts w:cs="Arial"/>
                <w:iCs/>
              </w:rPr>
              <w:t xml:space="preserve">Blackall-Tambo </w:t>
            </w:r>
          </w:p>
        </w:tc>
      </w:tr>
      <w:tr w:rsidR="00CE526B" w:rsidRPr="00CE526B" w14:paraId="6684A107" w14:textId="77777777" w:rsidTr="00C44A8F">
        <w:trPr>
          <w:cantSplit/>
        </w:trPr>
        <w:tc>
          <w:tcPr>
            <w:tcW w:w="967" w:type="pct"/>
            <w:vAlign w:val="bottom"/>
          </w:tcPr>
          <w:p w14:paraId="4888B654"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3FC793F9" w14:textId="77777777" w:rsidR="00CE526B" w:rsidRPr="00CE526B" w:rsidRDefault="00CE526B" w:rsidP="00CE526B">
            <w:pPr>
              <w:spacing w:before="0" w:after="0" w:line="240" w:lineRule="auto"/>
              <w:rPr>
                <w:rFonts w:cs="Arial"/>
                <w:iCs/>
              </w:rPr>
            </w:pPr>
            <w:r w:rsidRPr="00CE526B">
              <w:rPr>
                <w:rFonts w:cs="Arial"/>
                <w:iCs/>
              </w:rPr>
              <w:t xml:space="preserve">Brisbane </w:t>
            </w:r>
          </w:p>
        </w:tc>
      </w:tr>
      <w:tr w:rsidR="00CE526B" w:rsidRPr="00CE526B" w14:paraId="6E853CAA" w14:textId="77777777" w:rsidTr="00C44A8F">
        <w:trPr>
          <w:cantSplit/>
        </w:trPr>
        <w:tc>
          <w:tcPr>
            <w:tcW w:w="967" w:type="pct"/>
            <w:vAlign w:val="bottom"/>
          </w:tcPr>
          <w:p w14:paraId="09228720"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0CA69A97" w14:textId="77777777" w:rsidR="00CE526B" w:rsidRPr="00CE526B" w:rsidRDefault="00CE526B" w:rsidP="00CE526B">
            <w:pPr>
              <w:spacing w:before="0" w:after="0" w:line="240" w:lineRule="auto"/>
              <w:rPr>
                <w:rFonts w:cs="Arial"/>
                <w:iCs/>
              </w:rPr>
            </w:pPr>
            <w:r w:rsidRPr="00CE526B">
              <w:rPr>
                <w:rFonts w:cs="Arial"/>
                <w:iCs/>
              </w:rPr>
              <w:t xml:space="preserve">Bundaberg </w:t>
            </w:r>
          </w:p>
        </w:tc>
      </w:tr>
      <w:tr w:rsidR="00CE526B" w:rsidRPr="00CE526B" w14:paraId="685778F9" w14:textId="77777777" w:rsidTr="00C44A8F">
        <w:trPr>
          <w:cantSplit/>
        </w:trPr>
        <w:tc>
          <w:tcPr>
            <w:tcW w:w="967" w:type="pct"/>
            <w:vAlign w:val="bottom"/>
          </w:tcPr>
          <w:p w14:paraId="08752D3D"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12552ACB" w14:textId="77777777" w:rsidR="00CE526B" w:rsidRPr="00CE526B" w:rsidRDefault="00CE526B" w:rsidP="00CE526B">
            <w:pPr>
              <w:spacing w:before="0" w:after="0" w:line="240" w:lineRule="auto"/>
              <w:rPr>
                <w:rFonts w:cs="Arial"/>
                <w:iCs/>
              </w:rPr>
            </w:pPr>
            <w:r w:rsidRPr="00CE526B">
              <w:rPr>
                <w:rFonts w:cs="Arial"/>
                <w:iCs/>
              </w:rPr>
              <w:t xml:space="preserve">Burdekin </w:t>
            </w:r>
          </w:p>
        </w:tc>
      </w:tr>
      <w:tr w:rsidR="00CE526B" w:rsidRPr="00CE526B" w14:paraId="0750FA25" w14:textId="77777777" w:rsidTr="00C44A8F">
        <w:trPr>
          <w:cantSplit/>
        </w:trPr>
        <w:tc>
          <w:tcPr>
            <w:tcW w:w="967" w:type="pct"/>
            <w:vAlign w:val="bottom"/>
          </w:tcPr>
          <w:p w14:paraId="7EC8D061"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78EF16F7" w14:textId="77777777" w:rsidR="00CE526B" w:rsidRPr="00CE526B" w:rsidRDefault="00CE526B" w:rsidP="00CE526B">
            <w:pPr>
              <w:spacing w:before="0" w:after="0" w:line="240" w:lineRule="auto"/>
              <w:rPr>
                <w:rFonts w:cs="Arial"/>
                <w:iCs/>
              </w:rPr>
            </w:pPr>
            <w:r w:rsidRPr="00CE526B">
              <w:rPr>
                <w:rFonts w:cs="Arial"/>
                <w:iCs/>
              </w:rPr>
              <w:t xml:space="preserve">Burke </w:t>
            </w:r>
          </w:p>
        </w:tc>
      </w:tr>
      <w:tr w:rsidR="00CE526B" w:rsidRPr="00CE526B" w14:paraId="2787D213" w14:textId="77777777" w:rsidTr="00C44A8F">
        <w:trPr>
          <w:cantSplit/>
        </w:trPr>
        <w:tc>
          <w:tcPr>
            <w:tcW w:w="967" w:type="pct"/>
            <w:vAlign w:val="bottom"/>
          </w:tcPr>
          <w:p w14:paraId="48990D05"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32955FC5" w14:textId="77777777" w:rsidR="00CE526B" w:rsidRPr="00CE526B" w:rsidRDefault="00CE526B" w:rsidP="00CE526B">
            <w:pPr>
              <w:spacing w:before="0" w:after="0" w:line="240" w:lineRule="auto"/>
              <w:rPr>
                <w:rFonts w:cs="Arial"/>
                <w:iCs/>
              </w:rPr>
            </w:pPr>
            <w:r w:rsidRPr="00CE526B">
              <w:rPr>
                <w:rFonts w:cs="Arial"/>
                <w:iCs/>
              </w:rPr>
              <w:t xml:space="preserve">Carpentaria </w:t>
            </w:r>
          </w:p>
        </w:tc>
      </w:tr>
      <w:tr w:rsidR="00CE526B" w:rsidRPr="00CE526B" w14:paraId="71719B6D" w14:textId="77777777" w:rsidTr="00C44A8F">
        <w:trPr>
          <w:cantSplit/>
        </w:trPr>
        <w:tc>
          <w:tcPr>
            <w:tcW w:w="967" w:type="pct"/>
            <w:vAlign w:val="bottom"/>
          </w:tcPr>
          <w:p w14:paraId="2092DDA6"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3D4DEC5E" w14:textId="77777777" w:rsidR="00CE526B" w:rsidRPr="00CE526B" w:rsidRDefault="00CE526B" w:rsidP="00CE526B">
            <w:pPr>
              <w:spacing w:before="0" w:after="0" w:line="240" w:lineRule="auto"/>
              <w:rPr>
                <w:rFonts w:cs="Arial"/>
                <w:iCs/>
              </w:rPr>
            </w:pPr>
            <w:r w:rsidRPr="00CE526B">
              <w:rPr>
                <w:rFonts w:cs="Arial"/>
                <w:iCs/>
              </w:rPr>
              <w:t xml:space="preserve">Cassowary Coast </w:t>
            </w:r>
          </w:p>
        </w:tc>
      </w:tr>
      <w:tr w:rsidR="00CE526B" w:rsidRPr="00CE526B" w14:paraId="206BE29A" w14:textId="77777777" w:rsidTr="00C44A8F">
        <w:trPr>
          <w:cantSplit/>
        </w:trPr>
        <w:tc>
          <w:tcPr>
            <w:tcW w:w="967" w:type="pct"/>
            <w:vAlign w:val="bottom"/>
          </w:tcPr>
          <w:p w14:paraId="2E64972A"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6407F5C1" w14:textId="77777777" w:rsidR="00CE526B" w:rsidRPr="00CE526B" w:rsidRDefault="00CE526B" w:rsidP="00CE526B">
            <w:pPr>
              <w:spacing w:before="0" w:after="0" w:line="240" w:lineRule="auto"/>
              <w:rPr>
                <w:rFonts w:cs="Arial"/>
                <w:iCs/>
              </w:rPr>
            </w:pPr>
            <w:r w:rsidRPr="00CE526B">
              <w:rPr>
                <w:rFonts w:cs="Arial"/>
                <w:iCs/>
              </w:rPr>
              <w:t>Central Highlands  (Qld)</w:t>
            </w:r>
          </w:p>
        </w:tc>
      </w:tr>
      <w:tr w:rsidR="00CE526B" w:rsidRPr="00CE526B" w14:paraId="57D2592F" w14:textId="77777777" w:rsidTr="00C44A8F">
        <w:trPr>
          <w:cantSplit/>
        </w:trPr>
        <w:tc>
          <w:tcPr>
            <w:tcW w:w="967" w:type="pct"/>
            <w:vAlign w:val="bottom"/>
          </w:tcPr>
          <w:p w14:paraId="65E10097"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03E0881C" w14:textId="77777777" w:rsidR="00CE526B" w:rsidRPr="00CE526B" w:rsidRDefault="00CE526B" w:rsidP="00CE526B">
            <w:pPr>
              <w:spacing w:before="0" w:after="0" w:line="240" w:lineRule="auto"/>
              <w:rPr>
                <w:rFonts w:cs="Arial"/>
                <w:iCs/>
              </w:rPr>
            </w:pPr>
            <w:r w:rsidRPr="00CE526B">
              <w:rPr>
                <w:rFonts w:cs="Arial"/>
                <w:iCs/>
              </w:rPr>
              <w:t xml:space="preserve">Charters Towers </w:t>
            </w:r>
          </w:p>
        </w:tc>
      </w:tr>
      <w:tr w:rsidR="00CE526B" w:rsidRPr="00CE526B" w14:paraId="1DACAF12" w14:textId="77777777" w:rsidTr="00C44A8F">
        <w:trPr>
          <w:cantSplit/>
        </w:trPr>
        <w:tc>
          <w:tcPr>
            <w:tcW w:w="967" w:type="pct"/>
            <w:vAlign w:val="bottom"/>
          </w:tcPr>
          <w:p w14:paraId="3BB45710"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107CC560" w14:textId="77777777" w:rsidR="00CE526B" w:rsidRPr="00CE526B" w:rsidRDefault="00CE526B" w:rsidP="00CE526B">
            <w:pPr>
              <w:spacing w:before="0" w:after="0" w:line="240" w:lineRule="auto"/>
              <w:rPr>
                <w:rFonts w:cs="Arial"/>
                <w:iCs/>
              </w:rPr>
            </w:pPr>
            <w:r w:rsidRPr="00CE526B">
              <w:rPr>
                <w:rFonts w:cs="Arial"/>
                <w:iCs/>
              </w:rPr>
              <w:t xml:space="preserve">Cook </w:t>
            </w:r>
          </w:p>
        </w:tc>
      </w:tr>
      <w:tr w:rsidR="00CE526B" w:rsidRPr="00CE526B" w14:paraId="482D153E" w14:textId="77777777" w:rsidTr="00C44A8F">
        <w:trPr>
          <w:cantSplit/>
        </w:trPr>
        <w:tc>
          <w:tcPr>
            <w:tcW w:w="967" w:type="pct"/>
            <w:vAlign w:val="bottom"/>
          </w:tcPr>
          <w:p w14:paraId="04C50C0D"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166BFF47" w14:textId="77777777" w:rsidR="00CE526B" w:rsidRPr="00CE526B" w:rsidRDefault="00CE526B" w:rsidP="00CE526B">
            <w:pPr>
              <w:spacing w:before="0" w:after="0" w:line="240" w:lineRule="auto"/>
              <w:rPr>
                <w:rFonts w:cs="Arial"/>
                <w:iCs/>
              </w:rPr>
            </w:pPr>
            <w:r w:rsidRPr="00CE526B">
              <w:rPr>
                <w:rFonts w:cs="Arial"/>
                <w:iCs/>
              </w:rPr>
              <w:t xml:space="preserve">Croydon </w:t>
            </w:r>
          </w:p>
        </w:tc>
      </w:tr>
      <w:tr w:rsidR="00CE526B" w:rsidRPr="00CE526B" w14:paraId="08C3CFF3" w14:textId="77777777" w:rsidTr="00C44A8F">
        <w:trPr>
          <w:cantSplit/>
        </w:trPr>
        <w:tc>
          <w:tcPr>
            <w:tcW w:w="967" w:type="pct"/>
            <w:vAlign w:val="bottom"/>
          </w:tcPr>
          <w:p w14:paraId="0494CC2F"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5B69E6B0" w14:textId="77777777" w:rsidR="00CE526B" w:rsidRPr="00CE526B" w:rsidRDefault="00CE526B" w:rsidP="00CE526B">
            <w:pPr>
              <w:spacing w:before="0" w:after="0" w:line="240" w:lineRule="auto"/>
              <w:rPr>
                <w:rFonts w:cs="Arial"/>
                <w:iCs/>
              </w:rPr>
            </w:pPr>
            <w:r w:rsidRPr="00CE526B">
              <w:rPr>
                <w:rFonts w:cs="Arial"/>
                <w:iCs/>
              </w:rPr>
              <w:t xml:space="preserve">Etheridge </w:t>
            </w:r>
          </w:p>
        </w:tc>
      </w:tr>
      <w:tr w:rsidR="00CE526B" w:rsidRPr="00CE526B" w14:paraId="5A96C096" w14:textId="77777777" w:rsidTr="00C44A8F">
        <w:trPr>
          <w:cantSplit/>
        </w:trPr>
        <w:tc>
          <w:tcPr>
            <w:tcW w:w="967" w:type="pct"/>
            <w:vAlign w:val="bottom"/>
          </w:tcPr>
          <w:p w14:paraId="5B0D40DE"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267E6934" w14:textId="77777777" w:rsidR="00CE526B" w:rsidRPr="00CE526B" w:rsidRDefault="00CE526B" w:rsidP="00CE526B">
            <w:pPr>
              <w:spacing w:before="0" w:after="0" w:line="240" w:lineRule="auto"/>
              <w:rPr>
                <w:rFonts w:cs="Arial"/>
                <w:iCs/>
              </w:rPr>
            </w:pPr>
            <w:r w:rsidRPr="00CE526B">
              <w:rPr>
                <w:rFonts w:cs="Arial"/>
                <w:iCs/>
              </w:rPr>
              <w:t>Flinders  (Qld)</w:t>
            </w:r>
          </w:p>
        </w:tc>
      </w:tr>
      <w:tr w:rsidR="00CE526B" w:rsidRPr="00CE526B" w14:paraId="5F7C0B83" w14:textId="77777777" w:rsidTr="00C44A8F">
        <w:trPr>
          <w:cantSplit/>
        </w:trPr>
        <w:tc>
          <w:tcPr>
            <w:tcW w:w="967" w:type="pct"/>
            <w:vAlign w:val="bottom"/>
          </w:tcPr>
          <w:p w14:paraId="64672C62"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651E8909" w14:textId="77777777" w:rsidR="00CE526B" w:rsidRPr="00CE526B" w:rsidRDefault="00CE526B" w:rsidP="00CE526B">
            <w:pPr>
              <w:spacing w:before="0" w:after="0" w:line="240" w:lineRule="auto"/>
              <w:rPr>
                <w:rFonts w:cs="Arial"/>
                <w:iCs/>
              </w:rPr>
            </w:pPr>
            <w:r w:rsidRPr="00CE526B">
              <w:rPr>
                <w:rFonts w:cs="Arial"/>
                <w:iCs/>
              </w:rPr>
              <w:t xml:space="preserve">Fraser Coast </w:t>
            </w:r>
          </w:p>
        </w:tc>
      </w:tr>
      <w:tr w:rsidR="00CE526B" w:rsidRPr="00CE526B" w14:paraId="32B818AA" w14:textId="77777777" w:rsidTr="00C44A8F">
        <w:trPr>
          <w:cantSplit/>
        </w:trPr>
        <w:tc>
          <w:tcPr>
            <w:tcW w:w="967" w:type="pct"/>
            <w:vAlign w:val="bottom"/>
          </w:tcPr>
          <w:p w14:paraId="34D29A59"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0E78288B" w14:textId="77777777" w:rsidR="00CE526B" w:rsidRPr="00CE526B" w:rsidRDefault="00CE526B" w:rsidP="00CE526B">
            <w:pPr>
              <w:spacing w:before="0" w:after="0" w:line="240" w:lineRule="auto"/>
              <w:rPr>
                <w:rFonts w:cs="Arial"/>
                <w:iCs/>
              </w:rPr>
            </w:pPr>
            <w:r w:rsidRPr="00CE526B">
              <w:rPr>
                <w:rFonts w:cs="Arial"/>
                <w:iCs/>
              </w:rPr>
              <w:t xml:space="preserve">Gladstone </w:t>
            </w:r>
          </w:p>
        </w:tc>
      </w:tr>
      <w:tr w:rsidR="00CE526B" w:rsidRPr="00CE526B" w14:paraId="750F6AFB" w14:textId="77777777" w:rsidTr="00C44A8F">
        <w:trPr>
          <w:cantSplit/>
        </w:trPr>
        <w:tc>
          <w:tcPr>
            <w:tcW w:w="967" w:type="pct"/>
            <w:vAlign w:val="bottom"/>
          </w:tcPr>
          <w:p w14:paraId="5B970620"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4BD2E7B2" w14:textId="77777777" w:rsidR="00CE526B" w:rsidRPr="00CE526B" w:rsidRDefault="00CE526B" w:rsidP="00CE526B">
            <w:pPr>
              <w:spacing w:before="0" w:after="0" w:line="240" w:lineRule="auto"/>
              <w:rPr>
                <w:rFonts w:cs="Arial"/>
                <w:iCs/>
              </w:rPr>
            </w:pPr>
            <w:r w:rsidRPr="00CE526B">
              <w:rPr>
                <w:rFonts w:cs="Arial"/>
                <w:iCs/>
              </w:rPr>
              <w:t xml:space="preserve">Goondiwindi </w:t>
            </w:r>
          </w:p>
        </w:tc>
      </w:tr>
      <w:tr w:rsidR="00CE526B" w:rsidRPr="00CE526B" w14:paraId="2A8DD96D" w14:textId="77777777" w:rsidTr="00C44A8F">
        <w:trPr>
          <w:cantSplit/>
        </w:trPr>
        <w:tc>
          <w:tcPr>
            <w:tcW w:w="967" w:type="pct"/>
            <w:vAlign w:val="bottom"/>
          </w:tcPr>
          <w:p w14:paraId="6B881EC9"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6011EBBF" w14:textId="77777777" w:rsidR="00CE526B" w:rsidRPr="00CE526B" w:rsidRDefault="00CE526B" w:rsidP="00CE526B">
            <w:pPr>
              <w:spacing w:before="0" w:after="0" w:line="240" w:lineRule="auto"/>
              <w:rPr>
                <w:rFonts w:cs="Arial"/>
                <w:iCs/>
              </w:rPr>
            </w:pPr>
            <w:r w:rsidRPr="00CE526B">
              <w:rPr>
                <w:rFonts w:cs="Arial"/>
                <w:iCs/>
              </w:rPr>
              <w:t xml:space="preserve">Gympie </w:t>
            </w:r>
          </w:p>
        </w:tc>
      </w:tr>
      <w:tr w:rsidR="00CE526B" w:rsidRPr="00CE526B" w14:paraId="2072C7FB" w14:textId="77777777" w:rsidTr="00C44A8F">
        <w:trPr>
          <w:cantSplit/>
        </w:trPr>
        <w:tc>
          <w:tcPr>
            <w:tcW w:w="967" w:type="pct"/>
            <w:vAlign w:val="bottom"/>
          </w:tcPr>
          <w:p w14:paraId="1EDAF8AD"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5182C2AA" w14:textId="77777777" w:rsidR="00CE526B" w:rsidRPr="00CE526B" w:rsidRDefault="00CE526B" w:rsidP="00CE526B">
            <w:pPr>
              <w:spacing w:before="0" w:after="0" w:line="240" w:lineRule="auto"/>
              <w:rPr>
                <w:rFonts w:cs="Arial"/>
                <w:iCs/>
              </w:rPr>
            </w:pPr>
            <w:r w:rsidRPr="00CE526B">
              <w:rPr>
                <w:rFonts w:cs="Arial"/>
                <w:iCs/>
              </w:rPr>
              <w:t xml:space="preserve">Hinchinbrook </w:t>
            </w:r>
          </w:p>
        </w:tc>
      </w:tr>
      <w:tr w:rsidR="00CE526B" w:rsidRPr="00CE526B" w14:paraId="52CA4888" w14:textId="77777777" w:rsidTr="00C44A8F">
        <w:trPr>
          <w:cantSplit/>
        </w:trPr>
        <w:tc>
          <w:tcPr>
            <w:tcW w:w="967" w:type="pct"/>
            <w:vAlign w:val="bottom"/>
          </w:tcPr>
          <w:p w14:paraId="6E6EA1F3"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2547E934" w14:textId="77777777" w:rsidR="00CE526B" w:rsidRPr="00CE526B" w:rsidRDefault="00CE526B" w:rsidP="00CE526B">
            <w:pPr>
              <w:spacing w:before="0" w:after="0" w:line="240" w:lineRule="auto"/>
              <w:rPr>
                <w:rFonts w:cs="Arial"/>
                <w:iCs/>
              </w:rPr>
            </w:pPr>
            <w:r w:rsidRPr="00CE526B">
              <w:rPr>
                <w:rFonts w:cs="Arial"/>
                <w:iCs/>
              </w:rPr>
              <w:t xml:space="preserve">Ipswich </w:t>
            </w:r>
          </w:p>
        </w:tc>
      </w:tr>
      <w:tr w:rsidR="00CE526B" w:rsidRPr="00CE526B" w14:paraId="5216C102" w14:textId="77777777" w:rsidTr="00C44A8F">
        <w:trPr>
          <w:cantSplit/>
        </w:trPr>
        <w:tc>
          <w:tcPr>
            <w:tcW w:w="967" w:type="pct"/>
            <w:vAlign w:val="bottom"/>
          </w:tcPr>
          <w:p w14:paraId="354D5EAD"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7435E172" w14:textId="77777777" w:rsidR="00CE526B" w:rsidRPr="00CE526B" w:rsidRDefault="00CE526B" w:rsidP="00CE526B">
            <w:pPr>
              <w:spacing w:before="0" w:after="0" w:line="240" w:lineRule="auto"/>
              <w:rPr>
                <w:rFonts w:cs="Arial"/>
                <w:iCs/>
              </w:rPr>
            </w:pPr>
            <w:r w:rsidRPr="00CE526B">
              <w:rPr>
                <w:rFonts w:cs="Arial"/>
                <w:iCs/>
              </w:rPr>
              <w:t xml:space="preserve">Isaac </w:t>
            </w:r>
          </w:p>
        </w:tc>
      </w:tr>
      <w:tr w:rsidR="00CE526B" w:rsidRPr="00CE526B" w14:paraId="3E572909" w14:textId="77777777" w:rsidTr="00C44A8F">
        <w:trPr>
          <w:cantSplit/>
        </w:trPr>
        <w:tc>
          <w:tcPr>
            <w:tcW w:w="967" w:type="pct"/>
            <w:vAlign w:val="bottom"/>
          </w:tcPr>
          <w:p w14:paraId="4DF74776"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227D5CA0" w14:textId="77777777" w:rsidR="00CE526B" w:rsidRPr="00CE526B" w:rsidRDefault="00CE526B" w:rsidP="00CE526B">
            <w:pPr>
              <w:spacing w:before="0" w:after="0" w:line="240" w:lineRule="auto"/>
              <w:rPr>
                <w:rFonts w:cs="Arial"/>
                <w:iCs/>
              </w:rPr>
            </w:pPr>
            <w:r w:rsidRPr="00CE526B">
              <w:rPr>
                <w:rFonts w:cs="Arial"/>
                <w:iCs/>
              </w:rPr>
              <w:t xml:space="preserve">Livingstone </w:t>
            </w:r>
          </w:p>
        </w:tc>
      </w:tr>
      <w:tr w:rsidR="00CE526B" w:rsidRPr="00CE526B" w14:paraId="13379562" w14:textId="77777777" w:rsidTr="00C44A8F">
        <w:trPr>
          <w:cantSplit/>
        </w:trPr>
        <w:tc>
          <w:tcPr>
            <w:tcW w:w="967" w:type="pct"/>
            <w:vAlign w:val="bottom"/>
          </w:tcPr>
          <w:p w14:paraId="30CE1FFA"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6EAD8E43" w14:textId="77777777" w:rsidR="00CE526B" w:rsidRPr="00CE526B" w:rsidRDefault="00CE526B" w:rsidP="00CE526B">
            <w:pPr>
              <w:spacing w:before="0" w:after="0" w:line="240" w:lineRule="auto"/>
              <w:rPr>
                <w:rFonts w:cs="Arial"/>
                <w:iCs/>
              </w:rPr>
            </w:pPr>
            <w:r w:rsidRPr="00CE526B">
              <w:rPr>
                <w:rFonts w:cs="Arial"/>
                <w:iCs/>
              </w:rPr>
              <w:t xml:space="preserve">Mackay </w:t>
            </w:r>
          </w:p>
        </w:tc>
      </w:tr>
      <w:tr w:rsidR="00CE526B" w:rsidRPr="00CE526B" w14:paraId="73631BE2" w14:textId="77777777" w:rsidTr="00C44A8F">
        <w:trPr>
          <w:cantSplit/>
        </w:trPr>
        <w:tc>
          <w:tcPr>
            <w:tcW w:w="967" w:type="pct"/>
            <w:vAlign w:val="bottom"/>
          </w:tcPr>
          <w:p w14:paraId="566A7996"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4DC7570B" w14:textId="77777777" w:rsidR="00CE526B" w:rsidRPr="00CE526B" w:rsidRDefault="00CE526B" w:rsidP="00CE526B">
            <w:pPr>
              <w:spacing w:before="0" w:after="0" w:line="240" w:lineRule="auto"/>
              <w:rPr>
                <w:rFonts w:cs="Arial"/>
                <w:iCs/>
              </w:rPr>
            </w:pPr>
            <w:r w:rsidRPr="00CE526B">
              <w:rPr>
                <w:rFonts w:cs="Arial"/>
                <w:iCs/>
              </w:rPr>
              <w:t xml:space="preserve">Maranoa </w:t>
            </w:r>
          </w:p>
        </w:tc>
      </w:tr>
      <w:tr w:rsidR="00CE526B" w:rsidRPr="00CE526B" w14:paraId="58A2549E" w14:textId="77777777" w:rsidTr="00C44A8F">
        <w:trPr>
          <w:cantSplit/>
        </w:trPr>
        <w:tc>
          <w:tcPr>
            <w:tcW w:w="967" w:type="pct"/>
            <w:vAlign w:val="bottom"/>
          </w:tcPr>
          <w:p w14:paraId="3C31939B"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54F8675E" w14:textId="77777777" w:rsidR="00CE526B" w:rsidRPr="00CE526B" w:rsidRDefault="00CE526B" w:rsidP="00CE526B">
            <w:pPr>
              <w:spacing w:before="0" w:after="0" w:line="240" w:lineRule="auto"/>
              <w:rPr>
                <w:rFonts w:cs="Arial"/>
                <w:iCs/>
              </w:rPr>
            </w:pPr>
            <w:r w:rsidRPr="00CE526B">
              <w:rPr>
                <w:rFonts w:cs="Arial"/>
                <w:iCs/>
              </w:rPr>
              <w:t xml:space="preserve">Moreton Bay </w:t>
            </w:r>
          </w:p>
        </w:tc>
      </w:tr>
      <w:tr w:rsidR="00CE526B" w:rsidRPr="00CE526B" w14:paraId="2A9F094F" w14:textId="77777777" w:rsidTr="00C44A8F">
        <w:trPr>
          <w:cantSplit/>
        </w:trPr>
        <w:tc>
          <w:tcPr>
            <w:tcW w:w="967" w:type="pct"/>
            <w:vAlign w:val="bottom"/>
          </w:tcPr>
          <w:p w14:paraId="66951893"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00DC9DD1" w14:textId="77777777" w:rsidR="00CE526B" w:rsidRPr="00CE526B" w:rsidRDefault="00CE526B" w:rsidP="00CE526B">
            <w:pPr>
              <w:spacing w:before="0" w:after="0" w:line="240" w:lineRule="auto"/>
              <w:rPr>
                <w:rFonts w:cs="Arial"/>
                <w:iCs/>
              </w:rPr>
            </w:pPr>
            <w:r w:rsidRPr="00CE526B">
              <w:rPr>
                <w:rFonts w:cs="Arial"/>
                <w:iCs/>
              </w:rPr>
              <w:t xml:space="preserve">Mount Isa </w:t>
            </w:r>
          </w:p>
        </w:tc>
      </w:tr>
      <w:tr w:rsidR="00CE526B" w:rsidRPr="00CE526B" w14:paraId="42E1E9F9" w14:textId="77777777" w:rsidTr="00C44A8F">
        <w:trPr>
          <w:cantSplit/>
        </w:trPr>
        <w:tc>
          <w:tcPr>
            <w:tcW w:w="967" w:type="pct"/>
            <w:vAlign w:val="bottom"/>
          </w:tcPr>
          <w:p w14:paraId="3234DFE3"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317DD1AF" w14:textId="77777777" w:rsidR="00CE526B" w:rsidRPr="00CE526B" w:rsidRDefault="00CE526B" w:rsidP="00CE526B">
            <w:pPr>
              <w:spacing w:before="0" w:after="0" w:line="240" w:lineRule="auto"/>
              <w:rPr>
                <w:rFonts w:cs="Arial"/>
                <w:iCs/>
              </w:rPr>
            </w:pPr>
            <w:r w:rsidRPr="00CE526B">
              <w:rPr>
                <w:rFonts w:cs="Arial"/>
                <w:iCs/>
              </w:rPr>
              <w:t xml:space="preserve">Noosa </w:t>
            </w:r>
          </w:p>
        </w:tc>
      </w:tr>
      <w:tr w:rsidR="00CE526B" w:rsidRPr="00CE526B" w14:paraId="6881A906" w14:textId="77777777" w:rsidTr="00C44A8F">
        <w:trPr>
          <w:cantSplit/>
        </w:trPr>
        <w:tc>
          <w:tcPr>
            <w:tcW w:w="967" w:type="pct"/>
            <w:vAlign w:val="bottom"/>
          </w:tcPr>
          <w:p w14:paraId="6FD9CAE9"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114A3FE3" w14:textId="77777777" w:rsidR="00CE526B" w:rsidRPr="00CE526B" w:rsidRDefault="00CE526B" w:rsidP="00CE526B">
            <w:pPr>
              <w:spacing w:before="0" w:after="0" w:line="240" w:lineRule="auto"/>
              <w:rPr>
                <w:rFonts w:cs="Arial"/>
                <w:iCs/>
              </w:rPr>
            </w:pPr>
            <w:r w:rsidRPr="00CE526B">
              <w:rPr>
                <w:rFonts w:cs="Arial"/>
                <w:iCs/>
              </w:rPr>
              <w:t xml:space="preserve">North Burnett </w:t>
            </w:r>
          </w:p>
        </w:tc>
      </w:tr>
      <w:tr w:rsidR="00CE526B" w:rsidRPr="00CE526B" w14:paraId="0E6F706E" w14:textId="77777777" w:rsidTr="00C44A8F">
        <w:trPr>
          <w:cantSplit/>
        </w:trPr>
        <w:tc>
          <w:tcPr>
            <w:tcW w:w="967" w:type="pct"/>
            <w:vAlign w:val="bottom"/>
          </w:tcPr>
          <w:p w14:paraId="513E48E9"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5D7FE48A" w14:textId="77777777" w:rsidR="00CE526B" w:rsidRPr="00CE526B" w:rsidRDefault="00CE526B" w:rsidP="00CE526B">
            <w:pPr>
              <w:spacing w:before="0" w:after="0" w:line="240" w:lineRule="auto"/>
              <w:rPr>
                <w:rFonts w:cs="Arial"/>
                <w:iCs/>
              </w:rPr>
            </w:pPr>
            <w:r w:rsidRPr="00CE526B">
              <w:rPr>
                <w:rFonts w:cs="Arial"/>
                <w:iCs/>
              </w:rPr>
              <w:t xml:space="preserve">Redland </w:t>
            </w:r>
          </w:p>
        </w:tc>
      </w:tr>
      <w:tr w:rsidR="00CE526B" w:rsidRPr="00CE526B" w14:paraId="1CD116D2" w14:textId="77777777" w:rsidTr="00C44A8F">
        <w:trPr>
          <w:cantSplit/>
        </w:trPr>
        <w:tc>
          <w:tcPr>
            <w:tcW w:w="967" w:type="pct"/>
            <w:vAlign w:val="bottom"/>
          </w:tcPr>
          <w:p w14:paraId="6438EDD2"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77088487" w14:textId="77777777" w:rsidR="00CE526B" w:rsidRPr="00CE526B" w:rsidRDefault="00CE526B" w:rsidP="00CE526B">
            <w:pPr>
              <w:spacing w:before="0" w:after="0" w:line="240" w:lineRule="auto"/>
              <w:rPr>
                <w:rFonts w:cs="Arial"/>
                <w:iCs/>
              </w:rPr>
            </w:pPr>
            <w:r w:rsidRPr="00CE526B">
              <w:rPr>
                <w:rFonts w:cs="Arial"/>
                <w:iCs/>
              </w:rPr>
              <w:t xml:space="preserve">Rockhampton </w:t>
            </w:r>
          </w:p>
        </w:tc>
      </w:tr>
      <w:tr w:rsidR="00CE526B" w:rsidRPr="00CE526B" w14:paraId="7331A79E" w14:textId="77777777" w:rsidTr="00C44A8F">
        <w:trPr>
          <w:cantSplit/>
        </w:trPr>
        <w:tc>
          <w:tcPr>
            <w:tcW w:w="967" w:type="pct"/>
            <w:vAlign w:val="bottom"/>
          </w:tcPr>
          <w:p w14:paraId="1C653FCC"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734D2FDA" w14:textId="77777777" w:rsidR="00CE526B" w:rsidRPr="00CE526B" w:rsidRDefault="00CE526B" w:rsidP="00CE526B">
            <w:pPr>
              <w:spacing w:before="0" w:after="0" w:line="240" w:lineRule="auto"/>
              <w:rPr>
                <w:rFonts w:cs="Arial"/>
                <w:iCs/>
              </w:rPr>
            </w:pPr>
            <w:r w:rsidRPr="00CE526B">
              <w:rPr>
                <w:rFonts w:cs="Arial"/>
                <w:iCs/>
              </w:rPr>
              <w:t xml:space="preserve">Scenic Rim </w:t>
            </w:r>
          </w:p>
        </w:tc>
      </w:tr>
      <w:tr w:rsidR="00CE526B" w:rsidRPr="00CE526B" w14:paraId="2CA1AFB7" w14:textId="77777777" w:rsidTr="00C44A8F">
        <w:trPr>
          <w:cantSplit/>
        </w:trPr>
        <w:tc>
          <w:tcPr>
            <w:tcW w:w="967" w:type="pct"/>
            <w:vAlign w:val="bottom"/>
          </w:tcPr>
          <w:p w14:paraId="52F8481E"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19F37A25" w14:textId="77777777" w:rsidR="00CE526B" w:rsidRPr="00CE526B" w:rsidRDefault="00CE526B" w:rsidP="00CE526B">
            <w:pPr>
              <w:spacing w:before="0" w:after="0" w:line="240" w:lineRule="auto"/>
              <w:rPr>
                <w:rFonts w:cs="Arial"/>
                <w:iCs/>
              </w:rPr>
            </w:pPr>
            <w:r w:rsidRPr="00CE526B">
              <w:rPr>
                <w:rFonts w:cs="Arial"/>
                <w:iCs/>
              </w:rPr>
              <w:t xml:space="preserve">Somerset </w:t>
            </w:r>
          </w:p>
        </w:tc>
      </w:tr>
      <w:tr w:rsidR="00CE526B" w:rsidRPr="00CE526B" w14:paraId="2FC26B87" w14:textId="77777777" w:rsidTr="00C44A8F">
        <w:trPr>
          <w:cantSplit/>
        </w:trPr>
        <w:tc>
          <w:tcPr>
            <w:tcW w:w="967" w:type="pct"/>
            <w:vAlign w:val="bottom"/>
          </w:tcPr>
          <w:p w14:paraId="51DEC3E4"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6A0DD572" w14:textId="77777777" w:rsidR="00CE526B" w:rsidRPr="00CE526B" w:rsidRDefault="00CE526B" w:rsidP="00CE526B">
            <w:pPr>
              <w:spacing w:before="0" w:after="0" w:line="240" w:lineRule="auto"/>
              <w:rPr>
                <w:rFonts w:cs="Arial"/>
                <w:iCs/>
              </w:rPr>
            </w:pPr>
            <w:r w:rsidRPr="00CE526B">
              <w:rPr>
                <w:rFonts w:cs="Arial"/>
                <w:iCs/>
              </w:rPr>
              <w:t xml:space="preserve">South Burnett </w:t>
            </w:r>
          </w:p>
        </w:tc>
      </w:tr>
      <w:tr w:rsidR="00CE526B" w:rsidRPr="00CE526B" w14:paraId="75C09EAC" w14:textId="77777777" w:rsidTr="00C44A8F">
        <w:trPr>
          <w:cantSplit/>
        </w:trPr>
        <w:tc>
          <w:tcPr>
            <w:tcW w:w="967" w:type="pct"/>
            <w:vAlign w:val="bottom"/>
          </w:tcPr>
          <w:p w14:paraId="50A3F036"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3C431D1C" w14:textId="77777777" w:rsidR="00CE526B" w:rsidRPr="00CE526B" w:rsidRDefault="00CE526B" w:rsidP="00CE526B">
            <w:pPr>
              <w:spacing w:before="0" w:after="0" w:line="240" w:lineRule="auto"/>
              <w:rPr>
                <w:rFonts w:cs="Arial"/>
                <w:iCs/>
              </w:rPr>
            </w:pPr>
            <w:r w:rsidRPr="00CE526B">
              <w:rPr>
                <w:rFonts w:cs="Arial"/>
                <w:iCs/>
              </w:rPr>
              <w:t xml:space="preserve">Southern Downs </w:t>
            </w:r>
          </w:p>
        </w:tc>
      </w:tr>
      <w:tr w:rsidR="00CE526B" w:rsidRPr="00CE526B" w14:paraId="364AC6C3" w14:textId="77777777" w:rsidTr="00C44A8F">
        <w:trPr>
          <w:cantSplit/>
        </w:trPr>
        <w:tc>
          <w:tcPr>
            <w:tcW w:w="967" w:type="pct"/>
            <w:vAlign w:val="bottom"/>
          </w:tcPr>
          <w:p w14:paraId="79943513" w14:textId="77777777" w:rsidR="00CE526B" w:rsidRPr="00CE526B" w:rsidRDefault="00CE526B" w:rsidP="00CE526B">
            <w:pPr>
              <w:spacing w:before="0" w:after="0" w:line="240" w:lineRule="auto"/>
              <w:jc w:val="center"/>
              <w:rPr>
                <w:rFonts w:cs="Arial"/>
                <w:iCs/>
              </w:rPr>
            </w:pPr>
            <w:r w:rsidRPr="00CE526B">
              <w:rPr>
                <w:rFonts w:cs="Arial"/>
                <w:iCs/>
                <w:color w:val="000000"/>
              </w:rPr>
              <w:lastRenderedPageBreak/>
              <w:t>QLD</w:t>
            </w:r>
          </w:p>
        </w:tc>
        <w:tc>
          <w:tcPr>
            <w:tcW w:w="4033" w:type="pct"/>
            <w:vAlign w:val="bottom"/>
          </w:tcPr>
          <w:p w14:paraId="45C51F33" w14:textId="77777777" w:rsidR="00CE526B" w:rsidRPr="00CE526B" w:rsidRDefault="00CE526B" w:rsidP="00CE526B">
            <w:pPr>
              <w:spacing w:before="0" w:after="0" w:line="240" w:lineRule="auto"/>
              <w:rPr>
                <w:rFonts w:cs="Arial"/>
                <w:iCs/>
              </w:rPr>
            </w:pPr>
            <w:r w:rsidRPr="00CE526B">
              <w:rPr>
                <w:rFonts w:cs="Arial"/>
                <w:iCs/>
              </w:rPr>
              <w:t xml:space="preserve">Sunshine Coast </w:t>
            </w:r>
          </w:p>
        </w:tc>
      </w:tr>
      <w:tr w:rsidR="00CE526B" w:rsidRPr="00CE526B" w14:paraId="02A5011D" w14:textId="77777777" w:rsidTr="00C44A8F">
        <w:trPr>
          <w:cantSplit/>
        </w:trPr>
        <w:tc>
          <w:tcPr>
            <w:tcW w:w="967" w:type="pct"/>
            <w:vAlign w:val="bottom"/>
          </w:tcPr>
          <w:p w14:paraId="6DB7FB82"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46388DCE" w14:textId="77777777" w:rsidR="00CE526B" w:rsidRPr="00CE526B" w:rsidRDefault="00CE526B" w:rsidP="00CE526B">
            <w:pPr>
              <w:spacing w:before="0" w:after="0" w:line="240" w:lineRule="auto"/>
              <w:rPr>
                <w:rFonts w:cs="Arial"/>
                <w:iCs/>
              </w:rPr>
            </w:pPr>
            <w:r w:rsidRPr="00CE526B">
              <w:rPr>
                <w:rFonts w:cs="Arial"/>
                <w:iCs/>
              </w:rPr>
              <w:t xml:space="preserve">Tablelands </w:t>
            </w:r>
          </w:p>
        </w:tc>
      </w:tr>
      <w:tr w:rsidR="00CE526B" w:rsidRPr="00CE526B" w14:paraId="3534BCC1" w14:textId="77777777" w:rsidTr="00C44A8F">
        <w:trPr>
          <w:cantSplit/>
        </w:trPr>
        <w:tc>
          <w:tcPr>
            <w:tcW w:w="967" w:type="pct"/>
            <w:vAlign w:val="bottom"/>
          </w:tcPr>
          <w:p w14:paraId="0F2870E2"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1D7F3C30" w14:textId="77777777" w:rsidR="00CE526B" w:rsidRPr="00CE526B" w:rsidRDefault="00CE526B" w:rsidP="00CE526B">
            <w:pPr>
              <w:spacing w:before="0" w:after="0" w:line="240" w:lineRule="auto"/>
              <w:rPr>
                <w:rFonts w:cs="Arial"/>
                <w:iCs/>
              </w:rPr>
            </w:pPr>
            <w:r w:rsidRPr="00CE526B">
              <w:rPr>
                <w:rFonts w:cs="Arial"/>
                <w:iCs/>
              </w:rPr>
              <w:t xml:space="preserve">Toowoomba </w:t>
            </w:r>
          </w:p>
        </w:tc>
      </w:tr>
      <w:tr w:rsidR="00CE526B" w:rsidRPr="00CE526B" w14:paraId="5C630035" w14:textId="77777777" w:rsidTr="00C44A8F">
        <w:trPr>
          <w:cantSplit/>
        </w:trPr>
        <w:tc>
          <w:tcPr>
            <w:tcW w:w="967" w:type="pct"/>
            <w:vAlign w:val="bottom"/>
          </w:tcPr>
          <w:p w14:paraId="4339FE3F" w14:textId="77777777" w:rsidR="00CE526B" w:rsidRPr="00CE526B" w:rsidRDefault="00CE526B" w:rsidP="00CE526B">
            <w:pPr>
              <w:spacing w:before="0" w:after="0" w:line="240" w:lineRule="auto"/>
              <w:jc w:val="center"/>
              <w:rPr>
                <w:rFonts w:cs="Arial"/>
                <w:iCs/>
              </w:rPr>
            </w:pPr>
            <w:r w:rsidRPr="00CE526B">
              <w:rPr>
                <w:iCs/>
                <w:color w:val="000000"/>
                <w:szCs w:val="24"/>
              </w:rPr>
              <w:t>QLD</w:t>
            </w:r>
          </w:p>
        </w:tc>
        <w:tc>
          <w:tcPr>
            <w:tcW w:w="4033" w:type="pct"/>
            <w:vAlign w:val="bottom"/>
          </w:tcPr>
          <w:p w14:paraId="22DB9154" w14:textId="77777777" w:rsidR="00CE526B" w:rsidRPr="00CE526B" w:rsidRDefault="00CE526B" w:rsidP="00CE526B">
            <w:pPr>
              <w:spacing w:before="0" w:after="0" w:line="240" w:lineRule="auto"/>
              <w:rPr>
                <w:rFonts w:cs="Arial"/>
                <w:iCs/>
              </w:rPr>
            </w:pPr>
            <w:r w:rsidRPr="00CE526B">
              <w:rPr>
                <w:rFonts w:cs="Arial"/>
                <w:iCs/>
              </w:rPr>
              <w:t xml:space="preserve">Torres </w:t>
            </w:r>
          </w:p>
        </w:tc>
      </w:tr>
      <w:tr w:rsidR="00CE526B" w:rsidRPr="00CE526B" w14:paraId="06170781" w14:textId="77777777" w:rsidTr="00C44A8F">
        <w:trPr>
          <w:cantSplit/>
        </w:trPr>
        <w:tc>
          <w:tcPr>
            <w:tcW w:w="967" w:type="pct"/>
            <w:vAlign w:val="bottom"/>
          </w:tcPr>
          <w:p w14:paraId="5D0BD009"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2938E0DB" w14:textId="77777777" w:rsidR="00CE526B" w:rsidRPr="00CE526B" w:rsidRDefault="00CE526B" w:rsidP="00CE526B">
            <w:pPr>
              <w:spacing w:before="0" w:after="0" w:line="240" w:lineRule="auto"/>
              <w:rPr>
                <w:rFonts w:cs="Arial"/>
                <w:iCs/>
              </w:rPr>
            </w:pPr>
            <w:r w:rsidRPr="00CE526B">
              <w:rPr>
                <w:rFonts w:cs="Arial"/>
                <w:iCs/>
              </w:rPr>
              <w:t xml:space="preserve">Townsville </w:t>
            </w:r>
          </w:p>
        </w:tc>
      </w:tr>
      <w:tr w:rsidR="00CE526B" w:rsidRPr="00CE526B" w14:paraId="7719DA0C" w14:textId="77777777" w:rsidTr="00C44A8F">
        <w:trPr>
          <w:cantSplit/>
        </w:trPr>
        <w:tc>
          <w:tcPr>
            <w:tcW w:w="967" w:type="pct"/>
            <w:vAlign w:val="bottom"/>
          </w:tcPr>
          <w:p w14:paraId="3C87A074"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3A234BA5" w14:textId="77777777" w:rsidR="00CE526B" w:rsidRPr="00CE526B" w:rsidRDefault="00CE526B" w:rsidP="00CE526B">
            <w:pPr>
              <w:spacing w:before="0" w:after="0" w:line="240" w:lineRule="auto"/>
              <w:rPr>
                <w:rFonts w:cs="Arial"/>
                <w:iCs/>
              </w:rPr>
            </w:pPr>
            <w:r w:rsidRPr="00CE526B">
              <w:rPr>
                <w:rFonts w:cs="Arial"/>
                <w:iCs/>
              </w:rPr>
              <w:t xml:space="preserve">Western Downs </w:t>
            </w:r>
          </w:p>
        </w:tc>
      </w:tr>
      <w:tr w:rsidR="00CE526B" w:rsidRPr="00CE526B" w14:paraId="311FDD0C" w14:textId="77777777" w:rsidTr="00C44A8F">
        <w:trPr>
          <w:cantSplit/>
        </w:trPr>
        <w:tc>
          <w:tcPr>
            <w:tcW w:w="967" w:type="pct"/>
            <w:vAlign w:val="bottom"/>
          </w:tcPr>
          <w:p w14:paraId="35CEE7C9" w14:textId="77777777" w:rsidR="00CE526B" w:rsidRPr="00CE526B" w:rsidRDefault="00CE526B" w:rsidP="00CE526B">
            <w:pPr>
              <w:spacing w:before="0" w:after="0" w:line="240" w:lineRule="auto"/>
              <w:jc w:val="center"/>
              <w:rPr>
                <w:rFonts w:cs="Arial"/>
                <w:iCs/>
              </w:rPr>
            </w:pPr>
            <w:r w:rsidRPr="00CE526B">
              <w:rPr>
                <w:rFonts w:cs="Arial"/>
                <w:iCs/>
                <w:color w:val="000000"/>
              </w:rPr>
              <w:t>QLD</w:t>
            </w:r>
          </w:p>
        </w:tc>
        <w:tc>
          <w:tcPr>
            <w:tcW w:w="4033" w:type="pct"/>
            <w:vAlign w:val="bottom"/>
          </w:tcPr>
          <w:p w14:paraId="5D9ED35F" w14:textId="77777777" w:rsidR="00CE526B" w:rsidRPr="00CE526B" w:rsidRDefault="00CE526B" w:rsidP="00CE526B">
            <w:pPr>
              <w:spacing w:before="0" w:after="0" w:line="240" w:lineRule="auto"/>
              <w:rPr>
                <w:rFonts w:cs="Arial"/>
                <w:iCs/>
              </w:rPr>
            </w:pPr>
            <w:r w:rsidRPr="00CE526B">
              <w:rPr>
                <w:rFonts w:cs="Arial"/>
                <w:iCs/>
              </w:rPr>
              <w:t xml:space="preserve">Whitsunday </w:t>
            </w:r>
          </w:p>
        </w:tc>
      </w:tr>
      <w:tr w:rsidR="00CE526B" w:rsidRPr="00CE526B" w14:paraId="5400C421" w14:textId="77777777" w:rsidTr="00C44A8F">
        <w:trPr>
          <w:cantSplit/>
        </w:trPr>
        <w:tc>
          <w:tcPr>
            <w:tcW w:w="967" w:type="pct"/>
            <w:vAlign w:val="bottom"/>
          </w:tcPr>
          <w:p w14:paraId="2E6FE0AA" w14:textId="77777777" w:rsidR="00CE526B" w:rsidRPr="00CE526B" w:rsidRDefault="00CE526B" w:rsidP="00CE526B">
            <w:pPr>
              <w:spacing w:before="0" w:after="0" w:line="240" w:lineRule="auto"/>
              <w:jc w:val="center"/>
              <w:rPr>
                <w:rFonts w:cs="Arial"/>
                <w:iCs/>
              </w:rPr>
            </w:pPr>
            <w:r w:rsidRPr="00CE526B">
              <w:rPr>
                <w:iCs/>
                <w:color w:val="000000"/>
                <w:szCs w:val="24"/>
              </w:rPr>
              <w:t>WA</w:t>
            </w:r>
          </w:p>
        </w:tc>
        <w:tc>
          <w:tcPr>
            <w:tcW w:w="4033" w:type="pct"/>
            <w:vAlign w:val="bottom"/>
          </w:tcPr>
          <w:p w14:paraId="150AA24B" w14:textId="77777777" w:rsidR="00CE526B" w:rsidRPr="00CE526B" w:rsidRDefault="00CE526B" w:rsidP="00CE526B">
            <w:pPr>
              <w:spacing w:before="0" w:after="0" w:line="240" w:lineRule="auto"/>
              <w:rPr>
                <w:rFonts w:cs="Arial"/>
                <w:iCs/>
              </w:rPr>
            </w:pPr>
            <w:r w:rsidRPr="00CE526B">
              <w:rPr>
                <w:rFonts w:cs="Arial"/>
                <w:iCs/>
              </w:rPr>
              <w:t xml:space="preserve">Ashburton </w:t>
            </w:r>
          </w:p>
        </w:tc>
      </w:tr>
      <w:tr w:rsidR="00CE526B" w:rsidRPr="00CE526B" w14:paraId="38D1275F" w14:textId="77777777" w:rsidTr="00C44A8F">
        <w:trPr>
          <w:cantSplit/>
        </w:trPr>
        <w:tc>
          <w:tcPr>
            <w:tcW w:w="967" w:type="pct"/>
            <w:vAlign w:val="bottom"/>
          </w:tcPr>
          <w:p w14:paraId="3C70F843" w14:textId="77777777" w:rsidR="00CE526B" w:rsidRPr="00CE526B" w:rsidRDefault="00CE526B" w:rsidP="00CE526B">
            <w:pPr>
              <w:spacing w:before="0" w:after="0" w:line="240" w:lineRule="auto"/>
              <w:jc w:val="center"/>
              <w:rPr>
                <w:rFonts w:cs="Arial"/>
                <w:iCs/>
              </w:rPr>
            </w:pPr>
            <w:r w:rsidRPr="00CE526B">
              <w:rPr>
                <w:rFonts w:cs="Arial"/>
                <w:iCs/>
                <w:color w:val="000000"/>
              </w:rPr>
              <w:t>WA</w:t>
            </w:r>
          </w:p>
        </w:tc>
        <w:tc>
          <w:tcPr>
            <w:tcW w:w="4033" w:type="pct"/>
            <w:vAlign w:val="bottom"/>
          </w:tcPr>
          <w:p w14:paraId="54F0E6C0" w14:textId="77777777" w:rsidR="00CE526B" w:rsidRPr="00CE526B" w:rsidRDefault="00CE526B" w:rsidP="00CE526B">
            <w:pPr>
              <w:spacing w:before="0" w:after="0" w:line="240" w:lineRule="auto"/>
              <w:rPr>
                <w:rFonts w:cs="Arial"/>
                <w:iCs/>
              </w:rPr>
            </w:pPr>
            <w:r w:rsidRPr="00CE526B">
              <w:rPr>
                <w:rFonts w:cs="Arial"/>
                <w:iCs/>
              </w:rPr>
              <w:t xml:space="preserve">Broome </w:t>
            </w:r>
          </w:p>
        </w:tc>
      </w:tr>
      <w:tr w:rsidR="00CE526B" w:rsidRPr="00CE526B" w14:paraId="739816B8" w14:textId="77777777" w:rsidTr="00C44A8F">
        <w:trPr>
          <w:cantSplit/>
        </w:trPr>
        <w:tc>
          <w:tcPr>
            <w:tcW w:w="967" w:type="pct"/>
            <w:vAlign w:val="bottom"/>
          </w:tcPr>
          <w:p w14:paraId="4AE03643" w14:textId="77777777" w:rsidR="00CE526B" w:rsidRPr="00CE526B" w:rsidDel="004713FB" w:rsidRDefault="00CE526B" w:rsidP="00CE526B">
            <w:pPr>
              <w:spacing w:before="0" w:after="0" w:line="240" w:lineRule="auto"/>
              <w:jc w:val="center"/>
              <w:rPr>
                <w:rFonts w:cs="Arial"/>
                <w:iCs/>
              </w:rPr>
            </w:pPr>
            <w:r w:rsidRPr="00CE526B">
              <w:rPr>
                <w:iCs/>
                <w:color w:val="000000"/>
                <w:szCs w:val="24"/>
              </w:rPr>
              <w:t>WA</w:t>
            </w:r>
          </w:p>
        </w:tc>
        <w:tc>
          <w:tcPr>
            <w:tcW w:w="4033" w:type="pct"/>
            <w:vAlign w:val="bottom"/>
          </w:tcPr>
          <w:p w14:paraId="168E7E83" w14:textId="77777777" w:rsidR="00CE526B" w:rsidRPr="00CE526B" w:rsidDel="004713FB" w:rsidRDefault="00CE526B" w:rsidP="00CE526B">
            <w:pPr>
              <w:spacing w:before="0" w:after="0" w:line="240" w:lineRule="auto"/>
              <w:rPr>
                <w:rFonts w:cs="Arial"/>
                <w:iCs/>
              </w:rPr>
            </w:pPr>
            <w:r w:rsidRPr="00CE526B">
              <w:rPr>
                <w:rFonts w:cs="Arial"/>
                <w:iCs/>
              </w:rPr>
              <w:t xml:space="preserve">Carnamah </w:t>
            </w:r>
          </w:p>
        </w:tc>
      </w:tr>
      <w:tr w:rsidR="00CE526B" w:rsidRPr="00CE526B" w14:paraId="4903DF2C" w14:textId="77777777" w:rsidTr="00C44A8F">
        <w:trPr>
          <w:cantSplit/>
        </w:trPr>
        <w:tc>
          <w:tcPr>
            <w:tcW w:w="967" w:type="pct"/>
            <w:vAlign w:val="bottom"/>
          </w:tcPr>
          <w:p w14:paraId="2CAC745A" w14:textId="77777777" w:rsidR="00CE526B" w:rsidRPr="00CE526B" w:rsidDel="004713FB" w:rsidRDefault="00CE526B" w:rsidP="00CE526B">
            <w:pPr>
              <w:spacing w:before="0" w:after="0" w:line="240" w:lineRule="auto"/>
              <w:jc w:val="center"/>
              <w:rPr>
                <w:rFonts w:cs="Arial"/>
                <w:iCs/>
              </w:rPr>
            </w:pPr>
            <w:r w:rsidRPr="00CE526B">
              <w:rPr>
                <w:iCs/>
                <w:color w:val="000000"/>
                <w:szCs w:val="24"/>
              </w:rPr>
              <w:t>WA</w:t>
            </w:r>
          </w:p>
        </w:tc>
        <w:tc>
          <w:tcPr>
            <w:tcW w:w="4033" w:type="pct"/>
            <w:vAlign w:val="bottom"/>
          </w:tcPr>
          <w:p w14:paraId="6EF85C8F" w14:textId="77777777" w:rsidR="00CE526B" w:rsidRPr="00CE526B" w:rsidDel="004713FB" w:rsidRDefault="00CE526B" w:rsidP="00CE526B">
            <w:pPr>
              <w:spacing w:before="0" w:after="0" w:line="240" w:lineRule="auto"/>
              <w:rPr>
                <w:rFonts w:cs="Arial"/>
                <w:iCs/>
              </w:rPr>
            </w:pPr>
            <w:r w:rsidRPr="00CE526B">
              <w:rPr>
                <w:rFonts w:cs="Arial"/>
                <w:iCs/>
              </w:rPr>
              <w:t xml:space="preserve">Carnarvon </w:t>
            </w:r>
          </w:p>
        </w:tc>
      </w:tr>
      <w:tr w:rsidR="00CE526B" w:rsidRPr="00CE526B" w14:paraId="2159C7BB" w14:textId="77777777" w:rsidTr="00C44A8F">
        <w:trPr>
          <w:cantSplit/>
        </w:trPr>
        <w:tc>
          <w:tcPr>
            <w:tcW w:w="967" w:type="pct"/>
            <w:vAlign w:val="bottom"/>
          </w:tcPr>
          <w:p w14:paraId="34957353" w14:textId="77777777" w:rsidR="00CE526B" w:rsidRPr="00CE526B" w:rsidDel="004713FB" w:rsidRDefault="00CE526B" w:rsidP="00CE526B">
            <w:pPr>
              <w:spacing w:before="0" w:after="0" w:line="240" w:lineRule="auto"/>
              <w:jc w:val="center"/>
              <w:rPr>
                <w:rFonts w:cs="Arial"/>
                <w:iCs/>
              </w:rPr>
            </w:pPr>
            <w:r w:rsidRPr="00CE526B">
              <w:rPr>
                <w:rFonts w:cs="Arial"/>
                <w:iCs/>
                <w:color w:val="000000"/>
              </w:rPr>
              <w:t>WA</w:t>
            </w:r>
          </w:p>
        </w:tc>
        <w:tc>
          <w:tcPr>
            <w:tcW w:w="4033" w:type="pct"/>
            <w:vAlign w:val="bottom"/>
          </w:tcPr>
          <w:p w14:paraId="647616E9" w14:textId="77777777" w:rsidR="00CE526B" w:rsidRPr="00CE526B" w:rsidDel="004713FB" w:rsidRDefault="00CE526B" w:rsidP="00CE526B">
            <w:pPr>
              <w:spacing w:before="0" w:after="0" w:line="240" w:lineRule="auto"/>
              <w:rPr>
                <w:rFonts w:cs="Arial"/>
                <w:iCs/>
              </w:rPr>
            </w:pPr>
            <w:r w:rsidRPr="00CE526B">
              <w:rPr>
                <w:rFonts w:cs="Arial"/>
                <w:iCs/>
              </w:rPr>
              <w:t xml:space="preserve">East Pilbara </w:t>
            </w:r>
          </w:p>
        </w:tc>
      </w:tr>
      <w:tr w:rsidR="00CE526B" w:rsidRPr="00CE526B" w14:paraId="1FF0D638" w14:textId="77777777" w:rsidTr="00C44A8F">
        <w:trPr>
          <w:cantSplit/>
        </w:trPr>
        <w:tc>
          <w:tcPr>
            <w:tcW w:w="967" w:type="pct"/>
            <w:vAlign w:val="bottom"/>
          </w:tcPr>
          <w:p w14:paraId="0C5017AB" w14:textId="77777777" w:rsidR="00CE526B" w:rsidRPr="00CE526B" w:rsidDel="004713FB" w:rsidRDefault="00CE526B" w:rsidP="00CE526B">
            <w:pPr>
              <w:spacing w:before="0" w:after="0" w:line="240" w:lineRule="auto"/>
              <w:jc w:val="center"/>
              <w:rPr>
                <w:rFonts w:cs="Arial"/>
                <w:iCs/>
              </w:rPr>
            </w:pPr>
            <w:r w:rsidRPr="00CE526B">
              <w:rPr>
                <w:rFonts w:cs="Arial"/>
                <w:iCs/>
                <w:color w:val="000000"/>
              </w:rPr>
              <w:t>WA</w:t>
            </w:r>
          </w:p>
        </w:tc>
        <w:tc>
          <w:tcPr>
            <w:tcW w:w="4033" w:type="pct"/>
            <w:vAlign w:val="bottom"/>
          </w:tcPr>
          <w:p w14:paraId="77A8C094" w14:textId="77777777" w:rsidR="00CE526B" w:rsidRPr="00CE526B" w:rsidDel="004713FB" w:rsidRDefault="00CE526B" w:rsidP="00CE526B">
            <w:pPr>
              <w:spacing w:before="0" w:after="0" w:line="240" w:lineRule="auto"/>
              <w:rPr>
                <w:rFonts w:cs="Arial"/>
                <w:iCs/>
              </w:rPr>
            </w:pPr>
            <w:r w:rsidRPr="00CE526B">
              <w:rPr>
                <w:rFonts w:cs="Arial"/>
                <w:iCs/>
              </w:rPr>
              <w:t xml:space="preserve">Exmouth </w:t>
            </w:r>
          </w:p>
        </w:tc>
      </w:tr>
      <w:tr w:rsidR="00CE526B" w:rsidRPr="00CE526B" w14:paraId="3A412519" w14:textId="77777777" w:rsidTr="00C44A8F">
        <w:trPr>
          <w:cantSplit/>
        </w:trPr>
        <w:tc>
          <w:tcPr>
            <w:tcW w:w="967" w:type="pct"/>
            <w:vAlign w:val="bottom"/>
          </w:tcPr>
          <w:p w14:paraId="7556DDE9" w14:textId="77777777" w:rsidR="00CE526B" w:rsidRPr="00CE526B" w:rsidDel="004713FB" w:rsidRDefault="00CE526B" w:rsidP="00CE526B">
            <w:pPr>
              <w:spacing w:before="0" w:after="0" w:line="240" w:lineRule="auto"/>
              <w:jc w:val="center"/>
              <w:rPr>
                <w:rFonts w:cs="Arial"/>
                <w:iCs/>
              </w:rPr>
            </w:pPr>
            <w:r w:rsidRPr="00CE526B">
              <w:rPr>
                <w:rFonts w:cs="Arial"/>
                <w:iCs/>
                <w:color w:val="000000"/>
              </w:rPr>
              <w:t>WA</w:t>
            </w:r>
          </w:p>
        </w:tc>
        <w:tc>
          <w:tcPr>
            <w:tcW w:w="4033" w:type="pct"/>
            <w:vAlign w:val="bottom"/>
          </w:tcPr>
          <w:p w14:paraId="208C1CFF" w14:textId="77777777" w:rsidR="00CE526B" w:rsidRPr="00CE526B" w:rsidDel="004713FB" w:rsidRDefault="00CE526B" w:rsidP="00CE526B">
            <w:pPr>
              <w:spacing w:before="0" w:after="0" w:line="240" w:lineRule="auto"/>
              <w:rPr>
                <w:rFonts w:cs="Arial"/>
                <w:iCs/>
              </w:rPr>
            </w:pPr>
            <w:r w:rsidRPr="00CE526B">
              <w:rPr>
                <w:rFonts w:cs="Arial"/>
                <w:iCs/>
              </w:rPr>
              <w:t xml:space="preserve">Karratha </w:t>
            </w:r>
          </w:p>
        </w:tc>
      </w:tr>
      <w:tr w:rsidR="00CE526B" w:rsidRPr="00CE526B" w14:paraId="7C3EFACB" w14:textId="77777777" w:rsidTr="00C44A8F">
        <w:trPr>
          <w:cantSplit/>
        </w:trPr>
        <w:tc>
          <w:tcPr>
            <w:tcW w:w="967" w:type="pct"/>
            <w:vAlign w:val="bottom"/>
          </w:tcPr>
          <w:p w14:paraId="70390E57" w14:textId="77777777" w:rsidR="00CE526B" w:rsidRPr="00CE526B" w:rsidDel="004713FB" w:rsidRDefault="00CE526B" w:rsidP="00CE526B">
            <w:pPr>
              <w:spacing w:before="0" w:after="0" w:line="240" w:lineRule="auto"/>
              <w:jc w:val="center"/>
              <w:rPr>
                <w:rFonts w:cs="Arial"/>
                <w:iCs/>
              </w:rPr>
            </w:pPr>
            <w:r w:rsidRPr="00CE526B">
              <w:rPr>
                <w:iCs/>
                <w:color w:val="000000"/>
                <w:szCs w:val="24"/>
              </w:rPr>
              <w:t>WA</w:t>
            </w:r>
          </w:p>
        </w:tc>
        <w:tc>
          <w:tcPr>
            <w:tcW w:w="4033" w:type="pct"/>
            <w:vAlign w:val="bottom"/>
          </w:tcPr>
          <w:p w14:paraId="57E80CC6" w14:textId="77777777" w:rsidR="00CE526B" w:rsidRPr="00CE526B" w:rsidDel="004713FB" w:rsidRDefault="00CE526B" w:rsidP="00CE526B">
            <w:pPr>
              <w:spacing w:before="0" w:after="0" w:line="240" w:lineRule="auto"/>
              <w:rPr>
                <w:rFonts w:cs="Arial"/>
                <w:iCs/>
              </w:rPr>
            </w:pPr>
            <w:r w:rsidRPr="00CE526B">
              <w:rPr>
                <w:rFonts w:cs="Arial"/>
                <w:iCs/>
              </w:rPr>
              <w:t xml:space="preserve">Mingenew </w:t>
            </w:r>
          </w:p>
        </w:tc>
      </w:tr>
      <w:tr w:rsidR="00CE526B" w:rsidRPr="00CE526B" w14:paraId="02B9302D" w14:textId="77777777" w:rsidTr="00C44A8F">
        <w:trPr>
          <w:cantSplit/>
        </w:trPr>
        <w:tc>
          <w:tcPr>
            <w:tcW w:w="967" w:type="pct"/>
            <w:vAlign w:val="bottom"/>
          </w:tcPr>
          <w:p w14:paraId="1728290C" w14:textId="77777777" w:rsidR="00CE526B" w:rsidRPr="00CE526B" w:rsidDel="004713FB" w:rsidRDefault="00CE526B" w:rsidP="00CE526B">
            <w:pPr>
              <w:spacing w:before="0" w:after="0" w:line="240" w:lineRule="auto"/>
              <w:jc w:val="center"/>
              <w:rPr>
                <w:rFonts w:cs="Arial"/>
                <w:iCs/>
              </w:rPr>
            </w:pPr>
            <w:r w:rsidRPr="00CE526B">
              <w:rPr>
                <w:iCs/>
                <w:color w:val="000000"/>
                <w:szCs w:val="24"/>
              </w:rPr>
              <w:t>WA</w:t>
            </w:r>
          </w:p>
        </w:tc>
        <w:tc>
          <w:tcPr>
            <w:tcW w:w="4033" w:type="pct"/>
            <w:vAlign w:val="bottom"/>
          </w:tcPr>
          <w:p w14:paraId="7ABB6907" w14:textId="77777777" w:rsidR="00CE526B" w:rsidRPr="00CE526B" w:rsidDel="004713FB" w:rsidRDefault="00CE526B" w:rsidP="00CE526B">
            <w:pPr>
              <w:spacing w:before="0" w:after="0" w:line="240" w:lineRule="auto"/>
              <w:rPr>
                <w:rFonts w:cs="Arial"/>
                <w:iCs/>
              </w:rPr>
            </w:pPr>
            <w:r w:rsidRPr="00CE526B">
              <w:rPr>
                <w:rFonts w:cs="Arial"/>
                <w:iCs/>
              </w:rPr>
              <w:t xml:space="preserve">Moora </w:t>
            </w:r>
          </w:p>
        </w:tc>
      </w:tr>
      <w:tr w:rsidR="00CE526B" w:rsidRPr="00CE526B" w14:paraId="1E5FC2DC" w14:textId="77777777" w:rsidTr="00C44A8F">
        <w:trPr>
          <w:cantSplit/>
        </w:trPr>
        <w:tc>
          <w:tcPr>
            <w:tcW w:w="967" w:type="pct"/>
            <w:vAlign w:val="bottom"/>
          </w:tcPr>
          <w:p w14:paraId="1579E0ED" w14:textId="77777777" w:rsidR="00CE526B" w:rsidRPr="00CE526B" w:rsidDel="004713FB" w:rsidRDefault="00CE526B" w:rsidP="00CE526B">
            <w:pPr>
              <w:spacing w:before="0" w:after="0" w:line="240" w:lineRule="auto"/>
              <w:jc w:val="center"/>
              <w:rPr>
                <w:rFonts w:cs="Arial"/>
                <w:iCs/>
              </w:rPr>
            </w:pPr>
            <w:r w:rsidRPr="00CE526B">
              <w:rPr>
                <w:iCs/>
                <w:color w:val="000000"/>
                <w:szCs w:val="24"/>
              </w:rPr>
              <w:t>WA</w:t>
            </w:r>
          </w:p>
        </w:tc>
        <w:tc>
          <w:tcPr>
            <w:tcW w:w="4033" w:type="pct"/>
            <w:vAlign w:val="bottom"/>
          </w:tcPr>
          <w:p w14:paraId="7FB6AEE0" w14:textId="77777777" w:rsidR="00CE526B" w:rsidRPr="00CE526B" w:rsidDel="004713FB" w:rsidRDefault="00CE526B" w:rsidP="00CE526B">
            <w:pPr>
              <w:spacing w:before="0" w:after="0" w:line="240" w:lineRule="auto"/>
              <w:rPr>
                <w:rFonts w:cs="Arial"/>
                <w:iCs/>
              </w:rPr>
            </w:pPr>
            <w:r w:rsidRPr="00CE526B">
              <w:rPr>
                <w:rFonts w:cs="Arial"/>
                <w:iCs/>
              </w:rPr>
              <w:t xml:space="preserve">Morawa </w:t>
            </w:r>
          </w:p>
        </w:tc>
      </w:tr>
      <w:tr w:rsidR="00CE526B" w:rsidRPr="00CE526B" w14:paraId="612C04B7" w14:textId="77777777" w:rsidTr="00C44A8F">
        <w:trPr>
          <w:cantSplit/>
        </w:trPr>
        <w:tc>
          <w:tcPr>
            <w:tcW w:w="967" w:type="pct"/>
            <w:vAlign w:val="bottom"/>
          </w:tcPr>
          <w:p w14:paraId="5AC33295" w14:textId="77777777" w:rsidR="00CE526B" w:rsidRPr="00CE526B" w:rsidDel="004713FB" w:rsidRDefault="00CE526B" w:rsidP="00CE526B">
            <w:pPr>
              <w:spacing w:before="0" w:after="0" w:line="240" w:lineRule="auto"/>
              <w:jc w:val="center"/>
              <w:rPr>
                <w:rFonts w:cs="Arial"/>
                <w:iCs/>
              </w:rPr>
            </w:pPr>
            <w:r w:rsidRPr="00CE526B">
              <w:rPr>
                <w:iCs/>
                <w:color w:val="000000"/>
                <w:szCs w:val="24"/>
              </w:rPr>
              <w:t>WA</w:t>
            </w:r>
          </w:p>
        </w:tc>
        <w:tc>
          <w:tcPr>
            <w:tcW w:w="4033" w:type="pct"/>
            <w:vAlign w:val="bottom"/>
          </w:tcPr>
          <w:p w14:paraId="0D7874F8" w14:textId="77777777" w:rsidR="00CE526B" w:rsidRPr="00CE526B" w:rsidDel="004713FB" w:rsidRDefault="00CE526B" w:rsidP="00CE526B">
            <w:pPr>
              <w:spacing w:before="0" w:after="0" w:line="240" w:lineRule="auto"/>
              <w:rPr>
                <w:rFonts w:cs="Arial"/>
                <w:iCs/>
              </w:rPr>
            </w:pPr>
            <w:r w:rsidRPr="00CE526B">
              <w:rPr>
                <w:rFonts w:cs="Arial"/>
                <w:iCs/>
              </w:rPr>
              <w:t xml:space="preserve">Perenjori </w:t>
            </w:r>
          </w:p>
        </w:tc>
      </w:tr>
      <w:tr w:rsidR="00CE526B" w:rsidRPr="00CE526B" w14:paraId="4B1E7C0B" w14:textId="77777777" w:rsidTr="00C44A8F">
        <w:trPr>
          <w:cantSplit/>
        </w:trPr>
        <w:tc>
          <w:tcPr>
            <w:tcW w:w="967" w:type="pct"/>
            <w:vAlign w:val="bottom"/>
          </w:tcPr>
          <w:p w14:paraId="70BDCA47" w14:textId="77777777" w:rsidR="00CE526B" w:rsidRPr="00CE526B" w:rsidDel="004713FB" w:rsidRDefault="00CE526B" w:rsidP="00CE526B">
            <w:pPr>
              <w:spacing w:before="0" w:after="0" w:line="240" w:lineRule="auto"/>
              <w:jc w:val="center"/>
              <w:rPr>
                <w:rFonts w:cs="Arial"/>
                <w:iCs/>
              </w:rPr>
            </w:pPr>
            <w:r w:rsidRPr="00CE526B">
              <w:rPr>
                <w:rFonts w:cs="Arial"/>
                <w:iCs/>
                <w:color w:val="000000"/>
              </w:rPr>
              <w:t>WA</w:t>
            </w:r>
          </w:p>
        </w:tc>
        <w:tc>
          <w:tcPr>
            <w:tcW w:w="4033" w:type="pct"/>
            <w:vAlign w:val="bottom"/>
          </w:tcPr>
          <w:p w14:paraId="3C05F1EA" w14:textId="77777777" w:rsidR="00CE526B" w:rsidRPr="00CE526B" w:rsidDel="004713FB" w:rsidRDefault="00CE526B" w:rsidP="00CE526B">
            <w:pPr>
              <w:spacing w:before="0" w:after="0" w:line="240" w:lineRule="auto"/>
              <w:rPr>
                <w:rFonts w:cs="Arial"/>
                <w:iCs/>
              </w:rPr>
            </w:pPr>
            <w:r w:rsidRPr="00CE526B">
              <w:rPr>
                <w:rFonts w:cs="Arial"/>
                <w:iCs/>
              </w:rPr>
              <w:t xml:space="preserve">Port Hedland </w:t>
            </w:r>
          </w:p>
        </w:tc>
      </w:tr>
      <w:tr w:rsidR="00CE526B" w:rsidRPr="00CE526B" w14:paraId="47F3A645" w14:textId="77777777" w:rsidTr="00C44A8F">
        <w:trPr>
          <w:cantSplit/>
        </w:trPr>
        <w:tc>
          <w:tcPr>
            <w:tcW w:w="967" w:type="pct"/>
            <w:vAlign w:val="bottom"/>
          </w:tcPr>
          <w:p w14:paraId="6B898A42" w14:textId="77777777" w:rsidR="00CE526B" w:rsidRPr="00CE526B" w:rsidDel="004713FB" w:rsidRDefault="00CE526B" w:rsidP="00CE526B">
            <w:pPr>
              <w:spacing w:before="0" w:after="0" w:line="240" w:lineRule="auto"/>
              <w:jc w:val="center"/>
              <w:rPr>
                <w:rFonts w:cs="Arial"/>
                <w:iCs/>
              </w:rPr>
            </w:pPr>
            <w:r w:rsidRPr="00CE526B">
              <w:rPr>
                <w:rFonts w:cs="Arial"/>
                <w:iCs/>
                <w:color w:val="000000"/>
              </w:rPr>
              <w:t>WA</w:t>
            </w:r>
          </w:p>
        </w:tc>
        <w:tc>
          <w:tcPr>
            <w:tcW w:w="4033" w:type="pct"/>
            <w:vAlign w:val="bottom"/>
          </w:tcPr>
          <w:p w14:paraId="168A0522" w14:textId="77777777" w:rsidR="00CE526B" w:rsidRPr="00CE526B" w:rsidDel="004713FB" w:rsidRDefault="00CE526B" w:rsidP="00CE526B">
            <w:pPr>
              <w:spacing w:before="0" w:after="0" w:line="240" w:lineRule="auto"/>
              <w:rPr>
                <w:rFonts w:cs="Arial"/>
                <w:iCs/>
              </w:rPr>
            </w:pPr>
            <w:r w:rsidRPr="00CE526B">
              <w:rPr>
                <w:rFonts w:cs="Arial"/>
                <w:iCs/>
              </w:rPr>
              <w:t xml:space="preserve">Shark Bay </w:t>
            </w:r>
          </w:p>
        </w:tc>
      </w:tr>
      <w:tr w:rsidR="00CE526B" w:rsidRPr="00CE526B" w14:paraId="62C0654A" w14:textId="77777777" w:rsidTr="00C44A8F">
        <w:trPr>
          <w:cantSplit/>
        </w:trPr>
        <w:tc>
          <w:tcPr>
            <w:tcW w:w="967" w:type="pct"/>
            <w:vAlign w:val="bottom"/>
          </w:tcPr>
          <w:p w14:paraId="693E7264" w14:textId="77777777" w:rsidR="00CE526B" w:rsidRPr="00CE526B" w:rsidDel="004713FB" w:rsidRDefault="00CE526B" w:rsidP="00CE526B">
            <w:pPr>
              <w:spacing w:before="0" w:after="0" w:line="240" w:lineRule="auto"/>
              <w:jc w:val="center"/>
              <w:rPr>
                <w:rFonts w:cs="Arial"/>
                <w:iCs/>
              </w:rPr>
            </w:pPr>
            <w:r w:rsidRPr="00CE526B">
              <w:rPr>
                <w:iCs/>
                <w:color w:val="000000"/>
                <w:szCs w:val="24"/>
              </w:rPr>
              <w:t>WA</w:t>
            </w:r>
          </w:p>
        </w:tc>
        <w:tc>
          <w:tcPr>
            <w:tcW w:w="4033" w:type="pct"/>
            <w:vAlign w:val="bottom"/>
          </w:tcPr>
          <w:p w14:paraId="1BB7518E" w14:textId="77777777" w:rsidR="00CE526B" w:rsidRPr="00CE526B" w:rsidDel="004713FB" w:rsidRDefault="00CE526B" w:rsidP="00CE526B">
            <w:pPr>
              <w:spacing w:before="0" w:after="0" w:line="240" w:lineRule="auto"/>
              <w:rPr>
                <w:rFonts w:cs="Arial"/>
                <w:iCs/>
              </w:rPr>
            </w:pPr>
            <w:r w:rsidRPr="00CE526B">
              <w:rPr>
                <w:rFonts w:cs="Arial"/>
                <w:iCs/>
              </w:rPr>
              <w:t xml:space="preserve">Three Springs </w:t>
            </w:r>
          </w:p>
        </w:tc>
      </w:tr>
    </w:tbl>
    <w:p w14:paraId="42A4C834" w14:textId="3F668009" w:rsidR="00702AE4" w:rsidRDefault="00411A74" w:rsidP="00411A74">
      <w:pPr>
        <w:rPr>
          <w:rFonts w:cstheme="minorHAnsi"/>
          <w:szCs w:val="20"/>
        </w:rPr>
      </w:pPr>
      <w:r>
        <w:rPr>
          <w:rFonts w:cstheme="minorHAnsi"/>
          <w:szCs w:val="20"/>
        </w:rPr>
        <w:t xml:space="preserve">Is your project addressing tropical cyclone risk in more than one LGA? </w:t>
      </w:r>
    </w:p>
    <w:p w14:paraId="4D5B3754" w14:textId="671E4E6D" w:rsidR="00545254" w:rsidRPr="00545254" w:rsidRDefault="00545254" w:rsidP="00545254">
      <w:pPr>
        <w:pStyle w:val="Normalexplanatory"/>
      </w:pPr>
      <w:r>
        <w:t>If yes, provide details of where and how project activities will be delivered across the locations.</w:t>
      </w:r>
    </w:p>
    <w:p w14:paraId="45DA66A3" w14:textId="7BC23CD5" w:rsidR="0075019D" w:rsidRDefault="0075019D" w:rsidP="0075019D">
      <w:pPr>
        <w:pStyle w:val="Heading3"/>
      </w:pPr>
      <w:r>
        <w:t>Priority Local Government Area (LGAs) – Flood Risk</w:t>
      </w:r>
    </w:p>
    <w:p w14:paraId="66A058E0" w14:textId="26DC5285" w:rsidR="0075019D" w:rsidRDefault="0075019D" w:rsidP="0075019D">
      <w:pPr>
        <w:rPr>
          <w:lang w:eastAsia="en-AU"/>
        </w:rPr>
      </w:pPr>
      <w:r>
        <w:rPr>
          <w:lang w:eastAsia="en-AU"/>
        </w:rPr>
        <w:t>Is your project addressing flood risk in one of the Priority LGAs listed in appendix A of the guidelines?</w:t>
      </w:r>
    </w:p>
    <w:p w14:paraId="307E652A" w14:textId="77777777" w:rsidR="0075019D" w:rsidRDefault="0075019D" w:rsidP="0075019D">
      <w:pPr>
        <w:rPr>
          <w:i/>
          <w:color w:val="365F91" w:themeColor="accent1" w:themeShade="BF"/>
          <w:lang w:eastAsia="en-AU"/>
        </w:rPr>
      </w:pPr>
      <w:r w:rsidRPr="00F41EB5">
        <w:rPr>
          <w:i/>
          <w:color w:val="365F91" w:themeColor="accent1" w:themeShade="BF"/>
          <w:lang w:eastAsia="en-AU"/>
        </w:rPr>
        <w:t xml:space="preserve">If yes, select the relevant LGA from the list below. </w:t>
      </w:r>
      <w:r>
        <w:rPr>
          <w:i/>
          <w:color w:val="365F91" w:themeColor="accent1" w:themeShade="BF"/>
          <w:lang w:eastAsia="en-AU"/>
        </w:rPr>
        <w:t xml:space="preserve">If no, proceed to next question. </w:t>
      </w:r>
    </w:p>
    <w:p w14:paraId="09FAA446" w14:textId="77777777" w:rsidR="00CE526B" w:rsidRPr="00CE526B" w:rsidRDefault="00CE526B" w:rsidP="00CE526B">
      <w:pPr>
        <w:rPr>
          <w:rFonts w:eastAsia="Times New Roman" w:cs="Times New Roman"/>
          <w:b/>
          <w:iCs/>
          <w:szCs w:val="24"/>
        </w:rPr>
      </w:pPr>
      <w:r w:rsidRPr="00CE526B">
        <w:rPr>
          <w:rFonts w:eastAsia="Times New Roman" w:cs="Times New Roman"/>
          <w:b/>
          <w:iCs/>
          <w:szCs w:val="24"/>
        </w:rPr>
        <w:t>Table 3 – Flood Risk LGAs</w:t>
      </w:r>
    </w:p>
    <w:p w14:paraId="6F7CC37B" w14:textId="77777777" w:rsidR="00CE526B" w:rsidRDefault="00CE526B" w:rsidP="002B4FE8">
      <w:pPr>
        <w:pStyle w:val="Normalexplanatory"/>
      </w:pPr>
      <w:r w:rsidRPr="00CE526B">
        <w:t>Applications for projects that address flood risks in the selected LGAs</w:t>
      </w:r>
      <w:r w:rsidRPr="00CE526B" w:rsidDel="00E966B7">
        <w:t xml:space="preserve"> </w:t>
      </w:r>
      <w:r w:rsidRPr="00CE526B">
        <w:t xml:space="preserve">identified in the table below will be awarded an additional 20 points. </w:t>
      </w:r>
    </w:p>
    <w:p w14:paraId="36001D1C" w14:textId="390909DD" w:rsidR="002B4FE8" w:rsidRPr="002B4FE8" w:rsidRDefault="002B4FE8" w:rsidP="002B4FE8">
      <w:pPr>
        <w:pStyle w:val="Normalexplanatory"/>
        <w:rPr>
          <w:rFonts w:cs="Arial"/>
          <w:szCs w:val="20"/>
        </w:rPr>
      </w:pPr>
      <w:r w:rsidRPr="002B4FE8">
        <w:rPr>
          <w:rFonts w:cs="Arial"/>
          <w:szCs w:val="20"/>
        </w:rPr>
        <w:t>You can only receive a maximum of 20 additional points per application</w:t>
      </w:r>
      <w:r>
        <w:rPr>
          <w:rFonts w:cs="Arial"/>
          <w:szCs w:val="20"/>
        </w:rPr>
        <w:t>.</w:t>
      </w:r>
      <w:r w:rsidRPr="002B4FE8">
        <w:rPr>
          <w:rFonts w:cs="Arial"/>
          <w:color w:val="000000"/>
          <w:szCs w:val="20"/>
        </w:rPr>
        <w:t xml:space="preserve"> </w:t>
      </w:r>
      <w:r w:rsidRPr="00CE526B">
        <w:t xml:space="preserve"> </w:t>
      </w:r>
    </w:p>
    <w:tbl>
      <w:tblPr>
        <w:tblStyle w:val="TableGrid1"/>
        <w:tblW w:w="4994" w:type="pct"/>
        <w:tblLook w:val="04A0" w:firstRow="1" w:lastRow="0" w:firstColumn="1" w:lastColumn="0" w:noHBand="0" w:noVBand="1"/>
      </w:tblPr>
      <w:tblGrid>
        <w:gridCol w:w="1695"/>
        <w:gridCol w:w="7071"/>
      </w:tblGrid>
      <w:tr w:rsidR="00CE526B" w:rsidRPr="00CE526B" w14:paraId="6A034026" w14:textId="77777777" w:rsidTr="00C44A8F">
        <w:trPr>
          <w:cantSplit/>
          <w:tblHeader/>
        </w:trPr>
        <w:tc>
          <w:tcPr>
            <w:tcW w:w="967" w:type="pct"/>
            <w:shd w:val="clear" w:color="auto" w:fill="1F497D" w:themeFill="text2"/>
          </w:tcPr>
          <w:p w14:paraId="20642C6A" w14:textId="77777777" w:rsidR="00CE526B" w:rsidRPr="00CE526B" w:rsidRDefault="00CE526B" w:rsidP="00CE526B">
            <w:pPr>
              <w:spacing w:before="0" w:after="0" w:line="240" w:lineRule="auto"/>
              <w:jc w:val="center"/>
              <w:rPr>
                <w:b/>
                <w:iCs/>
                <w:color w:val="FFFFFF" w:themeColor="background1"/>
                <w:szCs w:val="24"/>
              </w:rPr>
            </w:pPr>
            <w:r w:rsidRPr="00CE526B">
              <w:rPr>
                <w:b/>
                <w:iCs/>
                <w:color w:val="FFFFFF" w:themeColor="background1"/>
                <w:szCs w:val="24"/>
              </w:rPr>
              <w:t>State</w:t>
            </w:r>
          </w:p>
        </w:tc>
        <w:tc>
          <w:tcPr>
            <w:tcW w:w="4033" w:type="pct"/>
            <w:shd w:val="clear" w:color="auto" w:fill="1F497D" w:themeFill="text2"/>
          </w:tcPr>
          <w:p w14:paraId="3E08932F" w14:textId="77777777" w:rsidR="00CE526B" w:rsidRPr="00CE526B" w:rsidRDefault="00CE526B" w:rsidP="00CE526B">
            <w:pPr>
              <w:spacing w:before="0" w:after="0" w:line="240" w:lineRule="auto"/>
              <w:rPr>
                <w:b/>
                <w:iCs/>
                <w:color w:val="FFFFFF" w:themeColor="background1"/>
                <w:szCs w:val="24"/>
              </w:rPr>
            </w:pPr>
            <w:r w:rsidRPr="00CE526B">
              <w:rPr>
                <w:b/>
                <w:iCs/>
                <w:color w:val="FFFFFF" w:themeColor="background1"/>
                <w:szCs w:val="24"/>
              </w:rPr>
              <w:t>LGA</w:t>
            </w:r>
          </w:p>
        </w:tc>
      </w:tr>
      <w:tr w:rsidR="00CE526B" w:rsidRPr="00CE526B" w14:paraId="7F9D5755" w14:textId="77777777" w:rsidTr="00C44A8F">
        <w:trPr>
          <w:cantSplit/>
        </w:trPr>
        <w:tc>
          <w:tcPr>
            <w:tcW w:w="967" w:type="pct"/>
            <w:vAlign w:val="bottom"/>
          </w:tcPr>
          <w:p w14:paraId="19C0D5FD"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15DDF8C5" w14:textId="77777777" w:rsidR="00CE526B" w:rsidRPr="00CE526B" w:rsidRDefault="00CE526B" w:rsidP="00CE526B">
            <w:pPr>
              <w:spacing w:before="0" w:after="0" w:line="240" w:lineRule="auto"/>
              <w:rPr>
                <w:iCs/>
                <w:szCs w:val="24"/>
              </w:rPr>
            </w:pPr>
            <w:r w:rsidRPr="00CE526B">
              <w:rPr>
                <w:iCs/>
                <w:szCs w:val="24"/>
              </w:rPr>
              <w:t xml:space="preserve">Albury </w:t>
            </w:r>
          </w:p>
        </w:tc>
      </w:tr>
      <w:tr w:rsidR="00CE526B" w:rsidRPr="00CE526B" w14:paraId="20B17997" w14:textId="77777777" w:rsidTr="00C44A8F">
        <w:trPr>
          <w:cantSplit/>
        </w:trPr>
        <w:tc>
          <w:tcPr>
            <w:tcW w:w="967" w:type="pct"/>
            <w:vAlign w:val="bottom"/>
          </w:tcPr>
          <w:p w14:paraId="522C59CE"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0A7E0C7B" w14:textId="77777777" w:rsidR="00CE526B" w:rsidRPr="00CE526B" w:rsidRDefault="00CE526B" w:rsidP="00CE526B">
            <w:pPr>
              <w:spacing w:before="0" w:after="0" w:line="240" w:lineRule="auto"/>
              <w:rPr>
                <w:iCs/>
                <w:szCs w:val="24"/>
              </w:rPr>
            </w:pPr>
            <w:r w:rsidRPr="00CE526B">
              <w:rPr>
                <w:iCs/>
                <w:szCs w:val="24"/>
              </w:rPr>
              <w:t xml:space="preserve">Ballina </w:t>
            </w:r>
          </w:p>
        </w:tc>
      </w:tr>
      <w:tr w:rsidR="00CE526B" w:rsidRPr="00CE526B" w14:paraId="42D09E08" w14:textId="77777777" w:rsidTr="00C44A8F">
        <w:trPr>
          <w:cantSplit/>
        </w:trPr>
        <w:tc>
          <w:tcPr>
            <w:tcW w:w="967" w:type="pct"/>
            <w:vAlign w:val="bottom"/>
          </w:tcPr>
          <w:p w14:paraId="53926474"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3224A4BC" w14:textId="77777777" w:rsidR="00CE526B" w:rsidRPr="00CE526B" w:rsidRDefault="00CE526B" w:rsidP="00CE526B">
            <w:pPr>
              <w:spacing w:before="0" w:after="0" w:line="240" w:lineRule="auto"/>
              <w:rPr>
                <w:iCs/>
                <w:szCs w:val="24"/>
              </w:rPr>
            </w:pPr>
            <w:r w:rsidRPr="00CE526B">
              <w:rPr>
                <w:iCs/>
                <w:szCs w:val="24"/>
              </w:rPr>
              <w:t xml:space="preserve">Bayside </w:t>
            </w:r>
          </w:p>
        </w:tc>
      </w:tr>
      <w:tr w:rsidR="00CE526B" w:rsidRPr="00CE526B" w14:paraId="7704E0D3" w14:textId="77777777" w:rsidTr="00C44A8F">
        <w:trPr>
          <w:cantSplit/>
        </w:trPr>
        <w:tc>
          <w:tcPr>
            <w:tcW w:w="967" w:type="pct"/>
            <w:vAlign w:val="bottom"/>
          </w:tcPr>
          <w:p w14:paraId="584B7BA9"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62D3EBAB" w14:textId="77777777" w:rsidR="00CE526B" w:rsidRPr="00CE526B" w:rsidRDefault="00CE526B" w:rsidP="00CE526B">
            <w:pPr>
              <w:spacing w:before="0" w:after="0" w:line="240" w:lineRule="auto"/>
              <w:rPr>
                <w:iCs/>
                <w:szCs w:val="24"/>
              </w:rPr>
            </w:pPr>
            <w:r w:rsidRPr="00CE526B">
              <w:rPr>
                <w:iCs/>
                <w:szCs w:val="24"/>
              </w:rPr>
              <w:t xml:space="preserve">Byron </w:t>
            </w:r>
          </w:p>
        </w:tc>
      </w:tr>
      <w:tr w:rsidR="00CE526B" w:rsidRPr="00CE526B" w14:paraId="27D76D91" w14:textId="77777777" w:rsidTr="00C44A8F">
        <w:trPr>
          <w:cantSplit/>
        </w:trPr>
        <w:tc>
          <w:tcPr>
            <w:tcW w:w="967" w:type="pct"/>
            <w:vAlign w:val="bottom"/>
          </w:tcPr>
          <w:p w14:paraId="1131F977"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453BF29E" w14:textId="77777777" w:rsidR="00CE526B" w:rsidRPr="00CE526B" w:rsidRDefault="00CE526B" w:rsidP="00CE526B">
            <w:pPr>
              <w:spacing w:before="0" w:after="0" w:line="240" w:lineRule="auto"/>
              <w:rPr>
                <w:iCs/>
                <w:szCs w:val="24"/>
              </w:rPr>
            </w:pPr>
            <w:r w:rsidRPr="00CE526B">
              <w:rPr>
                <w:iCs/>
                <w:szCs w:val="24"/>
              </w:rPr>
              <w:t>Central Coast  (NSW)</w:t>
            </w:r>
          </w:p>
        </w:tc>
      </w:tr>
      <w:tr w:rsidR="00CE526B" w:rsidRPr="00CE526B" w14:paraId="7D85BFDA" w14:textId="77777777" w:rsidTr="00C44A8F">
        <w:trPr>
          <w:cantSplit/>
        </w:trPr>
        <w:tc>
          <w:tcPr>
            <w:tcW w:w="967" w:type="pct"/>
            <w:vAlign w:val="bottom"/>
          </w:tcPr>
          <w:p w14:paraId="0E93292C"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3E9F3A20" w14:textId="77777777" w:rsidR="00CE526B" w:rsidRPr="00CE526B" w:rsidRDefault="00CE526B" w:rsidP="00CE526B">
            <w:pPr>
              <w:spacing w:before="0" w:after="0" w:line="240" w:lineRule="auto"/>
              <w:rPr>
                <w:iCs/>
                <w:szCs w:val="24"/>
              </w:rPr>
            </w:pPr>
            <w:r w:rsidRPr="00CE526B">
              <w:rPr>
                <w:iCs/>
                <w:szCs w:val="24"/>
              </w:rPr>
              <w:t xml:space="preserve">Clarence Valley </w:t>
            </w:r>
          </w:p>
        </w:tc>
      </w:tr>
      <w:tr w:rsidR="00CE526B" w:rsidRPr="00CE526B" w14:paraId="7D9C9F5F" w14:textId="77777777" w:rsidTr="00C44A8F">
        <w:trPr>
          <w:cantSplit/>
        </w:trPr>
        <w:tc>
          <w:tcPr>
            <w:tcW w:w="967" w:type="pct"/>
            <w:vAlign w:val="bottom"/>
          </w:tcPr>
          <w:p w14:paraId="0F1E136C"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0FDBC837" w14:textId="77777777" w:rsidR="00CE526B" w:rsidRPr="00CE526B" w:rsidRDefault="00CE526B" w:rsidP="00CE526B">
            <w:pPr>
              <w:spacing w:before="0" w:after="0" w:line="240" w:lineRule="auto"/>
              <w:rPr>
                <w:iCs/>
                <w:szCs w:val="24"/>
              </w:rPr>
            </w:pPr>
            <w:r w:rsidRPr="00CE526B">
              <w:rPr>
                <w:iCs/>
                <w:szCs w:val="24"/>
              </w:rPr>
              <w:t xml:space="preserve">Hawkesbury </w:t>
            </w:r>
          </w:p>
        </w:tc>
      </w:tr>
      <w:tr w:rsidR="00CE526B" w:rsidRPr="00CE526B" w14:paraId="1E1E42DA" w14:textId="77777777" w:rsidTr="00C44A8F">
        <w:trPr>
          <w:cantSplit/>
        </w:trPr>
        <w:tc>
          <w:tcPr>
            <w:tcW w:w="967" w:type="pct"/>
            <w:vAlign w:val="bottom"/>
          </w:tcPr>
          <w:p w14:paraId="7C9B04F5"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621A182C" w14:textId="77777777" w:rsidR="00CE526B" w:rsidRPr="00CE526B" w:rsidRDefault="00CE526B" w:rsidP="00CE526B">
            <w:pPr>
              <w:spacing w:before="0" w:after="0" w:line="240" w:lineRule="auto"/>
              <w:rPr>
                <w:iCs/>
                <w:szCs w:val="24"/>
              </w:rPr>
            </w:pPr>
            <w:r w:rsidRPr="00CE526B">
              <w:rPr>
                <w:iCs/>
                <w:szCs w:val="24"/>
              </w:rPr>
              <w:t xml:space="preserve">Kempsey </w:t>
            </w:r>
          </w:p>
        </w:tc>
      </w:tr>
      <w:tr w:rsidR="00CE526B" w:rsidRPr="00CE526B" w14:paraId="27EA8872" w14:textId="77777777" w:rsidTr="00C44A8F">
        <w:trPr>
          <w:cantSplit/>
        </w:trPr>
        <w:tc>
          <w:tcPr>
            <w:tcW w:w="967" w:type="pct"/>
            <w:vAlign w:val="bottom"/>
          </w:tcPr>
          <w:p w14:paraId="09F76A22"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73AF5205" w14:textId="77777777" w:rsidR="00CE526B" w:rsidRPr="00CE526B" w:rsidRDefault="00CE526B" w:rsidP="00CE526B">
            <w:pPr>
              <w:spacing w:before="0" w:after="0" w:line="240" w:lineRule="auto"/>
              <w:rPr>
                <w:iCs/>
                <w:szCs w:val="24"/>
              </w:rPr>
            </w:pPr>
            <w:r w:rsidRPr="00CE526B">
              <w:rPr>
                <w:iCs/>
                <w:szCs w:val="24"/>
              </w:rPr>
              <w:t xml:space="preserve">Lake Macquarie </w:t>
            </w:r>
          </w:p>
        </w:tc>
      </w:tr>
      <w:tr w:rsidR="00CE526B" w:rsidRPr="00CE526B" w14:paraId="6EFF155E" w14:textId="77777777" w:rsidTr="00C44A8F">
        <w:trPr>
          <w:cantSplit/>
        </w:trPr>
        <w:tc>
          <w:tcPr>
            <w:tcW w:w="967" w:type="pct"/>
            <w:vAlign w:val="bottom"/>
          </w:tcPr>
          <w:p w14:paraId="6B81565A"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5BDAABD6" w14:textId="77777777" w:rsidR="00CE526B" w:rsidRPr="00CE526B" w:rsidRDefault="00CE526B" w:rsidP="00CE526B">
            <w:pPr>
              <w:spacing w:before="0" w:after="0" w:line="240" w:lineRule="auto"/>
              <w:rPr>
                <w:iCs/>
                <w:szCs w:val="24"/>
              </w:rPr>
            </w:pPr>
            <w:r w:rsidRPr="00CE526B">
              <w:rPr>
                <w:iCs/>
                <w:szCs w:val="24"/>
              </w:rPr>
              <w:t xml:space="preserve">Liverpool </w:t>
            </w:r>
          </w:p>
        </w:tc>
      </w:tr>
      <w:tr w:rsidR="00CE526B" w:rsidRPr="00CE526B" w14:paraId="512EB573" w14:textId="77777777" w:rsidTr="00C44A8F">
        <w:trPr>
          <w:cantSplit/>
        </w:trPr>
        <w:tc>
          <w:tcPr>
            <w:tcW w:w="967" w:type="pct"/>
            <w:vAlign w:val="bottom"/>
          </w:tcPr>
          <w:p w14:paraId="4AE3B52D"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1CAA6D45" w14:textId="77777777" w:rsidR="00CE526B" w:rsidRPr="00CE526B" w:rsidRDefault="00CE526B" w:rsidP="00CE526B">
            <w:pPr>
              <w:spacing w:before="0" w:after="0" w:line="240" w:lineRule="auto"/>
              <w:rPr>
                <w:iCs/>
                <w:szCs w:val="24"/>
              </w:rPr>
            </w:pPr>
            <w:r w:rsidRPr="00CE526B">
              <w:rPr>
                <w:iCs/>
                <w:szCs w:val="24"/>
              </w:rPr>
              <w:t xml:space="preserve">Mid-Coast </w:t>
            </w:r>
          </w:p>
        </w:tc>
      </w:tr>
      <w:tr w:rsidR="00CE526B" w:rsidRPr="00CE526B" w14:paraId="3FAAE5C7" w14:textId="77777777" w:rsidTr="00C44A8F">
        <w:trPr>
          <w:cantSplit/>
        </w:trPr>
        <w:tc>
          <w:tcPr>
            <w:tcW w:w="967" w:type="pct"/>
            <w:vAlign w:val="bottom"/>
          </w:tcPr>
          <w:p w14:paraId="07F3DE43"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31A26FE1" w14:textId="77777777" w:rsidR="00CE526B" w:rsidRPr="00CE526B" w:rsidRDefault="00CE526B" w:rsidP="00CE526B">
            <w:pPr>
              <w:spacing w:before="0" w:after="0" w:line="240" w:lineRule="auto"/>
              <w:rPr>
                <w:iCs/>
                <w:szCs w:val="24"/>
              </w:rPr>
            </w:pPr>
            <w:r w:rsidRPr="00CE526B">
              <w:rPr>
                <w:iCs/>
                <w:szCs w:val="24"/>
              </w:rPr>
              <w:t xml:space="preserve">Northern Beaches </w:t>
            </w:r>
          </w:p>
        </w:tc>
      </w:tr>
      <w:tr w:rsidR="00CE526B" w:rsidRPr="00CE526B" w14:paraId="21D855BD" w14:textId="77777777" w:rsidTr="00C44A8F">
        <w:trPr>
          <w:cantSplit/>
        </w:trPr>
        <w:tc>
          <w:tcPr>
            <w:tcW w:w="967" w:type="pct"/>
            <w:vAlign w:val="bottom"/>
          </w:tcPr>
          <w:p w14:paraId="1A3DD15F"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5095E754" w14:textId="77777777" w:rsidR="00CE526B" w:rsidRPr="00CE526B" w:rsidRDefault="00CE526B" w:rsidP="00CE526B">
            <w:pPr>
              <w:spacing w:before="0" w:after="0" w:line="240" w:lineRule="auto"/>
              <w:rPr>
                <w:iCs/>
                <w:szCs w:val="24"/>
              </w:rPr>
            </w:pPr>
            <w:r w:rsidRPr="00CE526B">
              <w:rPr>
                <w:iCs/>
                <w:szCs w:val="24"/>
              </w:rPr>
              <w:t xml:space="preserve">Parramatta </w:t>
            </w:r>
          </w:p>
        </w:tc>
      </w:tr>
      <w:tr w:rsidR="00CE526B" w:rsidRPr="00CE526B" w14:paraId="1F6B9D2C" w14:textId="77777777" w:rsidTr="00C44A8F">
        <w:trPr>
          <w:cantSplit/>
        </w:trPr>
        <w:tc>
          <w:tcPr>
            <w:tcW w:w="967" w:type="pct"/>
            <w:vAlign w:val="bottom"/>
          </w:tcPr>
          <w:p w14:paraId="035DED6F"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456A7086" w14:textId="77777777" w:rsidR="00CE526B" w:rsidRPr="00CE526B" w:rsidRDefault="00CE526B" w:rsidP="00CE526B">
            <w:pPr>
              <w:spacing w:before="0" w:after="0" w:line="240" w:lineRule="auto"/>
              <w:rPr>
                <w:iCs/>
                <w:szCs w:val="24"/>
              </w:rPr>
            </w:pPr>
            <w:r w:rsidRPr="00CE526B">
              <w:rPr>
                <w:iCs/>
                <w:szCs w:val="24"/>
              </w:rPr>
              <w:t xml:space="preserve">Penrith </w:t>
            </w:r>
          </w:p>
        </w:tc>
      </w:tr>
      <w:tr w:rsidR="00CE526B" w:rsidRPr="00CE526B" w14:paraId="2F6098A0" w14:textId="77777777" w:rsidTr="00C44A8F">
        <w:trPr>
          <w:cantSplit/>
        </w:trPr>
        <w:tc>
          <w:tcPr>
            <w:tcW w:w="967" w:type="pct"/>
            <w:vAlign w:val="bottom"/>
          </w:tcPr>
          <w:p w14:paraId="7E796850"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12A3C245" w14:textId="77777777" w:rsidR="00CE526B" w:rsidRPr="00CE526B" w:rsidRDefault="00CE526B" w:rsidP="00CE526B">
            <w:pPr>
              <w:spacing w:before="0" w:after="0" w:line="240" w:lineRule="auto"/>
              <w:rPr>
                <w:iCs/>
                <w:szCs w:val="24"/>
              </w:rPr>
            </w:pPr>
            <w:r w:rsidRPr="00CE526B">
              <w:rPr>
                <w:iCs/>
                <w:szCs w:val="24"/>
              </w:rPr>
              <w:t xml:space="preserve">Port Macquarie-Hastings </w:t>
            </w:r>
          </w:p>
        </w:tc>
      </w:tr>
      <w:tr w:rsidR="00CE526B" w:rsidRPr="00CE526B" w14:paraId="611160A8" w14:textId="77777777" w:rsidTr="00C44A8F">
        <w:trPr>
          <w:cantSplit/>
        </w:trPr>
        <w:tc>
          <w:tcPr>
            <w:tcW w:w="967" w:type="pct"/>
            <w:vAlign w:val="bottom"/>
          </w:tcPr>
          <w:p w14:paraId="27CBF783"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56E317B5" w14:textId="77777777" w:rsidR="00CE526B" w:rsidRPr="00CE526B" w:rsidRDefault="00CE526B" w:rsidP="00CE526B">
            <w:pPr>
              <w:spacing w:before="0" w:after="0" w:line="240" w:lineRule="auto"/>
              <w:rPr>
                <w:iCs/>
                <w:szCs w:val="24"/>
              </w:rPr>
            </w:pPr>
            <w:r w:rsidRPr="00CE526B">
              <w:rPr>
                <w:iCs/>
                <w:szCs w:val="24"/>
              </w:rPr>
              <w:t xml:space="preserve">Richmond Valley </w:t>
            </w:r>
          </w:p>
        </w:tc>
      </w:tr>
      <w:tr w:rsidR="00CE526B" w:rsidRPr="00CE526B" w14:paraId="31E1135E" w14:textId="77777777" w:rsidTr="00C44A8F">
        <w:trPr>
          <w:cantSplit/>
        </w:trPr>
        <w:tc>
          <w:tcPr>
            <w:tcW w:w="967" w:type="pct"/>
            <w:vAlign w:val="bottom"/>
          </w:tcPr>
          <w:p w14:paraId="72B5E811"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4794C89D" w14:textId="77777777" w:rsidR="00CE526B" w:rsidRPr="00CE526B" w:rsidRDefault="00CE526B" w:rsidP="00CE526B">
            <w:pPr>
              <w:spacing w:before="0" w:after="0" w:line="240" w:lineRule="auto"/>
              <w:rPr>
                <w:iCs/>
                <w:szCs w:val="24"/>
              </w:rPr>
            </w:pPr>
            <w:r w:rsidRPr="00CE526B">
              <w:rPr>
                <w:iCs/>
                <w:szCs w:val="24"/>
              </w:rPr>
              <w:t xml:space="preserve">Shoalhaven </w:t>
            </w:r>
          </w:p>
        </w:tc>
      </w:tr>
      <w:tr w:rsidR="00CE526B" w:rsidRPr="00CE526B" w14:paraId="3CDD445D" w14:textId="77777777" w:rsidTr="00C44A8F">
        <w:trPr>
          <w:cantSplit/>
        </w:trPr>
        <w:tc>
          <w:tcPr>
            <w:tcW w:w="967" w:type="pct"/>
            <w:vAlign w:val="bottom"/>
          </w:tcPr>
          <w:p w14:paraId="22B0B8F1" w14:textId="77777777" w:rsidR="00CE526B" w:rsidRPr="00CE526B" w:rsidRDefault="00CE526B" w:rsidP="00CE526B">
            <w:pPr>
              <w:spacing w:before="0" w:after="0" w:line="240" w:lineRule="auto"/>
              <w:jc w:val="center"/>
              <w:rPr>
                <w:rFonts w:cs="Arial"/>
                <w:iCs/>
              </w:rPr>
            </w:pPr>
            <w:r w:rsidRPr="00CE526B">
              <w:rPr>
                <w:rFonts w:cs="Arial"/>
                <w:iCs/>
              </w:rPr>
              <w:t>NSW</w:t>
            </w:r>
          </w:p>
        </w:tc>
        <w:tc>
          <w:tcPr>
            <w:tcW w:w="4033" w:type="pct"/>
            <w:vAlign w:val="bottom"/>
          </w:tcPr>
          <w:p w14:paraId="70B3CD70" w14:textId="77777777" w:rsidR="00CE526B" w:rsidRPr="00CE526B" w:rsidRDefault="00CE526B" w:rsidP="00CE526B">
            <w:pPr>
              <w:spacing w:before="0" w:after="0" w:line="240" w:lineRule="auto"/>
              <w:rPr>
                <w:iCs/>
                <w:szCs w:val="24"/>
              </w:rPr>
            </w:pPr>
            <w:r w:rsidRPr="00CE526B">
              <w:rPr>
                <w:iCs/>
                <w:szCs w:val="24"/>
              </w:rPr>
              <w:t xml:space="preserve">Wollongong </w:t>
            </w:r>
          </w:p>
        </w:tc>
      </w:tr>
      <w:tr w:rsidR="00CE526B" w:rsidRPr="00CE526B" w14:paraId="4DBBFBBE" w14:textId="77777777" w:rsidTr="00C44A8F">
        <w:trPr>
          <w:cantSplit/>
        </w:trPr>
        <w:tc>
          <w:tcPr>
            <w:tcW w:w="967" w:type="pct"/>
            <w:vAlign w:val="bottom"/>
          </w:tcPr>
          <w:p w14:paraId="0F94753C" w14:textId="77777777" w:rsidR="00CE526B" w:rsidRPr="00CE526B" w:rsidRDefault="00CE526B" w:rsidP="00CE526B">
            <w:pPr>
              <w:spacing w:before="0" w:after="0" w:line="240" w:lineRule="auto"/>
              <w:jc w:val="center"/>
              <w:rPr>
                <w:rFonts w:cs="Arial"/>
                <w:iCs/>
              </w:rPr>
            </w:pPr>
            <w:r w:rsidRPr="00CE526B">
              <w:rPr>
                <w:rFonts w:cs="Arial"/>
                <w:iCs/>
              </w:rPr>
              <w:lastRenderedPageBreak/>
              <w:t>NT</w:t>
            </w:r>
          </w:p>
        </w:tc>
        <w:tc>
          <w:tcPr>
            <w:tcW w:w="4033" w:type="pct"/>
            <w:vAlign w:val="bottom"/>
          </w:tcPr>
          <w:p w14:paraId="4D624348" w14:textId="77777777" w:rsidR="00CE526B" w:rsidRPr="00CE526B" w:rsidRDefault="00CE526B" w:rsidP="00CE526B">
            <w:pPr>
              <w:spacing w:before="0" w:after="0" w:line="240" w:lineRule="auto"/>
              <w:rPr>
                <w:iCs/>
                <w:szCs w:val="24"/>
              </w:rPr>
            </w:pPr>
            <w:r w:rsidRPr="00CE526B">
              <w:rPr>
                <w:iCs/>
                <w:szCs w:val="24"/>
              </w:rPr>
              <w:t xml:space="preserve">Barkly </w:t>
            </w:r>
          </w:p>
        </w:tc>
      </w:tr>
      <w:tr w:rsidR="00CE526B" w:rsidRPr="00CE526B" w14:paraId="2C187C9C" w14:textId="77777777" w:rsidTr="00C44A8F">
        <w:trPr>
          <w:cantSplit/>
        </w:trPr>
        <w:tc>
          <w:tcPr>
            <w:tcW w:w="967" w:type="pct"/>
            <w:vAlign w:val="bottom"/>
          </w:tcPr>
          <w:p w14:paraId="3FB59904" w14:textId="77777777" w:rsidR="00CE526B" w:rsidRPr="00CE526B" w:rsidRDefault="00CE526B" w:rsidP="00CE526B">
            <w:pPr>
              <w:spacing w:before="0" w:after="0" w:line="240" w:lineRule="auto"/>
              <w:jc w:val="center"/>
              <w:rPr>
                <w:rFonts w:cs="Arial"/>
                <w:iCs/>
              </w:rPr>
            </w:pPr>
            <w:r w:rsidRPr="00CE526B">
              <w:rPr>
                <w:rFonts w:cs="Arial"/>
                <w:iCs/>
              </w:rPr>
              <w:t>NT</w:t>
            </w:r>
          </w:p>
        </w:tc>
        <w:tc>
          <w:tcPr>
            <w:tcW w:w="4033" w:type="pct"/>
            <w:vAlign w:val="bottom"/>
          </w:tcPr>
          <w:p w14:paraId="34BC04FF" w14:textId="77777777" w:rsidR="00CE526B" w:rsidRPr="00CE526B" w:rsidRDefault="00CE526B" w:rsidP="00CE526B">
            <w:pPr>
              <w:spacing w:before="0" w:after="0" w:line="240" w:lineRule="auto"/>
              <w:rPr>
                <w:iCs/>
                <w:szCs w:val="24"/>
              </w:rPr>
            </w:pPr>
            <w:r w:rsidRPr="00CE526B">
              <w:rPr>
                <w:iCs/>
                <w:szCs w:val="24"/>
              </w:rPr>
              <w:t xml:space="preserve">East Arnhem </w:t>
            </w:r>
          </w:p>
        </w:tc>
      </w:tr>
      <w:tr w:rsidR="00CE526B" w:rsidRPr="00CE526B" w14:paraId="68683CB1" w14:textId="77777777" w:rsidTr="00C44A8F">
        <w:trPr>
          <w:cantSplit/>
        </w:trPr>
        <w:tc>
          <w:tcPr>
            <w:tcW w:w="967" w:type="pct"/>
            <w:vAlign w:val="bottom"/>
          </w:tcPr>
          <w:p w14:paraId="42713B92" w14:textId="77777777" w:rsidR="00CE526B" w:rsidRPr="00CE526B" w:rsidRDefault="00CE526B" w:rsidP="00CE526B">
            <w:pPr>
              <w:spacing w:before="0" w:after="0" w:line="240" w:lineRule="auto"/>
              <w:jc w:val="center"/>
              <w:rPr>
                <w:rFonts w:cs="Arial"/>
                <w:iCs/>
              </w:rPr>
            </w:pPr>
            <w:r w:rsidRPr="00CE526B">
              <w:rPr>
                <w:rFonts w:cs="Arial"/>
                <w:iCs/>
              </w:rPr>
              <w:t>NT</w:t>
            </w:r>
          </w:p>
        </w:tc>
        <w:tc>
          <w:tcPr>
            <w:tcW w:w="4033" w:type="pct"/>
            <w:vAlign w:val="bottom"/>
          </w:tcPr>
          <w:p w14:paraId="0D073426" w14:textId="77777777" w:rsidR="00CE526B" w:rsidRPr="00CE526B" w:rsidRDefault="00CE526B" w:rsidP="00CE526B">
            <w:pPr>
              <w:spacing w:before="0" w:after="0" w:line="240" w:lineRule="auto"/>
              <w:rPr>
                <w:iCs/>
                <w:szCs w:val="24"/>
              </w:rPr>
            </w:pPr>
            <w:r w:rsidRPr="00CE526B">
              <w:rPr>
                <w:iCs/>
                <w:szCs w:val="24"/>
              </w:rPr>
              <w:t xml:space="preserve">Roper Gulf </w:t>
            </w:r>
          </w:p>
        </w:tc>
      </w:tr>
      <w:tr w:rsidR="00CE526B" w:rsidRPr="00CE526B" w14:paraId="75BA47F1" w14:textId="77777777" w:rsidTr="00C44A8F">
        <w:trPr>
          <w:cantSplit/>
        </w:trPr>
        <w:tc>
          <w:tcPr>
            <w:tcW w:w="967" w:type="pct"/>
            <w:vAlign w:val="bottom"/>
          </w:tcPr>
          <w:p w14:paraId="01ED368F" w14:textId="77777777" w:rsidR="00CE526B" w:rsidRPr="00CE526B" w:rsidRDefault="00CE526B" w:rsidP="00CE526B">
            <w:pPr>
              <w:spacing w:before="0" w:after="0" w:line="240" w:lineRule="auto"/>
              <w:jc w:val="center"/>
              <w:rPr>
                <w:rFonts w:cs="Arial"/>
                <w:iCs/>
              </w:rPr>
            </w:pPr>
            <w:r w:rsidRPr="00CE526B">
              <w:rPr>
                <w:rFonts w:cs="Arial"/>
                <w:iCs/>
              </w:rPr>
              <w:t>NT</w:t>
            </w:r>
          </w:p>
        </w:tc>
        <w:tc>
          <w:tcPr>
            <w:tcW w:w="4033" w:type="pct"/>
            <w:vAlign w:val="bottom"/>
          </w:tcPr>
          <w:p w14:paraId="0452C0C7" w14:textId="77777777" w:rsidR="00CE526B" w:rsidRPr="00CE526B" w:rsidRDefault="00CE526B" w:rsidP="00CE526B">
            <w:pPr>
              <w:spacing w:before="0" w:after="0" w:line="240" w:lineRule="auto"/>
              <w:rPr>
                <w:iCs/>
                <w:szCs w:val="24"/>
              </w:rPr>
            </w:pPr>
            <w:r w:rsidRPr="00CE526B">
              <w:rPr>
                <w:iCs/>
                <w:szCs w:val="24"/>
              </w:rPr>
              <w:t xml:space="preserve">Victoria Daly </w:t>
            </w:r>
          </w:p>
        </w:tc>
      </w:tr>
      <w:tr w:rsidR="00CE526B" w:rsidRPr="00CE526B" w14:paraId="77037150" w14:textId="77777777" w:rsidTr="00C44A8F">
        <w:trPr>
          <w:cantSplit/>
        </w:trPr>
        <w:tc>
          <w:tcPr>
            <w:tcW w:w="967" w:type="pct"/>
            <w:vAlign w:val="bottom"/>
          </w:tcPr>
          <w:p w14:paraId="0666DB7C"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32FEE0D1" w14:textId="77777777" w:rsidR="00CE526B" w:rsidRPr="00CE526B" w:rsidRDefault="00CE526B" w:rsidP="00CE526B">
            <w:pPr>
              <w:spacing w:before="0" w:after="0" w:line="240" w:lineRule="auto"/>
              <w:rPr>
                <w:iCs/>
                <w:szCs w:val="24"/>
              </w:rPr>
            </w:pPr>
            <w:r w:rsidRPr="00CE526B">
              <w:rPr>
                <w:iCs/>
                <w:szCs w:val="24"/>
              </w:rPr>
              <w:t xml:space="preserve">Brisbane </w:t>
            </w:r>
          </w:p>
        </w:tc>
      </w:tr>
      <w:tr w:rsidR="00CE526B" w:rsidRPr="00CE526B" w14:paraId="44C45EB9" w14:textId="77777777" w:rsidTr="00C44A8F">
        <w:trPr>
          <w:cantSplit/>
        </w:trPr>
        <w:tc>
          <w:tcPr>
            <w:tcW w:w="967" w:type="pct"/>
            <w:vAlign w:val="bottom"/>
          </w:tcPr>
          <w:p w14:paraId="5A1EFD87"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71F0FA6F" w14:textId="77777777" w:rsidR="00CE526B" w:rsidRPr="00CE526B" w:rsidRDefault="00CE526B" w:rsidP="00CE526B">
            <w:pPr>
              <w:spacing w:before="0" w:after="0" w:line="240" w:lineRule="auto"/>
              <w:rPr>
                <w:iCs/>
                <w:szCs w:val="24"/>
              </w:rPr>
            </w:pPr>
            <w:r w:rsidRPr="00CE526B">
              <w:rPr>
                <w:iCs/>
                <w:szCs w:val="24"/>
              </w:rPr>
              <w:t xml:space="preserve">Bundaberg </w:t>
            </w:r>
          </w:p>
        </w:tc>
      </w:tr>
      <w:tr w:rsidR="00CE526B" w:rsidRPr="00CE526B" w14:paraId="4892CF3B" w14:textId="77777777" w:rsidTr="00C44A8F">
        <w:trPr>
          <w:cantSplit/>
        </w:trPr>
        <w:tc>
          <w:tcPr>
            <w:tcW w:w="967" w:type="pct"/>
            <w:vAlign w:val="bottom"/>
          </w:tcPr>
          <w:p w14:paraId="3C72B659"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17CA57B1" w14:textId="77777777" w:rsidR="00CE526B" w:rsidRPr="00CE526B" w:rsidRDefault="00CE526B" w:rsidP="00CE526B">
            <w:pPr>
              <w:spacing w:before="0" w:after="0" w:line="240" w:lineRule="auto"/>
              <w:rPr>
                <w:iCs/>
                <w:szCs w:val="24"/>
              </w:rPr>
            </w:pPr>
            <w:r w:rsidRPr="00CE526B">
              <w:rPr>
                <w:iCs/>
                <w:szCs w:val="24"/>
              </w:rPr>
              <w:t xml:space="preserve">Cairns </w:t>
            </w:r>
          </w:p>
        </w:tc>
      </w:tr>
      <w:tr w:rsidR="00CE526B" w:rsidRPr="00CE526B" w14:paraId="373CAC7C" w14:textId="77777777" w:rsidTr="00C44A8F">
        <w:trPr>
          <w:cantSplit/>
        </w:trPr>
        <w:tc>
          <w:tcPr>
            <w:tcW w:w="967" w:type="pct"/>
            <w:vAlign w:val="bottom"/>
          </w:tcPr>
          <w:p w14:paraId="4324F189"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7B52EC35" w14:textId="77777777" w:rsidR="00CE526B" w:rsidRPr="00CE526B" w:rsidRDefault="00CE526B" w:rsidP="00CE526B">
            <w:pPr>
              <w:spacing w:before="0" w:after="0" w:line="240" w:lineRule="auto"/>
              <w:rPr>
                <w:iCs/>
                <w:szCs w:val="24"/>
              </w:rPr>
            </w:pPr>
            <w:r w:rsidRPr="00CE526B">
              <w:rPr>
                <w:iCs/>
                <w:szCs w:val="24"/>
              </w:rPr>
              <w:t xml:space="preserve">Cassowary Coast </w:t>
            </w:r>
          </w:p>
        </w:tc>
      </w:tr>
      <w:tr w:rsidR="00CE526B" w:rsidRPr="00CE526B" w14:paraId="76FBC807" w14:textId="77777777" w:rsidTr="00C44A8F">
        <w:trPr>
          <w:cantSplit/>
        </w:trPr>
        <w:tc>
          <w:tcPr>
            <w:tcW w:w="967" w:type="pct"/>
            <w:vAlign w:val="bottom"/>
          </w:tcPr>
          <w:p w14:paraId="2DB1D502"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1A457DE7" w14:textId="77777777" w:rsidR="00CE526B" w:rsidRPr="00CE526B" w:rsidRDefault="00CE526B" w:rsidP="00CE526B">
            <w:pPr>
              <w:spacing w:before="0" w:after="0" w:line="240" w:lineRule="auto"/>
              <w:rPr>
                <w:iCs/>
                <w:szCs w:val="24"/>
              </w:rPr>
            </w:pPr>
            <w:r w:rsidRPr="00CE526B">
              <w:rPr>
                <w:iCs/>
                <w:szCs w:val="24"/>
              </w:rPr>
              <w:t>Central Highlands  (Qld)</w:t>
            </w:r>
          </w:p>
        </w:tc>
      </w:tr>
      <w:tr w:rsidR="00CE526B" w:rsidRPr="00CE526B" w14:paraId="0836CC7B" w14:textId="77777777" w:rsidTr="00C44A8F">
        <w:trPr>
          <w:cantSplit/>
        </w:trPr>
        <w:tc>
          <w:tcPr>
            <w:tcW w:w="967" w:type="pct"/>
            <w:vAlign w:val="bottom"/>
          </w:tcPr>
          <w:p w14:paraId="3435AED4"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0A80BF47" w14:textId="77777777" w:rsidR="00CE526B" w:rsidRPr="00CE526B" w:rsidRDefault="00CE526B" w:rsidP="00CE526B">
            <w:pPr>
              <w:spacing w:before="0" w:after="0" w:line="240" w:lineRule="auto"/>
              <w:rPr>
                <w:iCs/>
                <w:szCs w:val="24"/>
              </w:rPr>
            </w:pPr>
            <w:r w:rsidRPr="00CE526B">
              <w:rPr>
                <w:iCs/>
                <w:szCs w:val="24"/>
              </w:rPr>
              <w:t xml:space="preserve">Fraser Coast </w:t>
            </w:r>
          </w:p>
        </w:tc>
      </w:tr>
      <w:tr w:rsidR="00CE526B" w:rsidRPr="00CE526B" w14:paraId="2513E839" w14:textId="77777777" w:rsidTr="00C44A8F">
        <w:trPr>
          <w:cantSplit/>
        </w:trPr>
        <w:tc>
          <w:tcPr>
            <w:tcW w:w="967" w:type="pct"/>
            <w:vAlign w:val="bottom"/>
          </w:tcPr>
          <w:p w14:paraId="394F3B50"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2FA3417B" w14:textId="77777777" w:rsidR="00CE526B" w:rsidRPr="00CE526B" w:rsidRDefault="00CE526B" w:rsidP="00CE526B">
            <w:pPr>
              <w:spacing w:before="0" w:after="0" w:line="240" w:lineRule="auto"/>
              <w:rPr>
                <w:iCs/>
                <w:szCs w:val="24"/>
              </w:rPr>
            </w:pPr>
            <w:r w:rsidRPr="00CE526B">
              <w:rPr>
                <w:iCs/>
                <w:szCs w:val="24"/>
              </w:rPr>
              <w:t xml:space="preserve">Gold Coast </w:t>
            </w:r>
          </w:p>
        </w:tc>
      </w:tr>
      <w:tr w:rsidR="00CE526B" w:rsidRPr="00CE526B" w14:paraId="070EAE85" w14:textId="77777777" w:rsidTr="00C44A8F">
        <w:trPr>
          <w:cantSplit/>
        </w:trPr>
        <w:tc>
          <w:tcPr>
            <w:tcW w:w="967" w:type="pct"/>
            <w:vAlign w:val="bottom"/>
          </w:tcPr>
          <w:p w14:paraId="07C092B3"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01C89527" w14:textId="77777777" w:rsidR="00CE526B" w:rsidRPr="00CE526B" w:rsidRDefault="00CE526B" w:rsidP="00CE526B">
            <w:pPr>
              <w:spacing w:before="0" w:after="0" w:line="240" w:lineRule="auto"/>
              <w:rPr>
                <w:iCs/>
                <w:szCs w:val="24"/>
              </w:rPr>
            </w:pPr>
            <w:r w:rsidRPr="00CE526B">
              <w:rPr>
                <w:iCs/>
                <w:szCs w:val="24"/>
              </w:rPr>
              <w:t xml:space="preserve">Hinchinbrook </w:t>
            </w:r>
          </w:p>
        </w:tc>
      </w:tr>
      <w:tr w:rsidR="00CE526B" w:rsidRPr="00CE526B" w14:paraId="4E3C742D" w14:textId="77777777" w:rsidTr="00C44A8F">
        <w:trPr>
          <w:cantSplit/>
        </w:trPr>
        <w:tc>
          <w:tcPr>
            <w:tcW w:w="967" w:type="pct"/>
            <w:vAlign w:val="bottom"/>
          </w:tcPr>
          <w:p w14:paraId="5949E462"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02CB59B0" w14:textId="77777777" w:rsidR="00CE526B" w:rsidRPr="00CE526B" w:rsidRDefault="00CE526B" w:rsidP="00CE526B">
            <w:pPr>
              <w:spacing w:before="0" w:after="0" w:line="240" w:lineRule="auto"/>
              <w:rPr>
                <w:iCs/>
                <w:szCs w:val="24"/>
              </w:rPr>
            </w:pPr>
            <w:r w:rsidRPr="00CE526B">
              <w:rPr>
                <w:iCs/>
                <w:szCs w:val="24"/>
              </w:rPr>
              <w:t xml:space="preserve">Ipswich </w:t>
            </w:r>
          </w:p>
        </w:tc>
      </w:tr>
      <w:tr w:rsidR="00CE526B" w:rsidRPr="00CE526B" w14:paraId="1F8BBDCE" w14:textId="77777777" w:rsidTr="00C44A8F">
        <w:trPr>
          <w:cantSplit/>
        </w:trPr>
        <w:tc>
          <w:tcPr>
            <w:tcW w:w="967" w:type="pct"/>
            <w:vAlign w:val="bottom"/>
          </w:tcPr>
          <w:p w14:paraId="0041C7E2"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769DD1EF" w14:textId="77777777" w:rsidR="00CE526B" w:rsidRPr="00CE526B" w:rsidRDefault="00CE526B" w:rsidP="00CE526B">
            <w:pPr>
              <w:spacing w:before="0" w:after="0" w:line="240" w:lineRule="auto"/>
              <w:rPr>
                <w:iCs/>
                <w:szCs w:val="24"/>
              </w:rPr>
            </w:pPr>
            <w:r w:rsidRPr="00CE526B">
              <w:rPr>
                <w:iCs/>
                <w:szCs w:val="24"/>
              </w:rPr>
              <w:t xml:space="preserve">Mackay </w:t>
            </w:r>
          </w:p>
        </w:tc>
      </w:tr>
      <w:tr w:rsidR="00CE526B" w:rsidRPr="00CE526B" w14:paraId="3F0CE423" w14:textId="77777777" w:rsidTr="00C44A8F">
        <w:trPr>
          <w:cantSplit/>
        </w:trPr>
        <w:tc>
          <w:tcPr>
            <w:tcW w:w="967" w:type="pct"/>
            <w:vAlign w:val="bottom"/>
          </w:tcPr>
          <w:p w14:paraId="4EFD52FD"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676594DE" w14:textId="77777777" w:rsidR="00CE526B" w:rsidRPr="00CE526B" w:rsidRDefault="00CE526B" w:rsidP="00CE526B">
            <w:pPr>
              <w:spacing w:before="0" w:after="0" w:line="240" w:lineRule="auto"/>
              <w:rPr>
                <w:iCs/>
                <w:szCs w:val="24"/>
              </w:rPr>
            </w:pPr>
            <w:r w:rsidRPr="00CE526B">
              <w:rPr>
                <w:iCs/>
                <w:szCs w:val="24"/>
              </w:rPr>
              <w:t xml:space="preserve">Moreton Bay </w:t>
            </w:r>
          </w:p>
        </w:tc>
      </w:tr>
      <w:tr w:rsidR="00CE526B" w:rsidRPr="00CE526B" w14:paraId="73F53493" w14:textId="77777777" w:rsidTr="00C44A8F">
        <w:trPr>
          <w:cantSplit/>
        </w:trPr>
        <w:tc>
          <w:tcPr>
            <w:tcW w:w="967" w:type="pct"/>
            <w:vAlign w:val="bottom"/>
          </w:tcPr>
          <w:p w14:paraId="6C98E43C" w14:textId="77777777" w:rsidR="00CE526B" w:rsidRPr="00CE526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4078C39D" w14:textId="77777777" w:rsidR="00CE526B" w:rsidRPr="00CE526B" w:rsidRDefault="00CE526B" w:rsidP="00CE526B">
            <w:pPr>
              <w:spacing w:before="0" w:after="0" w:line="240" w:lineRule="auto"/>
              <w:rPr>
                <w:iCs/>
                <w:szCs w:val="24"/>
              </w:rPr>
            </w:pPr>
            <w:r w:rsidRPr="00CE526B">
              <w:rPr>
                <w:iCs/>
                <w:szCs w:val="24"/>
              </w:rPr>
              <w:t xml:space="preserve">Rockhampton </w:t>
            </w:r>
          </w:p>
        </w:tc>
      </w:tr>
      <w:tr w:rsidR="00CE526B" w:rsidRPr="00CE526B" w14:paraId="2A2649CC" w14:textId="77777777" w:rsidTr="00C44A8F">
        <w:trPr>
          <w:cantSplit/>
        </w:trPr>
        <w:tc>
          <w:tcPr>
            <w:tcW w:w="967" w:type="pct"/>
            <w:vAlign w:val="bottom"/>
          </w:tcPr>
          <w:p w14:paraId="20EEE3BD" w14:textId="77777777" w:rsidR="00CE526B" w:rsidRPr="00CE526B" w:rsidDel="004713F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07A398B7" w14:textId="77777777" w:rsidR="00CE526B" w:rsidRPr="00CE526B" w:rsidDel="004713FB" w:rsidRDefault="00CE526B" w:rsidP="00CE526B">
            <w:pPr>
              <w:spacing w:before="0" w:after="0" w:line="240" w:lineRule="auto"/>
              <w:rPr>
                <w:iCs/>
                <w:szCs w:val="24"/>
              </w:rPr>
            </w:pPr>
            <w:r w:rsidRPr="00CE526B">
              <w:rPr>
                <w:iCs/>
                <w:szCs w:val="24"/>
              </w:rPr>
              <w:t xml:space="preserve">Sunshine Coast </w:t>
            </w:r>
          </w:p>
        </w:tc>
      </w:tr>
      <w:tr w:rsidR="00CE526B" w:rsidRPr="00CE526B" w14:paraId="293C2510" w14:textId="77777777" w:rsidTr="00C44A8F">
        <w:trPr>
          <w:cantSplit/>
        </w:trPr>
        <w:tc>
          <w:tcPr>
            <w:tcW w:w="967" w:type="pct"/>
            <w:vAlign w:val="bottom"/>
          </w:tcPr>
          <w:p w14:paraId="19E9DC1F" w14:textId="77777777" w:rsidR="00CE526B" w:rsidRPr="00CE526B" w:rsidDel="004713F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3BAE4FE7" w14:textId="77777777" w:rsidR="00CE526B" w:rsidRPr="00CE526B" w:rsidDel="004713FB" w:rsidRDefault="00CE526B" w:rsidP="00CE526B">
            <w:pPr>
              <w:spacing w:before="0" w:after="0" w:line="240" w:lineRule="auto"/>
              <w:rPr>
                <w:iCs/>
                <w:szCs w:val="24"/>
              </w:rPr>
            </w:pPr>
            <w:r w:rsidRPr="00CE526B">
              <w:rPr>
                <w:iCs/>
                <w:szCs w:val="24"/>
              </w:rPr>
              <w:t xml:space="preserve">Toowoomba </w:t>
            </w:r>
          </w:p>
        </w:tc>
      </w:tr>
      <w:tr w:rsidR="00CE526B" w:rsidRPr="00CE526B" w14:paraId="00FFD1FC" w14:textId="77777777" w:rsidTr="00C44A8F">
        <w:trPr>
          <w:cantSplit/>
        </w:trPr>
        <w:tc>
          <w:tcPr>
            <w:tcW w:w="967" w:type="pct"/>
            <w:vAlign w:val="bottom"/>
          </w:tcPr>
          <w:p w14:paraId="0366AFFB" w14:textId="77777777" w:rsidR="00CE526B" w:rsidRPr="00CE526B" w:rsidDel="004713F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1579E982" w14:textId="77777777" w:rsidR="00CE526B" w:rsidRPr="00CE526B" w:rsidDel="004713FB" w:rsidRDefault="00CE526B" w:rsidP="00CE526B">
            <w:pPr>
              <w:spacing w:before="0" w:after="0" w:line="240" w:lineRule="auto"/>
              <w:rPr>
                <w:iCs/>
                <w:szCs w:val="24"/>
              </w:rPr>
            </w:pPr>
            <w:r w:rsidRPr="00CE526B">
              <w:rPr>
                <w:iCs/>
                <w:szCs w:val="24"/>
              </w:rPr>
              <w:t xml:space="preserve">Townsville </w:t>
            </w:r>
          </w:p>
        </w:tc>
      </w:tr>
      <w:tr w:rsidR="00CE526B" w:rsidRPr="00CE526B" w14:paraId="5A11D4FD" w14:textId="77777777" w:rsidTr="00C44A8F">
        <w:trPr>
          <w:cantSplit/>
        </w:trPr>
        <w:tc>
          <w:tcPr>
            <w:tcW w:w="967" w:type="pct"/>
            <w:vAlign w:val="bottom"/>
          </w:tcPr>
          <w:p w14:paraId="71275509" w14:textId="77777777" w:rsidR="00CE526B" w:rsidRPr="00CE526B" w:rsidDel="004713FB" w:rsidRDefault="00CE526B" w:rsidP="00CE526B">
            <w:pPr>
              <w:spacing w:before="0" w:after="0" w:line="240" w:lineRule="auto"/>
              <w:jc w:val="center"/>
              <w:rPr>
                <w:rFonts w:cs="Arial"/>
                <w:iCs/>
              </w:rPr>
            </w:pPr>
            <w:r w:rsidRPr="00CE526B">
              <w:rPr>
                <w:rFonts w:cs="Arial"/>
                <w:iCs/>
              </w:rPr>
              <w:t>QLD</w:t>
            </w:r>
          </w:p>
        </w:tc>
        <w:tc>
          <w:tcPr>
            <w:tcW w:w="4033" w:type="pct"/>
            <w:vAlign w:val="bottom"/>
          </w:tcPr>
          <w:p w14:paraId="0CF625B9" w14:textId="77777777" w:rsidR="00CE526B" w:rsidRPr="00CE526B" w:rsidDel="004713FB" w:rsidRDefault="00CE526B" w:rsidP="00CE526B">
            <w:pPr>
              <w:spacing w:before="0" w:after="0" w:line="240" w:lineRule="auto"/>
              <w:rPr>
                <w:iCs/>
                <w:szCs w:val="24"/>
              </w:rPr>
            </w:pPr>
            <w:r w:rsidRPr="00CE526B">
              <w:rPr>
                <w:iCs/>
                <w:szCs w:val="24"/>
              </w:rPr>
              <w:t xml:space="preserve">Western Downs </w:t>
            </w:r>
          </w:p>
        </w:tc>
      </w:tr>
      <w:tr w:rsidR="00CE526B" w:rsidRPr="00CE526B" w14:paraId="7A5FF092" w14:textId="77777777" w:rsidTr="00C44A8F">
        <w:trPr>
          <w:cantSplit/>
        </w:trPr>
        <w:tc>
          <w:tcPr>
            <w:tcW w:w="967" w:type="pct"/>
            <w:vAlign w:val="bottom"/>
          </w:tcPr>
          <w:p w14:paraId="7924E33F"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172ED2F6" w14:textId="77777777" w:rsidR="00CE526B" w:rsidRPr="00CE526B" w:rsidDel="004713FB" w:rsidRDefault="00CE526B" w:rsidP="00CE526B">
            <w:pPr>
              <w:spacing w:before="0" w:after="0" w:line="240" w:lineRule="auto"/>
              <w:rPr>
                <w:iCs/>
                <w:szCs w:val="24"/>
              </w:rPr>
            </w:pPr>
            <w:r w:rsidRPr="00CE526B">
              <w:rPr>
                <w:iCs/>
                <w:szCs w:val="24"/>
              </w:rPr>
              <w:t xml:space="preserve">Adelaide Plains </w:t>
            </w:r>
          </w:p>
        </w:tc>
      </w:tr>
      <w:tr w:rsidR="00CE526B" w:rsidRPr="00CE526B" w14:paraId="59801C9F" w14:textId="77777777" w:rsidTr="00C44A8F">
        <w:trPr>
          <w:cantSplit/>
        </w:trPr>
        <w:tc>
          <w:tcPr>
            <w:tcW w:w="967" w:type="pct"/>
            <w:vAlign w:val="bottom"/>
          </w:tcPr>
          <w:p w14:paraId="4D9CFCA3"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1A94CCC3" w14:textId="77777777" w:rsidR="00CE526B" w:rsidRPr="00CE526B" w:rsidDel="004713FB" w:rsidRDefault="00CE526B" w:rsidP="00CE526B">
            <w:pPr>
              <w:spacing w:before="0" w:after="0" w:line="240" w:lineRule="auto"/>
              <w:rPr>
                <w:iCs/>
                <w:szCs w:val="24"/>
              </w:rPr>
            </w:pPr>
            <w:r w:rsidRPr="00CE526B">
              <w:rPr>
                <w:iCs/>
                <w:szCs w:val="24"/>
              </w:rPr>
              <w:t xml:space="preserve">Burnside </w:t>
            </w:r>
          </w:p>
        </w:tc>
      </w:tr>
      <w:tr w:rsidR="00CE526B" w:rsidRPr="00CE526B" w14:paraId="40B89422" w14:textId="77777777" w:rsidTr="00C44A8F">
        <w:trPr>
          <w:cantSplit/>
        </w:trPr>
        <w:tc>
          <w:tcPr>
            <w:tcW w:w="967" w:type="pct"/>
            <w:vAlign w:val="bottom"/>
          </w:tcPr>
          <w:p w14:paraId="22D6DA0D"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2777F9D8" w14:textId="77777777" w:rsidR="00CE526B" w:rsidRPr="00CE526B" w:rsidDel="004713FB" w:rsidRDefault="00CE526B" w:rsidP="00CE526B">
            <w:pPr>
              <w:spacing w:before="0" w:after="0" w:line="240" w:lineRule="auto"/>
              <w:rPr>
                <w:iCs/>
                <w:szCs w:val="24"/>
              </w:rPr>
            </w:pPr>
            <w:r w:rsidRPr="00CE526B">
              <w:rPr>
                <w:iCs/>
                <w:szCs w:val="24"/>
              </w:rPr>
              <w:t>Campbelltown  (SA)</w:t>
            </w:r>
          </w:p>
        </w:tc>
      </w:tr>
      <w:tr w:rsidR="00CE526B" w:rsidRPr="00CE526B" w14:paraId="19221204" w14:textId="77777777" w:rsidTr="00C44A8F">
        <w:trPr>
          <w:cantSplit/>
        </w:trPr>
        <w:tc>
          <w:tcPr>
            <w:tcW w:w="967" w:type="pct"/>
            <w:vAlign w:val="bottom"/>
          </w:tcPr>
          <w:p w14:paraId="0417ACD4"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1B4DF7A4" w14:textId="77777777" w:rsidR="00CE526B" w:rsidRPr="00CE526B" w:rsidDel="004713FB" w:rsidRDefault="00CE526B" w:rsidP="00CE526B">
            <w:pPr>
              <w:spacing w:before="0" w:after="0" w:line="240" w:lineRule="auto"/>
              <w:rPr>
                <w:iCs/>
                <w:szCs w:val="24"/>
              </w:rPr>
            </w:pPr>
            <w:r w:rsidRPr="00CE526B">
              <w:rPr>
                <w:iCs/>
                <w:szCs w:val="24"/>
              </w:rPr>
              <w:t xml:space="preserve">Charles Sturt </w:t>
            </w:r>
          </w:p>
        </w:tc>
      </w:tr>
      <w:tr w:rsidR="00CE526B" w:rsidRPr="00CE526B" w14:paraId="7D7AF10F" w14:textId="77777777" w:rsidTr="00C44A8F">
        <w:trPr>
          <w:cantSplit/>
        </w:trPr>
        <w:tc>
          <w:tcPr>
            <w:tcW w:w="967" w:type="pct"/>
            <w:vAlign w:val="bottom"/>
          </w:tcPr>
          <w:p w14:paraId="4B19E936"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3C149A94" w14:textId="77777777" w:rsidR="00CE526B" w:rsidRPr="00CE526B" w:rsidDel="004713FB" w:rsidRDefault="00CE526B" w:rsidP="00CE526B">
            <w:pPr>
              <w:spacing w:before="0" w:after="0" w:line="240" w:lineRule="auto"/>
              <w:rPr>
                <w:iCs/>
                <w:szCs w:val="24"/>
              </w:rPr>
            </w:pPr>
            <w:r w:rsidRPr="00CE526B">
              <w:rPr>
                <w:iCs/>
                <w:szCs w:val="24"/>
              </w:rPr>
              <w:t xml:space="preserve">Holdfast Bay </w:t>
            </w:r>
          </w:p>
        </w:tc>
      </w:tr>
      <w:tr w:rsidR="00CE526B" w:rsidRPr="00CE526B" w14:paraId="635A7C96" w14:textId="77777777" w:rsidTr="00C44A8F">
        <w:trPr>
          <w:cantSplit/>
        </w:trPr>
        <w:tc>
          <w:tcPr>
            <w:tcW w:w="967" w:type="pct"/>
            <w:vAlign w:val="bottom"/>
          </w:tcPr>
          <w:p w14:paraId="707ECFB9"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4BF3CF09" w14:textId="77777777" w:rsidR="00CE526B" w:rsidRPr="00CE526B" w:rsidDel="004713FB" w:rsidRDefault="00CE526B" w:rsidP="00CE526B">
            <w:pPr>
              <w:spacing w:before="0" w:after="0" w:line="240" w:lineRule="auto"/>
              <w:rPr>
                <w:iCs/>
                <w:szCs w:val="24"/>
              </w:rPr>
            </w:pPr>
            <w:r w:rsidRPr="00CE526B">
              <w:rPr>
                <w:iCs/>
                <w:szCs w:val="24"/>
              </w:rPr>
              <w:t xml:space="preserve">Marion </w:t>
            </w:r>
          </w:p>
        </w:tc>
      </w:tr>
      <w:tr w:rsidR="00CE526B" w:rsidRPr="00CE526B" w14:paraId="3D3916FA" w14:textId="77777777" w:rsidTr="00C44A8F">
        <w:trPr>
          <w:cantSplit/>
        </w:trPr>
        <w:tc>
          <w:tcPr>
            <w:tcW w:w="967" w:type="pct"/>
            <w:vAlign w:val="bottom"/>
          </w:tcPr>
          <w:p w14:paraId="216A6B0C"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0A997C10" w14:textId="77777777" w:rsidR="00CE526B" w:rsidRPr="00CE526B" w:rsidDel="004713FB" w:rsidRDefault="00CE526B" w:rsidP="00CE526B">
            <w:pPr>
              <w:spacing w:before="0" w:after="0" w:line="240" w:lineRule="auto"/>
              <w:rPr>
                <w:iCs/>
                <w:szCs w:val="24"/>
              </w:rPr>
            </w:pPr>
            <w:r w:rsidRPr="00CE526B">
              <w:rPr>
                <w:iCs/>
                <w:szCs w:val="24"/>
              </w:rPr>
              <w:t xml:space="preserve">Norwood Payneham St Peters </w:t>
            </w:r>
          </w:p>
        </w:tc>
      </w:tr>
      <w:tr w:rsidR="00CE526B" w:rsidRPr="00CE526B" w14:paraId="6B7AEF51" w14:textId="77777777" w:rsidTr="00C44A8F">
        <w:trPr>
          <w:cantSplit/>
        </w:trPr>
        <w:tc>
          <w:tcPr>
            <w:tcW w:w="967" w:type="pct"/>
            <w:vAlign w:val="bottom"/>
          </w:tcPr>
          <w:p w14:paraId="52335241"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15E774DD" w14:textId="77777777" w:rsidR="00CE526B" w:rsidRPr="00CE526B" w:rsidDel="004713FB" w:rsidRDefault="00CE526B" w:rsidP="00CE526B">
            <w:pPr>
              <w:spacing w:before="0" w:after="0" w:line="240" w:lineRule="auto"/>
              <w:rPr>
                <w:iCs/>
                <w:szCs w:val="24"/>
              </w:rPr>
            </w:pPr>
            <w:r w:rsidRPr="00CE526B">
              <w:rPr>
                <w:iCs/>
                <w:szCs w:val="24"/>
              </w:rPr>
              <w:t xml:space="preserve">Onkaparinga </w:t>
            </w:r>
          </w:p>
        </w:tc>
      </w:tr>
      <w:tr w:rsidR="00CE526B" w:rsidRPr="00CE526B" w14:paraId="17AA6EF9" w14:textId="77777777" w:rsidTr="00C44A8F">
        <w:trPr>
          <w:cantSplit/>
        </w:trPr>
        <w:tc>
          <w:tcPr>
            <w:tcW w:w="967" w:type="pct"/>
            <w:vAlign w:val="bottom"/>
          </w:tcPr>
          <w:p w14:paraId="663BD6A2"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20A5E762" w14:textId="77777777" w:rsidR="00CE526B" w:rsidRPr="00CE526B" w:rsidDel="004713FB" w:rsidRDefault="00CE526B" w:rsidP="00CE526B">
            <w:pPr>
              <w:spacing w:before="0" w:after="0" w:line="240" w:lineRule="auto"/>
              <w:rPr>
                <w:iCs/>
                <w:szCs w:val="24"/>
              </w:rPr>
            </w:pPr>
            <w:proofErr w:type="spellStart"/>
            <w:r w:rsidRPr="00CE526B">
              <w:rPr>
                <w:iCs/>
                <w:szCs w:val="24"/>
              </w:rPr>
              <w:t>Playford</w:t>
            </w:r>
            <w:proofErr w:type="spellEnd"/>
            <w:r w:rsidRPr="00CE526B">
              <w:rPr>
                <w:iCs/>
                <w:szCs w:val="24"/>
              </w:rPr>
              <w:t xml:space="preserve"> </w:t>
            </w:r>
          </w:p>
        </w:tc>
      </w:tr>
      <w:tr w:rsidR="00CE526B" w:rsidRPr="00CE526B" w14:paraId="4BD9EB02" w14:textId="77777777" w:rsidTr="00C44A8F">
        <w:trPr>
          <w:cantSplit/>
        </w:trPr>
        <w:tc>
          <w:tcPr>
            <w:tcW w:w="967" w:type="pct"/>
            <w:vAlign w:val="bottom"/>
          </w:tcPr>
          <w:p w14:paraId="00700E2B"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65DC3493" w14:textId="77777777" w:rsidR="00CE526B" w:rsidRPr="00CE526B" w:rsidDel="004713FB" w:rsidRDefault="00CE526B" w:rsidP="00CE526B">
            <w:pPr>
              <w:spacing w:before="0" w:after="0" w:line="240" w:lineRule="auto"/>
              <w:rPr>
                <w:iCs/>
                <w:szCs w:val="24"/>
              </w:rPr>
            </w:pPr>
            <w:r w:rsidRPr="00CE526B">
              <w:rPr>
                <w:iCs/>
                <w:szCs w:val="24"/>
              </w:rPr>
              <w:t xml:space="preserve">Port Adelaide Enfield </w:t>
            </w:r>
          </w:p>
        </w:tc>
      </w:tr>
      <w:tr w:rsidR="00CE526B" w:rsidRPr="00CE526B" w14:paraId="53F3B547" w14:textId="77777777" w:rsidTr="00C44A8F">
        <w:trPr>
          <w:cantSplit/>
        </w:trPr>
        <w:tc>
          <w:tcPr>
            <w:tcW w:w="967" w:type="pct"/>
            <w:vAlign w:val="bottom"/>
          </w:tcPr>
          <w:p w14:paraId="0219777C"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260975AA" w14:textId="77777777" w:rsidR="00CE526B" w:rsidRPr="00CE526B" w:rsidDel="004713FB" w:rsidRDefault="00CE526B" w:rsidP="00CE526B">
            <w:pPr>
              <w:spacing w:before="0" w:after="0" w:line="240" w:lineRule="auto"/>
              <w:rPr>
                <w:iCs/>
                <w:szCs w:val="24"/>
              </w:rPr>
            </w:pPr>
            <w:r w:rsidRPr="00CE526B">
              <w:rPr>
                <w:iCs/>
                <w:szCs w:val="24"/>
              </w:rPr>
              <w:t xml:space="preserve">Salisbury </w:t>
            </w:r>
          </w:p>
        </w:tc>
      </w:tr>
      <w:tr w:rsidR="00CE526B" w:rsidRPr="00CE526B" w14:paraId="39F8F244" w14:textId="77777777" w:rsidTr="00C44A8F">
        <w:trPr>
          <w:cantSplit/>
        </w:trPr>
        <w:tc>
          <w:tcPr>
            <w:tcW w:w="967" w:type="pct"/>
            <w:vAlign w:val="bottom"/>
          </w:tcPr>
          <w:p w14:paraId="477E5051"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53DC0000" w14:textId="77777777" w:rsidR="00CE526B" w:rsidRPr="00CE526B" w:rsidDel="004713FB" w:rsidRDefault="00CE526B" w:rsidP="00CE526B">
            <w:pPr>
              <w:spacing w:before="0" w:after="0" w:line="240" w:lineRule="auto"/>
              <w:rPr>
                <w:iCs/>
                <w:szCs w:val="24"/>
              </w:rPr>
            </w:pPr>
            <w:r w:rsidRPr="00CE526B">
              <w:rPr>
                <w:iCs/>
                <w:szCs w:val="24"/>
              </w:rPr>
              <w:t xml:space="preserve">Unley </w:t>
            </w:r>
          </w:p>
        </w:tc>
      </w:tr>
      <w:tr w:rsidR="00CE526B" w:rsidRPr="00CE526B" w14:paraId="359C96E7" w14:textId="77777777" w:rsidTr="00C44A8F">
        <w:trPr>
          <w:cantSplit/>
        </w:trPr>
        <w:tc>
          <w:tcPr>
            <w:tcW w:w="967" w:type="pct"/>
            <w:vAlign w:val="bottom"/>
          </w:tcPr>
          <w:p w14:paraId="1E72F49F" w14:textId="77777777" w:rsidR="00CE526B" w:rsidRPr="00CE526B" w:rsidDel="004713FB" w:rsidRDefault="00CE526B" w:rsidP="00CE526B">
            <w:pPr>
              <w:spacing w:before="0" w:after="0" w:line="240" w:lineRule="auto"/>
              <w:jc w:val="center"/>
              <w:rPr>
                <w:rFonts w:cs="Arial"/>
                <w:iCs/>
              </w:rPr>
            </w:pPr>
            <w:r w:rsidRPr="00CE526B">
              <w:rPr>
                <w:rFonts w:cs="Arial"/>
                <w:iCs/>
              </w:rPr>
              <w:t>SA</w:t>
            </w:r>
          </w:p>
        </w:tc>
        <w:tc>
          <w:tcPr>
            <w:tcW w:w="4033" w:type="pct"/>
            <w:vAlign w:val="bottom"/>
          </w:tcPr>
          <w:p w14:paraId="3B1F2A0A" w14:textId="77777777" w:rsidR="00CE526B" w:rsidRPr="00CE526B" w:rsidDel="004713FB" w:rsidRDefault="00CE526B" w:rsidP="00CE526B">
            <w:pPr>
              <w:spacing w:before="0" w:after="0" w:line="240" w:lineRule="auto"/>
              <w:rPr>
                <w:iCs/>
                <w:szCs w:val="24"/>
              </w:rPr>
            </w:pPr>
            <w:r w:rsidRPr="00CE526B">
              <w:rPr>
                <w:iCs/>
                <w:szCs w:val="24"/>
              </w:rPr>
              <w:t xml:space="preserve">West Torrens </w:t>
            </w:r>
          </w:p>
        </w:tc>
      </w:tr>
      <w:tr w:rsidR="00CE526B" w:rsidRPr="00CE526B" w14:paraId="433EB098" w14:textId="77777777" w:rsidTr="00C44A8F">
        <w:trPr>
          <w:cantSplit/>
        </w:trPr>
        <w:tc>
          <w:tcPr>
            <w:tcW w:w="967" w:type="pct"/>
            <w:vAlign w:val="bottom"/>
          </w:tcPr>
          <w:p w14:paraId="5355EA84" w14:textId="77777777" w:rsidR="00CE526B" w:rsidRPr="00CE526B" w:rsidDel="004713FB" w:rsidRDefault="00CE526B" w:rsidP="00CE526B">
            <w:pPr>
              <w:spacing w:before="0" w:after="0" w:line="240" w:lineRule="auto"/>
              <w:jc w:val="center"/>
              <w:rPr>
                <w:rFonts w:cs="Arial"/>
                <w:iCs/>
              </w:rPr>
            </w:pPr>
            <w:r w:rsidRPr="00CE526B">
              <w:rPr>
                <w:rFonts w:cs="Arial"/>
                <w:iCs/>
              </w:rPr>
              <w:t>TAS</w:t>
            </w:r>
          </w:p>
        </w:tc>
        <w:tc>
          <w:tcPr>
            <w:tcW w:w="4033" w:type="pct"/>
            <w:vAlign w:val="bottom"/>
          </w:tcPr>
          <w:p w14:paraId="2212B88D" w14:textId="77777777" w:rsidR="00CE526B" w:rsidRPr="00CE526B" w:rsidDel="004713FB" w:rsidRDefault="00CE526B" w:rsidP="00CE526B">
            <w:pPr>
              <w:spacing w:before="0" w:after="0" w:line="240" w:lineRule="auto"/>
              <w:rPr>
                <w:iCs/>
                <w:szCs w:val="24"/>
              </w:rPr>
            </w:pPr>
            <w:r w:rsidRPr="00CE526B">
              <w:rPr>
                <w:iCs/>
                <w:szCs w:val="24"/>
              </w:rPr>
              <w:t xml:space="preserve">Break </w:t>
            </w:r>
            <w:proofErr w:type="spellStart"/>
            <w:r w:rsidRPr="00CE526B">
              <w:rPr>
                <w:iCs/>
                <w:szCs w:val="24"/>
              </w:rPr>
              <w:t>O'Day</w:t>
            </w:r>
            <w:proofErr w:type="spellEnd"/>
            <w:r w:rsidRPr="00CE526B">
              <w:rPr>
                <w:iCs/>
                <w:szCs w:val="24"/>
              </w:rPr>
              <w:t xml:space="preserve"> </w:t>
            </w:r>
          </w:p>
        </w:tc>
      </w:tr>
      <w:tr w:rsidR="00CE526B" w:rsidRPr="00CE526B" w14:paraId="045BBDA5" w14:textId="77777777" w:rsidTr="00C44A8F">
        <w:trPr>
          <w:cantSplit/>
        </w:trPr>
        <w:tc>
          <w:tcPr>
            <w:tcW w:w="967" w:type="pct"/>
            <w:vAlign w:val="bottom"/>
          </w:tcPr>
          <w:p w14:paraId="570999F9" w14:textId="77777777" w:rsidR="00CE526B" w:rsidRPr="00CE526B" w:rsidDel="004713FB" w:rsidRDefault="00CE526B" w:rsidP="00CE526B">
            <w:pPr>
              <w:spacing w:before="0" w:after="0" w:line="240" w:lineRule="auto"/>
              <w:jc w:val="center"/>
              <w:rPr>
                <w:rFonts w:cs="Arial"/>
                <w:iCs/>
              </w:rPr>
            </w:pPr>
            <w:r w:rsidRPr="00CE526B">
              <w:rPr>
                <w:rFonts w:cs="Arial"/>
                <w:iCs/>
              </w:rPr>
              <w:t>TAS</w:t>
            </w:r>
          </w:p>
        </w:tc>
        <w:tc>
          <w:tcPr>
            <w:tcW w:w="4033" w:type="pct"/>
            <w:vAlign w:val="bottom"/>
          </w:tcPr>
          <w:p w14:paraId="2664CEBC" w14:textId="77777777" w:rsidR="00CE526B" w:rsidRPr="00CE526B" w:rsidDel="004713FB" w:rsidRDefault="00CE526B" w:rsidP="00CE526B">
            <w:pPr>
              <w:spacing w:before="0" w:after="0" w:line="240" w:lineRule="auto"/>
              <w:rPr>
                <w:iCs/>
                <w:szCs w:val="24"/>
              </w:rPr>
            </w:pPr>
            <w:r w:rsidRPr="00CE526B">
              <w:rPr>
                <w:iCs/>
                <w:szCs w:val="24"/>
              </w:rPr>
              <w:t xml:space="preserve">Derwent Valley </w:t>
            </w:r>
          </w:p>
        </w:tc>
      </w:tr>
      <w:tr w:rsidR="00CE526B" w:rsidRPr="00CE526B" w14:paraId="06795DC3" w14:textId="77777777" w:rsidTr="00C44A8F">
        <w:trPr>
          <w:cantSplit/>
        </w:trPr>
        <w:tc>
          <w:tcPr>
            <w:tcW w:w="967" w:type="pct"/>
            <w:vAlign w:val="bottom"/>
          </w:tcPr>
          <w:p w14:paraId="4E871106" w14:textId="77777777" w:rsidR="00CE526B" w:rsidRPr="00CE526B" w:rsidDel="004713FB" w:rsidRDefault="00CE526B" w:rsidP="00CE526B">
            <w:pPr>
              <w:spacing w:before="0" w:after="0" w:line="240" w:lineRule="auto"/>
              <w:jc w:val="center"/>
              <w:rPr>
                <w:rFonts w:cs="Arial"/>
                <w:iCs/>
              </w:rPr>
            </w:pPr>
            <w:r w:rsidRPr="00CE526B">
              <w:rPr>
                <w:rFonts w:cs="Arial"/>
                <w:iCs/>
              </w:rPr>
              <w:t>WA</w:t>
            </w:r>
          </w:p>
        </w:tc>
        <w:tc>
          <w:tcPr>
            <w:tcW w:w="4033" w:type="pct"/>
            <w:vAlign w:val="bottom"/>
          </w:tcPr>
          <w:p w14:paraId="2EA4E1DB" w14:textId="77777777" w:rsidR="00CE526B" w:rsidRPr="00CE526B" w:rsidDel="004713FB" w:rsidRDefault="00CE526B" w:rsidP="00CE526B">
            <w:pPr>
              <w:spacing w:before="0" w:after="0" w:line="240" w:lineRule="auto"/>
              <w:rPr>
                <w:iCs/>
                <w:szCs w:val="24"/>
              </w:rPr>
            </w:pPr>
            <w:r w:rsidRPr="00CE526B">
              <w:rPr>
                <w:iCs/>
                <w:szCs w:val="24"/>
              </w:rPr>
              <w:t xml:space="preserve">Carnarvon </w:t>
            </w:r>
          </w:p>
        </w:tc>
      </w:tr>
      <w:tr w:rsidR="00CE526B" w:rsidRPr="00CE526B" w14:paraId="4FD978E0" w14:textId="77777777" w:rsidTr="00C44A8F">
        <w:trPr>
          <w:cantSplit/>
        </w:trPr>
        <w:tc>
          <w:tcPr>
            <w:tcW w:w="967" w:type="pct"/>
            <w:vAlign w:val="bottom"/>
          </w:tcPr>
          <w:p w14:paraId="790EB516" w14:textId="77777777" w:rsidR="00CE526B" w:rsidRPr="00CE526B" w:rsidRDefault="00CE526B" w:rsidP="00CE526B">
            <w:pPr>
              <w:spacing w:before="0" w:after="0" w:line="240" w:lineRule="auto"/>
              <w:jc w:val="center"/>
              <w:rPr>
                <w:rFonts w:cs="Arial"/>
                <w:iCs/>
              </w:rPr>
            </w:pPr>
            <w:r w:rsidRPr="00CE526B">
              <w:rPr>
                <w:rFonts w:cs="Arial"/>
                <w:iCs/>
              </w:rPr>
              <w:t>WA</w:t>
            </w:r>
          </w:p>
        </w:tc>
        <w:tc>
          <w:tcPr>
            <w:tcW w:w="4033" w:type="pct"/>
            <w:vAlign w:val="bottom"/>
          </w:tcPr>
          <w:p w14:paraId="4446167C" w14:textId="77777777" w:rsidR="00CE526B" w:rsidRPr="00CE526B" w:rsidRDefault="00CE526B" w:rsidP="00CE526B">
            <w:pPr>
              <w:spacing w:before="0" w:after="0" w:line="240" w:lineRule="auto"/>
              <w:rPr>
                <w:iCs/>
                <w:szCs w:val="24"/>
              </w:rPr>
            </w:pPr>
            <w:r w:rsidRPr="00CE526B">
              <w:rPr>
                <w:iCs/>
                <w:szCs w:val="24"/>
              </w:rPr>
              <w:t xml:space="preserve">East Pilbara </w:t>
            </w:r>
          </w:p>
        </w:tc>
      </w:tr>
      <w:tr w:rsidR="00CE526B" w:rsidRPr="00CE526B" w14:paraId="3548D47A" w14:textId="77777777" w:rsidTr="00C44A8F">
        <w:trPr>
          <w:cantSplit/>
        </w:trPr>
        <w:tc>
          <w:tcPr>
            <w:tcW w:w="967" w:type="pct"/>
            <w:vAlign w:val="bottom"/>
          </w:tcPr>
          <w:p w14:paraId="64FEFD71" w14:textId="77777777" w:rsidR="00CE526B" w:rsidRPr="00CE526B" w:rsidRDefault="00CE526B" w:rsidP="00CE526B">
            <w:pPr>
              <w:spacing w:before="0" w:after="0" w:line="240" w:lineRule="auto"/>
              <w:jc w:val="center"/>
              <w:rPr>
                <w:rFonts w:cs="Arial"/>
                <w:iCs/>
              </w:rPr>
            </w:pPr>
            <w:r w:rsidRPr="00CE526B">
              <w:rPr>
                <w:rFonts w:cs="Arial"/>
                <w:iCs/>
              </w:rPr>
              <w:t>WA</w:t>
            </w:r>
          </w:p>
        </w:tc>
        <w:tc>
          <w:tcPr>
            <w:tcW w:w="4033" w:type="pct"/>
            <w:vAlign w:val="bottom"/>
          </w:tcPr>
          <w:p w14:paraId="254DD09D" w14:textId="77777777" w:rsidR="00CE526B" w:rsidRPr="00CE526B" w:rsidRDefault="00CE526B" w:rsidP="00CE526B">
            <w:pPr>
              <w:spacing w:before="0" w:after="0" w:line="240" w:lineRule="auto"/>
              <w:rPr>
                <w:iCs/>
                <w:szCs w:val="24"/>
              </w:rPr>
            </w:pPr>
            <w:r w:rsidRPr="00CE526B">
              <w:rPr>
                <w:iCs/>
                <w:szCs w:val="24"/>
              </w:rPr>
              <w:t xml:space="preserve">Moora </w:t>
            </w:r>
          </w:p>
        </w:tc>
      </w:tr>
      <w:tr w:rsidR="00CE526B" w:rsidRPr="00CE526B" w14:paraId="036E3321" w14:textId="77777777" w:rsidTr="00C44A8F">
        <w:trPr>
          <w:cantSplit/>
        </w:trPr>
        <w:tc>
          <w:tcPr>
            <w:tcW w:w="967" w:type="pct"/>
            <w:vAlign w:val="bottom"/>
          </w:tcPr>
          <w:p w14:paraId="460C2410" w14:textId="77777777" w:rsidR="00CE526B" w:rsidRPr="00CE526B" w:rsidRDefault="00CE526B" w:rsidP="00CE526B">
            <w:pPr>
              <w:spacing w:before="0" w:after="0" w:line="240" w:lineRule="auto"/>
              <w:jc w:val="center"/>
              <w:rPr>
                <w:rFonts w:cs="Arial"/>
                <w:iCs/>
              </w:rPr>
            </w:pPr>
            <w:r w:rsidRPr="00CE526B">
              <w:rPr>
                <w:rFonts w:cs="Arial"/>
                <w:iCs/>
              </w:rPr>
              <w:t>WA</w:t>
            </w:r>
          </w:p>
        </w:tc>
        <w:tc>
          <w:tcPr>
            <w:tcW w:w="4033" w:type="pct"/>
            <w:vAlign w:val="bottom"/>
          </w:tcPr>
          <w:p w14:paraId="5AD04830" w14:textId="77777777" w:rsidR="00CE526B" w:rsidRPr="00CE526B" w:rsidRDefault="00CE526B" w:rsidP="00CE526B">
            <w:pPr>
              <w:spacing w:before="0" w:after="0" w:line="240" w:lineRule="auto"/>
              <w:rPr>
                <w:iCs/>
                <w:szCs w:val="24"/>
              </w:rPr>
            </w:pPr>
            <w:r w:rsidRPr="00CE526B">
              <w:rPr>
                <w:iCs/>
                <w:szCs w:val="24"/>
              </w:rPr>
              <w:t xml:space="preserve">Port Hedland </w:t>
            </w:r>
          </w:p>
        </w:tc>
      </w:tr>
    </w:tbl>
    <w:p w14:paraId="72BA28C0" w14:textId="72FD4F23" w:rsidR="00411A74" w:rsidRDefault="00411A74" w:rsidP="00411A74">
      <w:pPr>
        <w:rPr>
          <w:rFonts w:cstheme="minorHAnsi"/>
          <w:szCs w:val="20"/>
        </w:rPr>
      </w:pPr>
      <w:r>
        <w:rPr>
          <w:rFonts w:cstheme="minorHAnsi"/>
          <w:szCs w:val="20"/>
        </w:rPr>
        <w:t xml:space="preserve">Is your project addressing flood risk in more than one LGA? </w:t>
      </w:r>
    </w:p>
    <w:p w14:paraId="17A3F9FE" w14:textId="70E05390" w:rsidR="00702AE4" w:rsidRDefault="00702AE4" w:rsidP="00702AE4">
      <w:pPr>
        <w:pStyle w:val="Normalexplanatory"/>
      </w:pPr>
      <w:r>
        <w:t xml:space="preserve">If yes, provide details of </w:t>
      </w:r>
      <w:r w:rsidR="00545254">
        <w:t>where and how project</w:t>
      </w:r>
      <w:r>
        <w:t xml:space="preserve"> activities will be delivered across the </w:t>
      </w:r>
      <w:r w:rsidR="00545254">
        <w:t>locations.</w:t>
      </w:r>
    </w:p>
    <w:p w14:paraId="3F15226C" w14:textId="5DEFC144" w:rsidR="00167D2F" w:rsidRPr="00167D2F" w:rsidRDefault="00167D2F" w:rsidP="003D7EE0">
      <w:pPr>
        <w:pStyle w:val="Heading3"/>
      </w:pPr>
      <w:r>
        <w:t xml:space="preserve">Project located outside Priority Local Government Area (LGAs) </w:t>
      </w:r>
    </w:p>
    <w:p w14:paraId="0EEF2481" w14:textId="6BA90E7A" w:rsidR="00702AE4" w:rsidRDefault="00184646" w:rsidP="00411A74">
      <w:pPr>
        <w:rPr>
          <w:rFonts w:cstheme="minorHAnsi"/>
          <w:szCs w:val="20"/>
        </w:rPr>
      </w:pPr>
      <w:r>
        <w:rPr>
          <w:rFonts w:cstheme="minorHAnsi"/>
          <w:szCs w:val="20"/>
        </w:rPr>
        <w:t xml:space="preserve">Is your project </w:t>
      </w:r>
      <w:r w:rsidR="00411A74">
        <w:rPr>
          <w:rFonts w:cstheme="minorHAnsi"/>
          <w:szCs w:val="20"/>
        </w:rPr>
        <w:t>located outside the priority LGAs</w:t>
      </w:r>
      <w:r>
        <w:rPr>
          <w:rFonts w:cstheme="minorHAnsi"/>
          <w:szCs w:val="20"/>
        </w:rPr>
        <w:t>?</w:t>
      </w:r>
    </w:p>
    <w:p w14:paraId="6ABA47A8" w14:textId="3FAE30D1" w:rsidR="00411A74" w:rsidRPr="0023162A" w:rsidRDefault="00184646" w:rsidP="00184646">
      <w:pPr>
        <w:pStyle w:val="Normalexplanatory"/>
        <w:rPr>
          <w:rFonts w:asciiTheme="minorHAnsi" w:hAnsiTheme="minorHAnsi" w:cstheme="minorHAnsi"/>
          <w:szCs w:val="20"/>
        </w:rPr>
      </w:pPr>
      <w:r>
        <w:t>If yes</w:t>
      </w:r>
      <w:r w:rsidR="00702AE4">
        <w:t>,</w:t>
      </w:r>
      <w:r w:rsidR="00411A74">
        <w:rPr>
          <w:rFonts w:cstheme="minorHAnsi"/>
          <w:szCs w:val="20"/>
        </w:rPr>
        <w:t xml:space="preserve"> </w:t>
      </w:r>
      <w:r w:rsidR="00702AE4">
        <w:t>p</w:t>
      </w:r>
      <w:r w:rsidR="007B51EE">
        <w:t xml:space="preserve">rovide details of where and how </w:t>
      </w:r>
      <w:r w:rsidR="00545254">
        <w:t>project activities</w:t>
      </w:r>
      <w:r w:rsidR="007B51EE">
        <w:t xml:space="preserve"> will be delivered across the locations.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lastRenderedPageBreak/>
        <w:t xml:space="preserve">Your response is limited to 750 characters including spaces and does not support formatting. </w:t>
      </w:r>
    </w:p>
    <w:p w14:paraId="1882AAF5" w14:textId="0D5E9958"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w:t>
      </w:r>
      <w:r w:rsidR="00F86DE1">
        <w:t>the community</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4683DBC9" w:rsidR="003B792F" w:rsidRPr="009E18D7" w:rsidRDefault="009E18D7" w:rsidP="003B792F">
      <w:pPr>
        <w:rPr>
          <w:i/>
          <w:color w:val="1F497D" w:themeColor="text2"/>
        </w:rPr>
      </w:pPr>
      <w:r w:rsidRPr="009E18D7">
        <w:rPr>
          <w:i/>
          <w:color w:val="1F497D" w:themeColor="text2"/>
        </w:rPr>
        <w:t>For projects over $100,000 y</w:t>
      </w:r>
      <w:r w:rsidR="003B792F" w:rsidRPr="009E18D7">
        <w:rPr>
          <w:i/>
          <w:color w:val="1F497D" w:themeColor="text2"/>
        </w:rPr>
        <w:t>ou must also provide a project plan which you should attach later in your application.</w:t>
      </w:r>
      <w:r w:rsidRPr="009E18D7">
        <w:rPr>
          <w:i/>
          <w:color w:val="1F497D" w:themeColor="text2"/>
        </w:rPr>
        <w:t xml:space="preserve">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146CB92C" w:rsidR="00041962" w:rsidRDefault="00041962" w:rsidP="00041962">
      <w:pPr>
        <w:pStyle w:val="Normalexplanatory"/>
      </w:pPr>
      <w:r w:rsidRPr="00DA7252">
        <w:t>Your project must be completed in line with the dates provided in th</w:t>
      </w:r>
      <w:r w:rsidR="00DA7252" w:rsidRPr="00DA7252">
        <w:t>e grant opportunity guidelines.</w:t>
      </w:r>
    </w:p>
    <w:p w14:paraId="470B5A62" w14:textId="4451D7E2" w:rsidR="00041962" w:rsidRPr="00DA7252" w:rsidRDefault="00041962" w:rsidP="00041962">
      <w:pPr>
        <w:pStyle w:val="Normalexplanatory"/>
        <w:rPr>
          <w:color w:val="1F497D" w:themeColor="text2"/>
        </w:rPr>
      </w:pPr>
      <w:r w:rsidRPr="00DA7252">
        <w:rPr>
          <w:color w:val="1F497D" w:themeColor="text2"/>
        </w:rPr>
        <w:t xml:space="preserve">Your project must be completed </w:t>
      </w:r>
      <w:r w:rsidR="00DA7252" w:rsidRPr="00DA7252">
        <w:rPr>
          <w:color w:val="1F497D" w:themeColor="text2"/>
        </w:rPr>
        <w:t>by 31 March 202</w:t>
      </w:r>
      <w:r w:rsidR="009C6876">
        <w:rPr>
          <w:color w:val="1F497D" w:themeColor="text2"/>
        </w:rPr>
        <w:t>5</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28A58DB" w14:textId="2DD02130" w:rsidR="00B51D67" w:rsidRPr="00DA7252" w:rsidRDefault="00CD18FB" w:rsidP="00B51D67">
      <w:pPr>
        <w:pStyle w:val="Heading3"/>
      </w:pPr>
      <w:r w:rsidRPr="00DA7252">
        <w:t>Proje</w:t>
      </w:r>
      <w:r w:rsidR="008F48A4" w:rsidRPr="00DA7252">
        <w:t>ct</w:t>
      </w:r>
      <w:r w:rsidRPr="00DA7252">
        <w:t xml:space="preserve"> m</w:t>
      </w:r>
      <w:r w:rsidR="00B51D67" w:rsidRPr="00DA7252">
        <w:t>ilestones</w:t>
      </w:r>
    </w:p>
    <w:p w14:paraId="6FD44DB0" w14:textId="0362A61F"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w:t>
      </w:r>
      <w:r w:rsidR="003024A3" w:rsidRPr="00DA7252">
        <w:t xml:space="preserve">fields. </w:t>
      </w:r>
      <w:r w:rsidR="00DA7252" w:rsidRPr="00DA7252">
        <w:t xml:space="preserve">You can add </w:t>
      </w:r>
      <w:r w:rsidR="00DA7252" w:rsidRPr="003D7EE0">
        <w:t>10</w:t>
      </w:r>
      <w:r w:rsidR="003024A3" w:rsidRPr="00DA7252">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5ABC75BF"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p>
    <w:p w14:paraId="403D1C04" w14:textId="77DA5A48" w:rsidR="00B04E0E"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lastRenderedPageBreak/>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411686FA" w14:textId="77777777" w:rsidR="009118A9" w:rsidRDefault="009118A9" w:rsidP="009118A9">
      <w:pPr>
        <w:pStyle w:val="Heading3"/>
      </w:pPr>
      <w:r>
        <w:t>Project geolocation</w:t>
      </w:r>
    </w:p>
    <w:p w14:paraId="1844F55F" w14:textId="190D9C60" w:rsidR="009118A9" w:rsidRPr="000848EF" w:rsidRDefault="009118A9" w:rsidP="009118A9">
      <w:pPr>
        <w:pStyle w:val="ListBullet"/>
        <w:numPr>
          <w:ilvl w:val="0"/>
          <w:numId w:val="0"/>
        </w:numPr>
        <w:rPr>
          <w:i/>
          <w:color w:val="264F90"/>
        </w:rPr>
      </w:pPr>
      <w:r w:rsidRPr="000848EF">
        <w:rPr>
          <w:i/>
          <w:color w:val="264F90"/>
        </w:rPr>
        <w:t xml:space="preserve">A </w:t>
      </w:r>
      <w:hyperlink r:id="rId29" w:history="1">
        <w:r w:rsidRPr="00553580">
          <w:rPr>
            <w:rStyle w:val="Hyperlink"/>
            <w:i/>
          </w:rPr>
          <w:t>mapping tool</w:t>
        </w:r>
      </w:hyperlink>
      <w:r w:rsidRPr="000848EF">
        <w:rPr>
          <w:i/>
          <w:color w:val="264F90"/>
        </w:rPr>
        <w:t xml:space="preserve"> is available to assist you in determining the location of your project. </w:t>
      </w:r>
      <w:r>
        <w:rPr>
          <w:i/>
          <w:color w:val="264F90"/>
        </w:rPr>
        <w:t>The latitude and longitude must be in numeric format. You must provide a geolocation for each project location identified.</w:t>
      </w:r>
    </w:p>
    <w:p w14:paraId="2885FB1B" w14:textId="77777777" w:rsidR="009118A9" w:rsidRDefault="009118A9" w:rsidP="009118A9">
      <w:pPr>
        <w:pStyle w:val="ListBullet"/>
        <w:numPr>
          <w:ilvl w:val="0"/>
          <w:numId w:val="0"/>
        </w:numPr>
      </w:pPr>
      <w:r>
        <w:t>Project site name</w:t>
      </w:r>
    </w:p>
    <w:p w14:paraId="36FEFA20" w14:textId="77777777" w:rsidR="009118A9" w:rsidRDefault="009118A9" w:rsidP="009118A9">
      <w:pPr>
        <w:pStyle w:val="ListBullet"/>
        <w:numPr>
          <w:ilvl w:val="0"/>
          <w:numId w:val="0"/>
        </w:numPr>
      </w:pPr>
      <w:r>
        <w:t>Project site address latitude</w:t>
      </w:r>
    </w:p>
    <w:p w14:paraId="6ECE63C1" w14:textId="77777777" w:rsidR="009118A9" w:rsidRPr="00553580" w:rsidRDefault="009118A9" w:rsidP="009118A9">
      <w:pPr>
        <w:pStyle w:val="ListBullet"/>
        <w:numPr>
          <w:ilvl w:val="0"/>
          <w:numId w:val="0"/>
        </w:numPr>
        <w:rPr>
          <w:i/>
          <w:color w:val="264F90"/>
        </w:rPr>
      </w:pPr>
      <w:r w:rsidRPr="00553580">
        <w:rPr>
          <w:i/>
          <w:color w:val="264F90"/>
        </w:rPr>
        <w:t>The latitude must be expressed in numeric format. For example, the latitude of Alice Springs is -23.6980.</w:t>
      </w:r>
    </w:p>
    <w:p w14:paraId="7ED5E3E9" w14:textId="77777777" w:rsidR="009118A9" w:rsidRDefault="009118A9" w:rsidP="009118A9">
      <w:pPr>
        <w:pStyle w:val="ListBullet"/>
        <w:numPr>
          <w:ilvl w:val="0"/>
          <w:numId w:val="0"/>
        </w:numPr>
      </w:pPr>
      <w:r w:rsidRPr="00553580">
        <w:rPr>
          <w:i/>
          <w:color w:val="264F90"/>
        </w:rPr>
        <w:t>Valid latitude ranges are -9.00000 to -44.000000</w:t>
      </w:r>
    </w:p>
    <w:p w14:paraId="6E956B23" w14:textId="77777777" w:rsidR="009118A9" w:rsidRDefault="009118A9" w:rsidP="009118A9">
      <w:pPr>
        <w:pStyle w:val="ListBullet"/>
        <w:numPr>
          <w:ilvl w:val="0"/>
          <w:numId w:val="0"/>
        </w:numPr>
      </w:pPr>
      <w:r>
        <w:t>Project site address longitude</w:t>
      </w:r>
    </w:p>
    <w:p w14:paraId="753C038A" w14:textId="77777777" w:rsidR="009118A9" w:rsidRDefault="009118A9" w:rsidP="009118A9">
      <w:pPr>
        <w:pStyle w:val="ListBullet"/>
        <w:numPr>
          <w:ilvl w:val="0"/>
          <w:numId w:val="0"/>
        </w:numPr>
      </w:pPr>
      <w:r>
        <w:rPr>
          <w:i/>
          <w:color w:val="264F90"/>
        </w:rPr>
        <w:t>The longi</w:t>
      </w:r>
      <w:r w:rsidRPr="00553580">
        <w:rPr>
          <w:i/>
          <w:color w:val="264F90"/>
        </w:rPr>
        <w:t xml:space="preserve">tude must be expressed in numeric format. For example, the </w:t>
      </w:r>
      <w:r>
        <w:rPr>
          <w:i/>
          <w:color w:val="264F90"/>
        </w:rPr>
        <w:t>longi</w:t>
      </w:r>
      <w:r w:rsidRPr="00553580">
        <w:rPr>
          <w:i/>
          <w:color w:val="264F90"/>
        </w:rPr>
        <w:t>tude</w:t>
      </w:r>
      <w:r>
        <w:rPr>
          <w:i/>
          <w:color w:val="264F90"/>
        </w:rPr>
        <w:t xml:space="preserve"> of Alice Springs is 133.</w:t>
      </w:r>
      <w:r w:rsidRPr="00553580">
        <w:rPr>
          <w:i/>
          <w:color w:val="264F90"/>
        </w:rPr>
        <w:t>8</w:t>
      </w:r>
      <w:r>
        <w:rPr>
          <w:i/>
          <w:color w:val="264F90"/>
        </w:rPr>
        <w:t>8</w:t>
      </w:r>
      <w:r w:rsidRPr="00553580">
        <w:rPr>
          <w:i/>
          <w:color w:val="264F90"/>
        </w:rPr>
        <w:t>0</w:t>
      </w:r>
      <w:r>
        <w:rPr>
          <w:i/>
          <w:color w:val="264F90"/>
        </w:rPr>
        <w:t>7</w:t>
      </w:r>
      <w:r w:rsidRPr="00553580">
        <w:rPr>
          <w:i/>
          <w:color w:val="264F90"/>
        </w:rPr>
        <w:t>.</w:t>
      </w:r>
      <w:r>
        <w:rPr>
          <w:i/>
          <w:color w:val="264F90"/>
        </w:rPr>
        <w:t>Valid longitude ranges are 112.00000 to 15</w:t>
      </w:r>
      <w:r w:rsidRPr="00553580">
        <w:rPr>
          <w:i/>
          <w:color w:val="264F90"/>
        </w:rPr>
        <w:t>4.000000</w:t>
      </w:r>
    </w:p>
    <w:p w14:paraId="014A92AD" w14:textId="77777777" w:rsidR="00C12C47" w:rsidRDefault="00C12C47" w:rsidP="00C12C47">
      <w:pPr>
        <w:pStyle w:val="Heading3"/>
      </w:pPr>
      <w:r>
        <w:t>Disclosure of financial penalties</w:t>
      </w:r>
    </w:p>
    <w:p w14:paraId="24E9AA53" w14:textId="77777777" w:rsidR="00C12C47" w:rsidRDefault="00C12C47" w:rsidP="00C12C47">
      <w:pPr>
        <w:rPr>
          <w:lang w:eastAsia="en-AU"/>
        </w:rPr>
      </w:pPr>
      <w:r w:rsidRPr="00730108">
        <w:rPr>
          <w:lang w:eastAsia="en-AU"/>
        </w:rPr>
        <w:t>Have any of your board members, management or persons of authority been subject to any pecuniary penalty, whether civil, criminal or administrative, imposed by a Commonwealth, State, or Territory court or a Commonwealth, State, or Territory entity</w:t>
      </w:r>
      <w:r>
        <w:rPr>
          <w:lang w:eastAsia="en-AU"/>
        </w:rPr>
        <w:t>?</w:t>
      </w:r>
    </w:p>
    <w:p w14:paraId="333803D4" w14:textId="77777777" w:rsidR="00C12C47" w:rsidRPr="008230DF" w:rsidRDefault="00C12C47" w:rsidP="00C12C47">
      <w:pPr>
        <w:rPr>
          <w:i/>
          <w:color w:val="264F90"/>
          <w:lang w:eastAsia="en-AU"/>
        </w:rPr>
      </w:pPr>
      <w:r w:rsidRPr="008230DF">
        <w:rPr>
          <w:i/>
          <w:color w:val="264F90"/>
          <w:lang w:eastAsia="en-AU"/>
        </w:rPr>
        <w:t>If yes</w:t>
      </w:r>
    </w:p>
    <w:p w14:paraId="06F79A8C" w14:textId="77777777" w:rsidR="00C12C47" w:rsidRPr="008230DF" w:rsidRDefault="00C12C47" w:rsidP="00C12C47">
      <w:pPr>
        <w:rPr>
          <w:lang w:eastAsia="en-AU"/>
        </w:rPr>
      </w:pPr>
      <w:r w:rsidRPr="008230DF">
        <w:rPr>
          <w:lang w:eastAsia="en-AU"/>
        </w:rPr>
        <w:t>Provide Details</w:t>
      </w:r>
    </w:p>
    <w:p w14:paraId="3BECFCD7" w14:textId="63F0A35E" w:rsidR="00C12C47" w:rsidRDefault="00C12C47" w:rsidP="00C12C47">
      <w:pPr>
        <w:pStyle w:val="ListBullet"/>
        <w:numPr>
          <w:ilvl w:val="0"/>
          <w:numId w:val="0"/>
        </w:numPr>
        <w:sectPr w:rsidR="00C12C47" w:rsidSect="00FD726E">
          <w:pgSz w:w="11906" w:h="16838" w:code="9"/>
          <w:pgMar w:top="1418" w:right="1418" w:bottom="1418" w:left="1701" w:header="709" w:footer="709" w:gutter="0"/>
          <w:cols w:space="708"/>
          <w:docGrid w:linePitch="360"/>
        </w:sectPr>
      </w:pPr>
      <w:r w:rsidRPr="008230DF">
        <w:rPr>
          <w:i/>
          <w:color w:val="264F90"/>
        </w:rPr>
        <w:t>Your response is limited to 750 characters including spaces and does not support formatting.</w:t>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628DF48" w:rsidR="00E06020" w:rsidRDefault="0020567F" w:rsidP="00405849">
      <w:r>
        <w:t>P</w:t>
      </w:r>
      <w:r w:rsidR="00954C0E">
        <w:t xml:space="preserve">rovide a summary of your </w:t>
      </w:r>
      <w:r w:rsidR="00954C0E" w:rsidRPr="00045B3D">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0D69F00C" w:rsidR="00E06020" w:rsidRPr="00045B3D" w:rsidRDefault="00E06020" w:rsidP="00C34F7D">
      <w:pPr>
        <w:pStyle w:val="Normalexplanatory"/>
      </w:pPr>
      <w:r w:rsidRPr="00045B3D">
        <w:t>The minimum project expenditure for this grant opportunity</w:t>
      </w:r>
      <w:r w:rsidR="00045B3D" w:rsidRPr="00045B3D">
        <w:t xml:space="preserve"> is $20,000</w:t>
      </w:r>
    </w:p>
    <w:p w14:paraId="0647C49A" w14:textId="7A558BBA" w:rsidR="000B4832" w:rsidRPr="000B4832" w:rsidRDefault="000B4832" w:rsidP="000B4832">
      <w:pPr>
        <w:rPr>
          <w:i/>
          <w:color w:val="365F91" w:themeColor="accent1" w:themeShade="BF"/>
        </w:rPr>
      </w:pPr>
      <w:r w:rsidRPr="000B4832">
        <w:rPr>
          <w:i/>
          <w:color w:val="365F91" w:themeColor="accent1" w:themeShade="BF"/>
        </w:rPr>
        <w:t xml:space="preserve">If your application is successful, we </w:t>
      </w:r>
      <w:r w:rsidR="00411A74">
        <w:rPr>
          <w:i/>
          <w:color w:val="365F91" w:themeColor="accent1" w:themeShade="BF"/>
        </w:rPr>
        <w:t xml:space="preserve">may </w:t>
      </w:r>
      <w:r w:rsidRPr="000B4832">
        <w:rPr>
          <w:i/>
          <w:color w:val="365F91" w:themeColor="accent1" w:themeShade="BF"/>
        </w:rPr>
        <w:t xml:space="preserve">ask you to verify the project budget that you provided in your application when we negotiate your grant agreement. You may need to provide evidence such as quotes for major costs.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C44A8F" w:rsidRPr="004537E2" w14:paraId="65A8B3B0" w14:textId="77777777" w:rsidTr="00C44A8F">
        <w:trPr>
          <w:cantSplit/>
          <w:tblHeader/>
        </w:trPr>
        <w:tc>
          <w:tcPr>
            <w:tcW w:w="2265" w:type="dxa"/>
          </w:tcPr>
          <w:p w14:paraId="74DF30F2" w14:textId="77777777" w:rsidR="00C44A8F" w:rsidRPr="004537E2" w:rsidRDefault="00C44A8F" w:rsidP="00C44A8F">
            <w:pPr>
              <w:rPr>
                <w:b/>
              </w:rPr>
            </w:pPr>
            <w:r>
              <w:rPr>
                <w:b/>
              </w:rPr>
              <w:t>Type of expenditure</w:t>
            </w:r>
          </w:p>
        </w:tc>
        <w:tc>
          <w:tcPr>
            <w:tcW w:w="2410" w:type="dxa"/>
          </w:tcPr>
          <w:p w14:paraId="31659C5E" w14:textId="77777777" w:rsidR="00C44A8F" w:rsidRPr="004537E2" w:rsidRDefault="00C44A8F" w:rsidP="00C44A8F">
            <w:pPr>
              <w:rPr>
                <w:b/>
              </w:rPr>
            </w:pPr>
            <w:r>
              <w:rPr>
                <w:b/>
              </w:rPr>
              <w:t>Head of expenditure</w:t>
            </w:r>
          </w:p>
        </w:tc>
        <w:tc>
          <w:tcPr>
            <w:tcW w:w="2126" w:type="dxa"/>
          </w:tcPr>
          <w:p w14:paraId="222C7DB8" w14:textId="77777777" w:rsidR="00C44A8F" w:rsidRPr="004537E2" w:rsidRDefault="00C44A8F" w:rsidP="00C44A8F">
            <w:pPr>
              <w:rPr>
                <w:b/>
              </w:rPr>
            </w:pPr>
            <w:r w:rsidRPr="004537E2">
              <w:rPr>
                <w:b/>
              </w:rPr>
              <w:t>Financial Year</w:t>
            </w:r>
          </w:p>
        </w:tc>
        <w:tc>
          <w:tcPr>
            <w:tcW w:w="1976" w:type="dxa"/>
          </w:tcPr>
          <w:p w14:paraId="1FDFBED5" w14:textId="77777777" w:rsidR="00C44A8F" w:rsidRPr="004537E2" w:rsidRDefault="00C44A8F" w:rsidP="00C44A8F">
            <w:pPr>
              <w:rPr>
                <w:b/>
              </w:rPr>
            </w:pPr>
            <w:r w:rsidRPr="004537E2">
              <w:rPr>
                <w:b/>
              </w:rPr>
              <w:t>Cost</w:t>
            </w:r>
          </w:p>
        </w:tc>
      </w:tr>
      <w:tr w:rsidR="00C44A8F" w14:paraId="7A7F2739" w14:textId="77777777" w:rsidTr="00C44A8F">
        <w:trPr>
          <w:cantSplit/>
        </w:trPr>
        <w:tc>
          <w:tcPr>
            <w:tcW w:w="2265" w:type="dxa"/>
            <w:shd w:val="clear" w:color="auto" w:fill="F2F2F2" w:themeFill="background1" w:themeFillShade="F2"/>
          </w:tcPr>
          <w:p w14:paraId="14025DA0" w14:textId="77777777" w:rsidR="00C44A8F" w:rsidRDefault="00C44A8F" w:rsidP="00C44A8F">
            <w:r>
              <w:t>Project expenditure</w:t>
            </w:r>
          </w:p>
        </w:tc>
        <w:tc>
          <w:tcPr>
            <w:tcW w:w="2410" w:type="dxa"/>
            <w:shd w:val="clear" w:color="auto" w:fill="F2F2F2" w:themeFill="background1" w:themeFillShade="F2"/>
          </w:tcPr>
          <w:p w14:paraId="39CE922D" w14:textId="77777777" w:rsidR="00C44A8F" w:rsidRDefault="00C44A8F" w:rsidP="00C44A8F"/>
        </w:tc>
        <w:tc>
          <w:tcPr>
            <w:tcW w:w="2126" w:type="dxa"/>
            <w:shd w:val="clear" w:color="auto" w:fill="F2F2F2" w:themeFill="background1" w:themeFillShade="F2"/>
          </w:tcPr>
          <w:p w14:paraId="44CA9406" w14:textId="77777777" w:rsidR="00C44A8F" w:rsidRDefault="00C44A8F" w:rsidP="00C44A8F"/>
        </w:tc>
        <w:tc>
          <w:tcPr>
            <w:tcW w:w="1976" w:type="dxa"/>
            <w:shd w:val="clear" w:color="auto" w:fill="F2F2F2" w:themeFill="background1" w:themeFillShade="F2"/>
          </w:tcPr>
          <w:p w14:paraId="2A9D958E" w14:textId="77777777" w:rsidR="00C44A8F" w:rsidRDefault="00C44A8F" w:rsidP="00C44A8F">
            <w:r>
              <w:t>$</w:t>
            </w:r>
          </w:p>
        </w:tc>
      </w:tr>
      <w:tr w:rsidR="00C44A8F" w14:paraId="559C5AF8" w14:textId="77777777" w:rsidTr="00C44A8F">
        <w:trPr>
          <w:cantSplit/>
        </w:trPr>
        <w:tc>
          <w:tcPr>
            <w:tcW w:w="2265" w:type="dxa"/>
            <w:shd w:val="clear" w:color="auto" w:fill="F2F2F2" w:themeFill="background1" w:themeFillShade="F2"/>
          </w:tcPr>
          <w:p w14:paraId="7B10B036" w14:textId="77777777" w:rsidR="00C44A8F" w:rsidRPr="0097129A" w:rsidRDefault="00C44A8F" w:rsidP="00C44A8F"/>
        </w:tc>
        <w:tc>
          <w:tcPr>
            <w:tcW w:w="2410" w:type="dxa"/>
            <w:shd w:val="clear" w:color="auto" w:fill="F2F2F2" w:themeFill="background1" w:themeFillShade="F2"/>
          </w:tcPr>
          <w:p w14:paraId="4A450738" w14:textId="77777777" w:rsidR="00C44A8F" w:rsidRPr="0097129A" w:rsidRDefault="00C44A8F" w:rsidP="00C44A8F">
            <w:r>
              <w:t>Equipment/ Materials (purchase or hire)</w:t>
            </w:r>
          </w:p>
        </w:tc>
        <w:tc>
          <w:tcPr>
            <w:tcW w:w="2126" w:type="dxa"/>
            <w:shd w:val="clear" w:color="auto" w:fill="F2F2F2" w:themeFill="background1" w:themeFillShade="F2"/>
          </w:tcPr>
          <w:p w14:paraId="5532D612" w14:textId="77777777" w:rsidR="00C44A8F" w:rsidRPr="0097129A" w:rsidRDefault="00C44A8F" w:rsidP="00C44A8F"/>
        </w:tc>
        <w:tc>
          <w:tcPr>
            <w:tcW w:w="1976" w:type="dxa"/>
            <w:shd w:val="clear" w:color="auto" w:fill="F2F2F2" w:themeFill="background1" w:themeFillShade="F2"/>
          </w:tcPr>
          <w:p w14:paraId="1A4B4B81" w14:textId="77777777" w:rsidR="00C44A8F" w:rsidRDefault="00C44A8F" w:rsidP="00C44A8F">
            <w:r>
              <w:t>$</w:t>
            </w:r>
          </w:p>
        </w:tc>
      </w:tr>
      <w:tr w:rsidR="00E778BA" w14:paraId="7428D062" w14:textId="77777777" w:rsidTr="00C44A8F">
        <w:trPr>
          <w:cantSplit/>
        </w:trPr>
        <w:tc>
          <w:tcPr>
            <w:tcW w:w="2265" w:type="dxa"/>
          </w:tcPr>
          <w:p w14:paraId="45186F13" w14:textId="77777777" w:rsidR="00E778BA" w:rsidRPr="0097129A" w:rsidRDefault="00E778BA" w:rsidP="00C44A8F"/>
        </w:tc>
        <w:tc>
          <w:tcPr>
            <w:tcW w:w="2410" w:type="dxa"/>
          </w:tcPr>
          <w:p w14:paraId="5569FCE6" w14:textId="77777777" w:rsidR="00E778BA" w:rsidRPr="0097129A" w:rsidRDefault="00E778BA" w:rsidP="00C44A8F"/>
        </w:tc>
        <w:tc>
          <w:tcPr>
            <w:tcW w:w="2126" w:type="dxa"/>
          </w:tcPr>
          <w:p w14:paraId="5E17EAF4" w14:textId="43F856FB" w:rsidR="00E778BA" w:rsidRDefault="00E778BA" w:rsidP="00C44A8F">
            <w:r>
              <w:t>2021/22</w:t>
            </w:r>
          </w:p>
        </w:tc>
        <w:tc>
          <w:tcPr>
            <w:tcW w:w="1976" w:type="dxa"/>
          </w:tcPr>
          <w:p w14:paraId="569D85F4" w14:textId="115ADAA5" w:rsidR="00E778BA" w:rsidRDefault="008C4780" w:rsidP="00C44A8F">
            <w:r>
              <w:t>$</w:t>
            </w:r>
          </w:p>
        </w:tc>
      </w:tr>
      <w:tr w:rsidR="00C44A8F" w14:paraId="10385E0A" w14:textId="77777777" w:rsidTr="00C44A8F">
        <w:trPr>
          <w:cantSplit/>
        </w:trPr>
        <w:tc>
          <w:tcPr>
            <w:tcW w:w="2265" w:type="dxa"/>
          </w:tcPr>
          <w:p w14:paraId="6A5AC464" w14:textId="77777777" w:rsidR="00C44A8F" w:rsidRPr="0097129A" w:rsidRDefault="00C44A8F" w:rsidP="00C44A8F"/>
        </w:tc>
        <w:tc>
          <w:tcPr>
            <w:tcW w:w="2410" w:type="dxa"/>
          </w:tcPr>
          <w:p w14:paraId="372D2A89" w14:textId="77777777" w:rsidR="00C44A8F" w:rsidRPr="0097129A" w:rsidRDefault="00C44A8F" w:rsidP="00C44A8F"/>
        </w:tc>
        <w:tc>
          <w:tcPr>
            <w:tcW w:w="2126" w:type="dxa"/>
          </w:tcPr>
          <w:p w14:paraId="5AC5AD6C" w14:textId="104C9949" w:rsidR="00C44A8F" w:rsidRPr="0097129A" w:rsidRDefault="004C5457" w:rsidP="00C44A8F">
            <w:r>
              <w:t>2022/23</w:t>
            </w:r>
          </w:p>
        </w:tc>
        <w:tc>
          <w:tcPr>
            <w:tcW w:w="1976" w:type="dxa"/>
          </w:tcPr>
          <w:p w14:paraId="6C9AF866" w14:textId="77777777" w:rsidR="00C44A8F" w:rsidRDefault="00C44A8F" w:rsidP="00C44A8F">
            <w:r>
              <w:t xml:space="preserve">$ </w:t>
            </w:r>
          </w:p>
        </w:tc>
      </w:tr>
      <w:tr w:rsidR="00C44A8F" w14:paraId="7CA93A20" w14:textId="77777777" w:rsidTr="00C44A8F">
        <w:trPr>
          <w:cantSplit/>
        </w:trPr>
        <w:tc>
          <w:tcPr>
            <w:tcW w:w="2265" w:type="dxa"/>
          </w:tcPr>
          <w:p w14:paraId="5D7C5835" w14:textId="77777777" w:rsidR="00C44A8F" w:rsidRPr="0097129A" w:rsidRDefault="00C44A8F" w:rsidP="00C44A8F"/>
        </w:tc>
        <w:tc>
          <w:tcPr>
            <w:tcW w:w="2410" w:type="dxa"/>
          </w:tcPr>
          <w:p w14:paraId="0650DA66" w14:textId="77777777" w:rsidR="00C44A8F" w:rsidRPr="0097129A" w:rsidRDefault="00C44A8F" w:rsidP="00C44A8F"/>
        </w:tc>
        <w:tc>
          <w:tcPr>
            <w:tcW w:w="2126" w:type="dxa"/>
          </w:tcPr>
          <w:p w14:paraId="66D7392B" w14:textId="071D1106" w:rsidR="00C44A8F" w:rsidRPr="0097129A" w:rsidRDefault="004C5457" w:rsidP="00C44A8F">
            <w:r>
              <w:t>2023/24</w:t>
            </w:r>
          </w:p>
        </w:tc>
        <w:tc>
          <w:tcPr>
            <w:tcW w:w="1976" w:type="dxa"/>
          </w:tcPr>
          <w:p w14:paraId="69B916B6" w14:textId="77777777" w:rsidR="00C44A8F" w:rsidRDefault="00C44A8F" w:rsidP="00C44A8F">
            <w:r>
              <w:t>$</w:t>
            </w:r>
          </w:p>
        </w:tc>
      </w:tr>
      <w:tr w:rsidR="00C44A8F" w14:paraId="69AFFA58" w14:textId="77777777" w:rsidTr="00C44A8F">
        <w:trPr>
          <w:cantSplit/>
        </w:trPr>
        <w:tc>
          <w:tcPr>
            <w:tcW w:w="2265" w:type="dxa"/>
          </w:tcPr>
          <w:p w14:paraId="0327E10E" w14:textId="77777777" w:rsidR="00C44A8F" w:rsidRPr="0097129A" w:rsidRDefault="00C44A8F" w:rsidP="00C44A8F"/>
        </w:tc>
        <w:tc>
          <w:tcPr>
            <w:tcW w:w="2410" w:type="dxa"/>
          </w:tcPr>
          <w:p w14:paraId="2BF17A47" w14:textId="77777777" w:rsidR="00C44A8F" w:rsidRPr="0097129A" w:rsidRDefault="00C44A8F" w:rsidP="00C44A8F"/>
        </w:tc>
        <w:tc>
          <w:tcPr>
            <w:tcW w:w="2126" w:type="dxa"/>
          </w:tcPr>
          <w:p w14:paraId="69ECC55E" w14:textId="1A8CB1BA" w:rsidR="00C44A8F" w:rsidRPr="0097129A" w:rsidRDefault="004C5457" w:rsidP="00C44A8F">
            <w:r>
              <w:t>2024/25</w:t>
            </w:r>
          </w:p>
        </w:tc>
        <w:tc>
          <w:tcPr>
            <w:tcW w:w="1976" w:type="dxa"/>
          </w:tcPr>
          <w:p w14:paraId="3B5C943F" w14:textId="77777777" w:rsidR="00C44A8F" w:rsidRDefault="00C44A8F" w:rsidP="00C44A8F">
            <w:r>
              <w:t>$</w:t>
            </w:r>
          </w:p>
        </w:tc>
      </w:tr>
      <w:tr w:rsidR="00C44A8F" w14:paraId="4FEF18A6" w14:textId="77777777" w:rsidTr="00C44A8F">
        <w:trPr>
          <w:cantSplit/>
        </w:trPr>
        <w:tc>
          <w:tcPr>
            <w:tcW w:w="2265" w:type="dxa"/>
            <w:shd w:val="clear" w:color="auto" w:fill="F2F2F2" w:themeFill="background1" w:themeFillShade="F2"/>
          </w:tcPr>
          <w:p w14:paraId="1F23EA6C" w14:textId="77777777" w:rsidR="00C44A8F" w:rsidRPr="0097129A" w:rsidRDefault="00C44A8F" w:rsidP="00C44A8F"/>
        </w:tc>
        <w:tc>
          <w:tcPr>
            <w:tcW w:w="2410" w:type="dxa"/>
            <w:shd w:val="clear" w:color="auto" w:fill="F2F2F2" w:themeFill="background1" w:themeFillShade="F2"/>
          </w:tcPr>
          <w:p w14:paraId="3FE4ECA7" w14:textId="6166A1E1" w:rsidR="00C44A8F" w:rsidRPr="0097129A" w:rsidRDefault="005D2E80" w:rsidP="00F41EB5">
            <w:r>
              <w:t xml:space="preserve">Labour </w:t>
            </w:r>
          </w:p>
        </w:tc>
        <w:tc>
          <w:tcPr>
            <w:tcW w:w="2126" w:type="dxa"/>
            <w:shd w:val="clear" w:color="auto" w:fill="F2F2F2" w:themeFill="background1" w:themeFillShade="F2"/>
          </w:tcPr>
          <w:p w14:paraId="4C579E14" w14:textId="77777777" w:rsidR="00C44A8F" w:rsidRPr="0097129A" w:rsidRDefault="00C44A8F" w:rsidP="00C44A8F"/>
        </w:tc>
        <w:tc>
          <w:tcPr>
            <w:tcW w:w="1976" w:type="dxa"/>
            <w:shd w:val="clear" w:color="auto" w:fill="F2F2F2" w:themeFill="background1" w:themeFillShade="F2"/>
          </w:tcPr>
          <w:p w14:paraId="5858562E" w14:textId="77777777" w:rsidR="00C44A8F" w:rsidRDefault="00C44A8F" w:rsidP="00C44A8F">
            <w:r>
              <w:t>$</w:t>
            </w:r>
          </w:p>
        </w:tc>
      </w:tr>
      <w:tr w:rsidR="008C4780" w14:paraId="5116B07D" w14:textId="77777777" w:rsidTr="00C44A8F">
        <w:trPr>
          <w:cantSplit/>
        </w:trPr>
        <w:tc>
          <w:tcPr>
            <w:tcW w:w="2265" w:type="dxa"/>
          </w:tcPr>
          <w:p w14:paraId="20D7B4FD" w14:textId="77777777" w:rsidR="008C4780" w:rsidRPr="0097129A" w:rsidRDefault="008C4780" w:rsidP="004C5457"/>
        </w:tc>
        <w:tc>
          <w:tcPr>
            <w:tcW w:w="2410" w:type="dxa"/>
          </w:tcPr>
          <w:p w14:paraId="0E471B3D" w14:textId="77777777" w:rsidR="008C4780" w:rsidRPr="0097129A" w:rsidRDefault="008C4780" w:rsidP="004C5457"/>
        </w:tc>
        <w:tc>
          <w:tcPr>
            <w:tcW w:w="2126" w:type="dxa"/>
          </w:tcPr>
          <w:p w14:paraId="58ECB805" w14:textId="3D489047" w:rsidR="008C4780" w:rsidRDefault="008C4780" w:rsidP="004C5457">
            <w:r>
              <w:t>2021/22</w:t>
            </w:r>
          </w:p>
        </w:tc>
        <w:tc>
          <w:tcPr>
            <w:tcW w:w="1976" w:type="dxa"/>
          </w:tcPr>
          <w:p w14:paraId="0C5C6EE3" w14:textId="6192E3E2" w:rsidR="008C4780" w:rsidRDefault="008C4780" w:rsidP="004C5457">
            <w:r>
              <w:t>$</w:t>
            </w:r>
          </w:p>
        </w:tc>
      </w:tr>
      <w:tr w:rsidR="004C5457" w14:paraId="61B55174" w14:textId="77777777" w:rsidTr="00C44A8F">
        <w:trPr>
          <w:cantSplit/>
        </w:trPr>
        <w:tc>
          <w:tcPr>
            <w:tcW w:w="2265" w:type="dxa"/>
          </w:tcPr>
          <w:p w14:paraId="22916E66" w14:textId="77777777" w:rsidR="004C5457" w:rsidRPr="0097129A" w:rsidRDefault="004C5457" w:rsidP="004C5457"/>
        </w:tc>
        <w:tc>
          <w:tcPr>
            <w:tcW w:w="2410" w:type="dxa"/>
          </w:tcPr>
          <w:p w14:paraId="40450D94" w14:textId="77777777" w:rsidR="004C5457" w:rsidRPr="0097129A" w:rsidRDefault="004C5457" w:rsidP="004C5457"/>
        </w:tc>
        <w:tc>
          <w:tcPr>
            <w:tcW w:w="2126" w:type="dxa"/>
          </w:tcPr>
          <w:p w14:paraId="3426CE64" w14:textId="7616C6C2" w:rsidR="004C5457" w:rsidRPr="0097129A" w:rsidRDefault="004C5457" w:rsidP="004C5457">
            <w:r>
              <w:t>2022/23</w:t>
            </w:r>
          </w:p>
        </w:tc>
        <w:tc>
          <w:tcPr>
            <w:tcW w:w="1976" w:type="dxa"/>
          </w:tcPr>
          <w:p w14:paraId="4FC8B42F" w14:textId="77777777" w:rsidR="004C5457" w:rsidRDefault="004C5457" w:rsidP="004C5457">
            <w:r>
              <w:t xml:space="preserve">$ </w:t>
            </w:r>
          </w:p>
        </w:tc>
      </w:tr>
      <w:tr w:rsidR="004C5457" w14:paraId="2A57D8B7" w14:textId="77777777" w:rsidTr="00C44A8F">
        <w:trPr>
          <w:cantSplit/>
        </w:trPr>
        <w:tc>
          <w:tcPr>
            <w:tcW w:w="2265" w:type="dxa"/>
          </w:tcPr>
          <w:p w14:paraId="0402BBF1" w14:textId="77777777" w:rsidR="004C5457" w:rsidRPr="0097129A" w:rsidRDefault="004C5457" w:rsidP="004C5457"/>
        </w:tc>
        <w:tc>
          <w:tcPr>
            <w:tcW w:w="2410" w:type="dxa"/>
          </w:tcPr>
          <w:p w14:paraId="77F0B622" w14:textId="77777777" w:rsidR="004C5457" w:rsidRPr="0097129A" w:rsidRDefault="004C5457" w:rsidP="004C5457"/>
        </w:tc>
        <w:tc>
          <w:tcPr>
            <w:tcW w:w="2126" w:type="dxa"/>
          </w:tcPr>
          <w:p w14:paraId="68882F49" w14:textId="778D232A" w:rsidR="004C5457" w:rsidRPr="0097129A" w:rsidRDefault="004C5457" w:rsidP="004C5457">
            <w:r>
              <w:t>2023/24</w:t>
            </w:r>
          </w:p>
        </w:tc>
        <w:tc>
          <w:tcPr>
            <w:tcW w:w="1976" w:type="dxa"/>
          </w:tcPr>
          <w:p w14:paraId="4B8AE3F4" w14:textId="77777777" w:rsidR="004C5457" w:rsidRDefault="004C5457" w:rsidP="004C5457">
            <w:r>
              <w:t>$</w:t>
            </w:r>
          </w:p>
        </w:tc>
      </w:tr>
      <w:tr w:rsidR="004C5457" w14:paraId="002B73FA" w14:textId="77777777" w:rsidTr="00C44A8F">
        <w:trPr>
          <w:cantSplit/>
        </w:trPr>
        <w:tc>
          <w:tcPr>
            <w:tcW w:w="2265" w:type="dxa"/>
          </w:tcPr>
          <w:p w14:paraId="0721AC7E" w14:textId="77777777" w:rsidR="004C5457" w:rsidRPr="0097129A" w:rsidRDefault="004C5457" w:rsidP="004C5457"/>
        </w:tc>
        <w:tc>
          <w:tcPr>
            <w:tcW w:w="2410" w:type="dxa"/>
          </w:tcPr>
          <w:p w14:paraId="31E3003E" w14:textId="77777777" w:rsidR="004C5457" w:rsidRPr="0097129A" w:rsidRDefault="004C5457" w:rsidP="004C5457"/>
        </w:tc>
        <w:tc>
          <w:tcPr>
            <w:tcW w:w="2126" w:type="dxa"/>
          </w:tcPr>
          <w:p w14:paraId="6C8D1347" w14:textId="785B03AF" w:rsidR="004C5457" w:rsidRPr="0097129A" w:rsidRDefault="004C5457" w:rsidP="004C5457">
            <w:r>
              <w:t>2024/25</w:t>
            </w:r>
          </w:p>
        </w:tc>
        <w:tc>
          <w:tcPr>
            <w:tcW w:w="1976" w:type="dxa"/>
          </w:tcPr>
          <w:p w14:paraId="7B2972F1" w14:textId="77777777" w:rsidR="004C5457" w:rsidRDefault="004C5457" w:rsidP="004C5457">
            <w:r>
              <w:t>$</w:t>
            </w:r>
          </w:p>
        </w:tc>
      </w:tr>
      <w:tr w:rsidR="008A4BE2" w14:paraId="3DD93119" w14:textId="77777777" w:rsidTr="008A4BE2">
        <w:trPr>
          <w:cantSplit/>
        </w:trPr>
        <w:tc>
          <w:tcPr>
            <w:tcW w:w="2265" w:type="dxa"/>
            <w:shd w:val="clear" w:color="auto" w:fill="F2F2F2" w:themeFill="background1" w:themeFillShade="F2"/>
          </w:tcPr>
          <w:p w14:paraId="5F978B3A" w14:textId="7A7E8172" w:rsidR="008A4BE2" w:rsidRPr="0097129A" w:rsidRDefault="008A4BE2" w:rsidP="008A4BE2"/>
        </w:tc>
        <w:tc>
          <w:tcPr>
            <w:tcW w:w="2410" w:type="dxa"/>
            <w:shd w:val="clear" w:color="auto" w:fill="F2F2F2" w:themeFill="background1" w:themeFillShade="F2"/>
          </w:tcPr>
          <w:p w14:paraId="53C50869" w14:textId="575C00AB" w:rsidR="008A4BE2" w:rsidRPr="0097129A" w:rsidRDefault="008A4BE2" w:rsidP="008A4BE2">
            <w:r>
              <w:t>Labour on costs</w:t>
            </w:r>
          </w:p>
        </w:tc>
        <w:tc>
          <w:tcPr>
            <w:tcW w:w="2126" w:type="dxa"/>
            <w:shd w:val="clear" w:color="auto" w:fill="F2F2F2" w:themeFill="background1" w:themeFillShade="F2"/>
          </w:tcPr>
          <w:p w14:paraId="48E083E7" w14:textId="77777777" w:rsidR="008A4BE2" w:rsidRDefault="008A4BE2" w:rsidP="008A4BE2"/>
        </w:tc>
        <w:tc>
          <w:tcPr>
            <w:tcW w:w="1976" w:type="dxa"/>
            <w:shd w:val="clear" w:color="auto" w:fill="F2F2F2" w:themeFill="background1" w:themeFillShade="F2"/>
          </w:tcPr>
          <w:p w14:paraId="68311400" w14:textId="6FE68B64" w:rsidR="008A4BE2" w:rsidRDefault="008A4BE2" w:rsidP="008A4BE2">
            <w:r>
              <w:t>$</w:t>
            </w:r>
          </w:p>
        </w:tc>
      </w:tr>
      <w:tr w:rsidR="008A4BE2" w14:paraId="0A5079F9" w14:textId="77777777" w:rsidTr="00C44A8F">
        <w:trPr>
          <w:cantSplit/>
        </w:trPr>
        <w:tc>
          <w:tcPr>
            <w:tcW w:w="2265" w:type="dxa"/>
          </w:tcPr>
          <w:p w14:paraId="67777A3C" w14:textId="0D397267" w:rsidR="008A4BE2" w:rsidRDefault="008A4BE2" w:rsidP="008A4BE2"/>
        </w:tc>
        <w:tc>
          <w:tcPr>
            <w:tcW w:w="2410" w:type="dxa"/>
          </w:tcPr>
          <w:p w14:paraId="6D9944FC" w14:textId="77777777" w:rsidR="008A4BE2" w:rsidRPr="0097129A" w:rsidRDefault="008A4BE2" w:rsidP="008A4BE2"/>
        </w:tc>
        <w:tc>
          <w:tcPr>
            <w:tcW w:w="2126" w:type="dxa"/>
          </w:tcPr>
          <w:p w14:paraId="2BF86BB0" w14:textId="6FBD636B" w:rsidR="008A4BE2" w:rsidRDefault="008A4BE2" w:rsidP="008A4BE2">
            <w:r>
              <w:t>2021/22</w:t>
            </w:r>
          </w:p>
        </w:tc>
        <w:tc>
          <w:tcPr>
            <w:tcW w:w="1976" w:type="dxa"/>
          </w:tcPr>
          <w:p w14:paraId="74480764" w14:textId="70A536EF" w:rsidR="008A4BE2" w:rsidRDefault="008A4BE2" w:rsidP="008A4BE2">
            <w:r>
              <w:t>$</w:t>
            </w:r>
          </w:p>
        </w:tc>
      </w:tr>
      <w:tr w:rsidR="008A4BE2" w14:paraId="0606BAB3" w14:textId="77777777" w:rsidTr="00C44A8F">
        <w:trPr>
          <w:cantSplit/>
        </w:trPr>
        <w:tc>
          <w:tcPr>
            <w:tcW w:w="2265" w:type="dxa"/>
          </w:tcPr>
          <w:p w14:paraId="4FA69BB4" w14:textId="08639DB1" w:rsidR="008A4BE2" w:rsidRDefault="008A4BE2" w:rsidP="008A4BE2"/>
        </w:tc>
        <w:tc>
          <w:tcPr>
            <w:tcW w:w="2410" w:type="dxa"/>
          </w:tcPr>
          <w:p w14:paraId="45B020BB" w14:textId="77777777" w:rsidR="008A4BE2" w:rsidRPr="0097129A" w:rsidRDefault="008A4BE2" w:rsidP="008A4BE2"/>
        </w:tc>
        <w:tc>
          <w:tcPr>
            <w:tcW w:w="2126" w:type="dxa"/>
          </w:tcPr>
          <w:p w14:paraId="10E485B2" w14:textId="1689C824" w:rsidR="008A4BE2" w:rsidRDefault="008A4BE2" w:rsidP="008A4BE2">
            <w:r>
              <w:t>2022/23</w:t>
            </w:r>
          </w:p>
        </w:tc>
        <w:tc>
          <w:tcPr>
            <w:tcW w:w="1976" w:type="dxa"/>
          </w:tcPr>
          <w:p w14:paraId="29E9B663" w14:textId="4CCDA5EF" w:rsidR="008A4BE2" w:rsidRDefault="008A4BE2" w:rsidP="008A4BE2">
            <w:r>
              <w:t xml:space="preserve">$ </w:t>
            </w:r>
          </w:p>
        </w:tc>
      </w:tr>
      <w:tr w:rsidR="008A4BE2" w14:paraId="25F9CA4E" w14:textId="77777777" w:rsidTr="00C44A8F">
        <w:trPr>
          <w:cantSplit/>
        </w:trPr>
        <w:tc>
          <w:tcPr>
            <w:tcW w:w="2265" w:type="dxa"/>
          </w:tcPr>
          <w:p w14:paraId="22347227" w14:textId="651409ED" w:rsidR="008A4BE2" w:rsidRDefault="008A4BE2" w:rsidP="008A4BE2"/>
        </w:tc>
        <w:tc>
          <w:tcPr>
            <w:tcW w:w="2410" w:type="dxa"/>
          </w:tcPr>
          <w:p w14:paraId="510C0C93" w14:textId="77777777" w:rsidR="008A4BE2" w:rsidRPr="0097129A" w:rsidRDefault="008A4BE2" w:rsidP="008A4BE2"/>
        </w:tc>
        <w:tc>
          <w:tcPr>
            <w:tcW w:w="2126" w:type="dxa"/>
          </w:tcPr>
          <w:p w14:paraId="564B3C0B" w14:textId="7CB48931" w:rsidR="008A4BE2" w:rsidRDefault="008A4BE2" w:rsidP="008A4BE2">
            <w:r>
              <w:t>2023/24</w:t>
            </w:r>
          </w:p>
        </w:tc>
        <w:tc>
          <w:tcPr>
            <w:tcW w:w="1976" w:type="dxa"/>
          </w:tcPr>
          <w:p w14:paraId="1F4B4744" w14:textId="6A233E25" w:rsidR="008A4BE2" w:rsidRDefault="008A4BE2" w:rsidP="008A4BE2">
            <w:r>
              <w:t>$</w:t>
            </w:r>
          </w:p>
        </w:tc>
      </w:tr>
      <w:tr w:rsidR="008A4BE2" w14:paraId="789361D9" w14:textId="77777777" w:rsidTr="00C44A8F">
        <w:trPr>
          <w:cantSplit/>
        </w:trPr>
        <w:tc>
          <w:tcPr>
            <w:tcW w:w="2265" w:type="dxa"/>
          </w:tcPr>
          <w:p w14:paraId="24461BB7" w14:textId="1E70D835" w:rsidR="008A4BE2" w:rsidRDefault="008A4BE2" w:rsidP="008A4BE2"/>
        </w:tc>
        <w:tc>
          <w:tcPr>
            <w:tcW w:w="2410" w:type="dxa"/>
          </w:tcPr>
          <w:p w14:paraId="30A1F627" w14:textId="77777777" w:rsidR="008A4BE2" w:rsidRPr="0097129A" w:rsidRDefault="008A4BE2" w:rsidP="008A4BE2"/>
        </w:tc>
        <w:tc>
          <w:tcPr>
            <w:tcW w:w="2126" w:type="dxa"/>
          </w:tcPr>
          <w:p w14:paraId="506CF243" w14:textId="4591C5C6" w:rsidR="008A4BE2" w:rsidRDefault="008A4BE2" w:rsidP="008A4BE2">
            <w:r>
              <w:t>2024/25</w:t>
            </w:r>
          </w:p>
        </w:tc>
        <w:tc>
          <w:tcPr>
            <w:tcW w:w="1976" w:type="dxa"/>
          </w:tcPr>
          <w:p w14:paraId="7E96C1BD" w14:textId="03F30E1B" w:rsidR="008A4BE2" w:rsidRDefault="008A4BE2" w:rsidP="008A4BE2">
            <w:r>
              <w:t>$</w:t>
            </w:r>
          </w:p>
        </w:tc>
      </w:tr>
      <w:tr w:rsidR="00C44A8F" w14:paraId="558681A0" w14:textId="77777777" w:rsidTr="00C44A8F">
        <w:trPr>
          <w:cantSplit/>
        </w:trPr>
        <w:tc>
          <w:tcPr>
            <w:tcW w:w="2265" w:type="dxa"/>
            <w:shd w:val="clear" w:color="auto" w:fill="F2F2F2" w:themeFill="background1" w:themeFillShade="F2"/>
          </w:tcPr>
          <w:p w14:paraId="1E0CEB01" w14:textId="77777777" w:rsidR="00C44A8F" w:rsidRPr="0097129A" w:rsidRDefault="00C44A8F" w:rsidP="00C44A8F"/>
        </w:tc>
        <w:tc>
          <w:tcPr>
            <w:tcW w:w="2410" w:type="dxa"/>
            <w:shd w:val="clear" w:color="auto" w:fill="F2F2F2" w:themeFill="background1" w:themeFillShade="F2"/>
          </w:tcPr>
          <w:p w14:paraId="70A04D25" w14:textId="251BF94D" w:rsidR="00C44A8F" w:rsidRPr="0097129A" w:rsidRDefault="00C44A8F" w:rsidP="00C44A8F">
            <w:r w:rsidRPr="0097129A">
              <w:t>Contract</w:t>
            </w:r>
            <w:r w:rsidR="005D2E80">
              <w:t xml:space="preserve"> (including expert advice)</w:t>
            </w:r>
          </w:p>
        </w:tc>
        <w:tc>
          <w:tcPr>
            <w:tcW w:w="2126" w:type="dxa"/>
            <w:shd w:val="clear" w:color="auto" w:fill="F2F2F2" w:themeFill="background1" w:themeFillShade="F2"/>
          </w:tcPr>
          <w:p w14:paraId="50BC6D1E" w14:textId="77777777" w:rsidR="00C44A8F" w:rsidRPr="0097129A" w:rsidRDefault="00C44A8F" w:rsidP="00C44A8F"/>
        </w:tc>
        <w:tc>
          <w:tcPr>
            <w:tcW w:w="1976" w:type="dxa"/>
            <w:shd w:val="clear" w:color="auto" w:fill="F2F2F2" w:themeFill="background1" w:themeFillShade="F2"/>
          </w:tcPr>
          <w:p w14:paraId="67B2E84B" w14:textId="77777777" w:rsidR="00C44A8F" w:rsidRDefault="00C44A8F" w:rsidP="00C44A8F">
            <w:r>
              <w:t>$</w:t>
            </w:r>
          </w:p>
        </w:tc>
      </w:tr>
      <w:tr w:rsidR="008C4780" w14:paraId="4DFA53EF" w14:textId="77777777" w:rsidTr="00C44A8F">
        <w:trPr>
          <w:cantSplit/>
        </w:trPr>
        <w:tc>
          <w:tcPr>
            <w:tcW w:w="2265" w:type="dxa"/>
          </w:tcPr>
          <w:p w14:paraId="62456D44" w14:textId="28AE354E" w:rsidR="008C4780" w:rsidRPr="0097129A" w:rsidRDefault="008C4780" w:rsidP="008C4780"/>
        </w:tc>
        <w:tc>
          <w:tcPr>
            <w:tcW w:w="2410" w:type="dxa"/>
          </w:tcPr>
          <w:p w14:paraId="1C7DAEDC" w14:textId="77777777" w:rsidR="008C4780" w:rsidRPr="0097129A" w:rsidRDefault="008C4780" w:rsidP="008C4780"/>
        </w:tc>
        <w:tc>
          <w:tcPr>
            <w:tcW w:w="2126" w:type="dxa"/>
          </w:tcPr>
          <w:p w14:paraId="1CA9E9A4" w14:textId="043BFEB6" w:rsidR="008C4780" w:rsidRDefault="008C4780" w:rsidP="008C4780">
            <w:r>
              <w:t>2021/22</w:t>
            </w:r>
          </w:p>
        </w:tc>
        <w:tc>
          <w:tcPr>
            <w:tcW w:w="1976" w:type="dxa"/>
          </w:tcPr>
          <w:p w14:paraId="3D750980" w14:textId="52F55441" w:rsidR="008C4780" w:rsidRDefault="008C4780" w:rsidP="008C4780">
            <w:r>
              <w:t>$</w:t>
            </w:r>
          </w:p>
        </w:tc>
      </w:tr>
      <w:tr w:rsidR="008C4780" w14:paraId="4FB0A03E" w14:textId="77777777" w:rsidTr="00C44A8F">
        <w:trPr>
          <w:cantSplit/>
        </w:trPr>
        <w:tc>
          <w:tcPr>
            <w:tcW w:w="2265" w:type="dxa"/>
          </w:tcPr>
          <w:p w14:paraId="2427C50C" w14:textId="77777777" w:rsidR="008C4780" w:rsidRPr="0097129A" w:rsidRDefault="008C4780" w:rsidP="008C4780"/>
        </w:tc>
        <w:tc>
          <w:tcPr>
            <w:tcW w:w="2410" w:type="dxa"/>
          </w:tcPr>
          <w:p w14:paraId="24BF22BF" w14:textId="77777777" w:rsidR="008C4780" w:rsidRPr="0097129A" w:rsidRDefault="008C4780" w:rsidP="008C4780"/>
        </w:tc>
        <w:tc>
          <w:tcPr>
            <w:tcW w:w="2126" w:type="dxa"/>
          </w:tcPr>
          <w:p w14:paraId="53A4B481" w14:textId="6D9D402D" w:rsidR="008C4780" w:rsidRPr="0097129A" w:rsidRDefault="008C4780" w:rsidP="008C4780">
            <w:r>
              <w:t>2022/23</w:t>
            </w:r>
          </w:p>
        </w:tc>
        <w:tc>
          <w:tcPr>
            <w:tcW w:w="1976" w:type="dxa"/>
          </w:tcPr>
          <w:p w14:paraId="70AD9EC3" w14:textId="77777777" w:rsidR="008C4780" w:rsidRDefault="008C4780" w:rsidP="008C4780">
            <w:r>
              <w:t>$</w:t>
            </w:r>
          </w:p>
        </w:tc>
      </w:tr>
      <w:tr w:rsidR="008C4780" w14:paraId="4A2A4C0F" w14:textId="77777777" w:rsidTr="00C44A8F">
        <w:trPr>
          <w:cantSplit/>
        </w:trPr>
        <w:tc>
          <w:tcPr>
            <w:tcW w:w="2265" w:type="dxa"/>
          </w:tcPr>
          <w:p w14:paraId="460038AC" w14:textId="77777777" w:rsidR="008C4780" w:rsidRPr="0097129A" w:rsidRDefault="008C4780" w:rsidP="008C4780"/>
        </w:tc>
        <w:tc>
          <w:tcPr>
            <w:tcW w:w="2410" w:type="dxa"/>
          </w:tcPr>
          <w:p w14:paraId="118B09A3" w14:textId="77777777" w:rsidR="008C4780" w:rsidRPr="0097129A" w:rsidRDefault="008C4780" w:rsidP="008C4780"/>
        </w:tc>
        <w:tc>
          <w:tcPr>
            <w:tcW w:w="2126" w:type="dxa"/>
          </w:tcPr>
          <w:p w14:paraId="1DFD5BF4" w14:textId="435C910B" w:rsidR="008C4780" w:rsidRPr="0097129A" w:rsidRDefault="008C4780" w:rsidP="008C4780">
            <w:r>
              <w:t>2023/24</w:t>
            </w:r>
          </w:p>
        </w:tc>
        <w:tc>
          <w:tcPr>
            <w:tcW w:w="1976" w:type="dxa"/>
          </w:tcPr>
          <w:p w14:paraId="1BBD59CA" w14:textId="77777777" w:rsidR="008C4780" w:rsidRDefault="008C4780" w:rsidP="008C4780">
            <w:r>
              <w:t>$</w:t>
            </w:r>
          </w:p>
        </w:tc>
      </w:tr>
      <w:tr w:rsidR="008C4780" w14:paraId="15A553ED" w14:textId="77777777" w:rsidTr="00C44A8F">
        <w:trPr>
          <w:cantSplit/>
        </w:trPr>
        <w:tc>
          <w:tcPr>
            <w:tcW w:w="2265" w:type="dxa"/>
          </w:tcPr>
          <w:p w14:paraId="53B4C5B2" w14:textId="77777777" w:rsidR="008C4780" w:rsidRPr="0097129A" w:rsidRDefault="008C4780" w:rsidP="008C4780"/>
        </w:tc>
        <w:tc>
          <w:tcPr>
            <w:tcW w:w="2410" w:type="dxa"/>
          </w:tcPr>
          <w:p w14:paraId="59112D3B" w14:textId="77777777" w:rsidR="008C4780" w:rsidRPr="0097129A" w:rsidRDefault="008C4780" w:rsidP="008C4780"/>
        </w:tc>
        <w:tc>
          <w:tcPr>
            <w:tcW w:w="2126" w:type="dxa"/>
          </w:tcPr>
          <w:p w14:paraId="03011C09" w14:textId="7F3F8855" w:rsidR="008C4780" w:rsidRPr="0097129A" w:rsidRDefault="008C4780" w:rsidP="008C4780">
            <w:r>
              <w:t>2024/25</w:t>
            </w:r>
          </w:p>
        </w:tc>
        <w:tc>
          <w:tcPr>
            <w:tcW w:w="1976" w:type="dxa"/>
          </w:tcPr>
          <w:p w14:paraId="5C9D3273" w14:textId="77777777" w:rsidR="008C4780" w:rsidRDefault="008C4780" w:rsidP="008C4780">
            <w:r>
              <w:t>$</w:t>
            </w:r>
          </w:p>
        </w:tc>
      </w:tr>
      <w:tr w:rsidR="008C4780" w14:paraId="708463CB" w14:textId="77777777" w:rsidTr="00C44A8F">
        <w:trPr>
          <w:cantSplit/>
        </w:trPr>
        <w:tc>
          <w:tcPr>
            <w:tcW w:w="2265" w:type="dxa"/>
            <w:shd w:val="clear" w:color="auto" w:fill="F2F2F2" w:themeFill="background1" w:themeFillShade="F2"/>
          </w:tcPr>
          <w:p w14:paraId="45516D85" w14:textId="72116BDC" w:rsidR="008C4780" w:rsidRPr="0097129A" w:rsidRDefault="008C4780" w:rsidP="008C4780"/>
        </w:tc>
        <w:tc>
          <w:tcPr>
            <w:tcW w:w="2410" w:type="dxa"/>
            <w:shd w:val="clear" w:color="auto" w:fill="F2F2F2" w:themeFill="background1" w:themeFillShade="F2"/>
          </w:tcPr>
          <w:p w14:paraId="5FE35C22" w14:textId="77777777" w:rsidR="008C4780" w:rsidRPr="0097129A" w:rsidRDefault="008C4780" w:rsidP="008C4780">
            <w:r w:rsidRPr="0097129A">
              <w:t xml:space="preserve">Workshops / Conferences /Events </w:t>
            </w:r>
          </w:p>
        </w:tc>
        <w:tc>
          <w:tcPr>
            <w:tcW w:w="2126" w:type="dxa"/>
            <w:shd w:val="clear" w:color="auto" w:fill="F2F2F2" w:themeFill="background1" w:themeFillShade="F2"/>
          </w:tcPr>
          <w:p w14:paraId="305275DF" w14:textId="77777777" w:rsidR="008C4780" w:rsidRPr="0097129A" w:rsidRDefault="008C4780" w:rsidP="008C4780"/>
        </w:tc>
        <w:tc>
          <w:tcPr>
            <w:tcW w:w="1976" w:type="dxa"/>
            <w:shd w:val="clear" w:color="auto" w:fill="F2F2F2" w:themeFill="background1" w:themeFillShade="F2"/>
          </w:tcPr>
          <w:p w14:paraId="6680A69B" w14:textId="0E3067F9" w:rsidR="008C4780" w:rsidRDefault="008C4780" w:rsidP="008C4780">
            <w:r>
              <w:t>$</w:t>
            </w:r>
          </w:p>
        </w:tc>
      </w:tr>
      <w:tr w:rsidR="008C4780" w14:paraId="2335E7F6" w14:textId="77777777" w:rsidTr="00C44A8F">
        <w:trPr>
          <w:cantSplit/>
        </w:trPr>
        <w:tc>
          <w:tcPr>
            <w:tcW w:w="2265" w:type="dxa"/>
          </w:tcPr>
          <w:p w14:paraId="15762025" w14:textId="32F556AB" w:rsidR="008C4780" w:rsidRDefault="008C4780" w:rsidP="008C4780"/>
        </w:tc>
        <w:tc>
          <w:tcPr>
            <w:tcW w:w="2410" w:type="dxa"/>
          </w:tcPr>
          <w:p w14:paraId="6FBBD6BF" w14:textId="77777777" w:rsidR="008C4780" w:rsidRPr="0097129A" w:rsidRDefault="008C4780" w:rsidP="008C4780"/>
        </w:tc>
        <w:tc>
          <w:tcPr>
            <w:tcW w:w="2126" w:type="dxa"/>
          </w:tcPr>
          <w:p w14:paraId="142A5D24" w14:textId="1429B936" w:rsidR="008C4780" w:rsidRDefault="008C4780" w:rsidP="008C4780">
            <w:r>
              <w:t>2021/22</w:t>
            </w:r>
          </w:p>
        </w:tc>
        <w:tc>
          <w:tcPr>
            <w:tcW w:w="1976" w:type="dxa"/>
          </w:tcPr>
          <w:p w14:paraId="3843FC61" w14:textId="3BA7E47D" w:rsidR="008C4780" w:rsidRDefault="008C4780" w:rsidP="008C4780">
            <w:r>
              <w:t>$</w:t>
            </w:r>
          </w:p>
        </w:tc>
      </w:tr>
      <w:tr w:rsidR="008C4780" w14:paraId="549C7A33" w14:textId="77777777" w:rsidTr="00C44A8F">
        <w:trPr>
          <w:cantSplit/>
        </w:trPr>
        <w:tc>
          <w:tcPr>
            <w:tcW w:w="2265" w:type="dxa"/>
          </w:tcPr>
          <w:p w14:paraId="21F55AA2" w14:textId="7F88BC2C" w:rsidR="008C4780" w:rsidRPr="0097129A" w:rsidRDefault="008C4780" w:rsidP="008C4780"/>
        </w:tc>
        <w:tc>
          <w:tcPr>
            <w:tcW w:w="2410" w:type="dxa"/>
          </w:tcPr>
          <w:p w14:paraId="5CA2C44E" w14:textId="77777777" w:rsidR="008C4780" w:rsidRPr="0097129A" w:rsidRDefault="008C4780" w:rsidP="008C4780"/>
        </w:tc>
        <w:tc>
          <w:tcPr>
            <w:tcW w:w="2126" w:type="dxa"/>
          </w:tcPr>
          <w:p w14:paraId="6B51BACD" w14:textId="77E9D315" w:rsidR="008C4780" w:rsidRPr="0097129A" w:rsidRDefault="008C4780" w:rsidP="008C4780">
            <w:r>
              <w:t>2022/23</w:t>
            </w:r>
          </w:p>
        </w:tc>
        <w:tc>
          <w:tcPr>
            <w:tcW w:w="1976" w:type="dxa"/>
          </w:tcPr>
          <w:p w14:paraId="39783BD7" w14:textId="720D33CA" w:rsidR="008C4780" w:rsidRDefault="008C4780" w:rsidP="008C4780">
            <w:r>
              <w:t>$</w:t>
            </w:r>
          </w:p>
        </w:tc>
      </w:tr>
      <w:tr w:rsidR="008C4780" w14:paraId="437F4735" w14:textId="77777777" w:rsidTr="00C44A8F">
        <w:trPr>
          <w:cantSplit/>
        </w:trPr>
        <w:tc>
          <w:tcPr>
            <w:tcW w:w="2265" w:type="dxa"/>
          </w:tcPr>
          <w:p w14:paraId="1208E13A" w14:textId="206C33D5" w:rsidR="008C4780" w:rsidRPr="0097129A" w:rsidRDefault="008C4780" w:rsidP="008C4780"/>
        </w:tc>
        <w:tc>
          <w:tcPr>
            <w:tcW w:w="2410" w:type="dxa"/>
          </w:tcPr>
          <w:p w14:paraId="79B53AB8" w14:textId="77777777" w:rsidR="008C4780" w:rsidRPr="0097129A" w:rsidRDefault="008C4780" w:rsidP="008C4780"/>
        </w:tc>
        <w:tc>
          <w:tcPr>
            <w:tcW w:w="2126" w:type="dxa"/>
          </w:tcPr>
          <w:p w14:paraId="389A9E14" w14:textId="0784748C" w:rsidR="008C4780" w:rsidRPr="0097129A" w:rsidRDefault="008C4780" w:rsidP="008C4780">
            <w:r>
              <w:t>2023/24</w:t>
            </w:r>
          </w:p>
        </w:tc>
        <w:tc>
          <w:tcPr>
            <w:tcW w:w="1976" w:type="dxa"/>
          </w:tcPr>
          <w:p w14:paraId="1EAF3B36" w14:textId="75783A94" w:rsidR="008C4780" w:rsidRDefault="008C4780" w:rsidP="008C4780">
            <w:r>
              <w:t>$</w:t>
            </w:r>
          </w:p>
        </w:tc>
      </w:tr>
      <w:tr w:rsidR="008C4780" w14:paraId="5B08F9B8" w14:textId="77777777" w:rsidTr="00C44A8F">
        <w:trPr>
          <w:cantSplit/>
        </w:trPr>
        <w:tc>
          <w:tcPr>
            <w:tcW w:w="2265" w:type="dxa"/>
          </w:tcPr>
          <w:p w14:paraId="04DB85C3" w14:textId="1496BA5D" w:rsidR="008C4780" w:rsidRPr="0097129A" w:rsidRDefault="008C4780" w:rsidP="008C4780"/>
        </w:tc>
        <w:tc>
          <w:tcPr>
            <w:tcW w:w="2410" w:type="dxa"/>
          </w:tcPr>
          <w:p w14:paraId="74A74495" w14:textId="77777777" w:rsidR="008C4780" w:rsidRPr="0097129A" w:rsidRDefault="008C4780" w:rsidP="008C4780"/>
        </w:tc>
        <w:tc>
          <w:tcPr>
            <w:tcW w:w="2126" w:type="dxa"/>
          </w:tcPr>
          <w:p w14:paraId="4FFEF18D" w14:textId="3279A2AA" w:rsidR="008C4780" w:rsidRPr="0097129A" w:rsidRDefault="008C4780" w:rsidP="008C4780">
            <w:r>
              <w:t>2024/25</w:t>
            </w:r>
          </w:p>
        </w:tc>
        <w:tc>
          <w:tcPr>
            <w:tcW w:w="1976" w:type="dxa"/>
          </w:tcPr>
          <w:p w14:paraId="02859DF2" w14:textId="05291852" w:rsidR="008C4780" w:rsidRDefault="008C4780" w:rsidP="008C4780">
            <w:r>
              <w:t>$</w:t>
            </w:r>
          </w:p>
        </w:tc>
      </w:tr>
      <w:tr w:rsidR="008C4780" w14:paraId="355C2575" w14:textId="77777777" w:rsidTr="00C44A8F">
        <w:trPr>
          <w:cantSplit/>
        </w:trPr>
        <w:tc>
          <w:tcPr>
            <w:tcW w:w="2265" w:type="dxa"/>
            <w:shd w:val="clear" w:color="auto" w:fill="F2F2F2" w:themeFill="background1" w:themeFillShade="F2"/>
          </w:tcPr>
          <w:p w14:paraId="0260F984" w14:textId="3630B1FD" w:rsidR="008C4780" w:rsidRPr="0097129A" w:rsidRDefault="008C4780" w:rsidP="008C4780"/>
        </w:tc>
        <w:tc>
          <w:tcPr>
            <w:tcW w:w="2410" w:type="dxa"/>
            <w:shd w:val="clear" w:color="auto" w:fill="F2F2F2" w:themeFill="background1" w:themeFillShade="F2"/>
          </w:tcPr>
          <w:p w14:paraId="5D50F61F" w14:textId="77777777" w:rsidR="008C4780" w:rsidRPr="0097129A" w:rsidRDefault="008C4780" w:rsidP="008C4780">
            <w:r>
              <w:t>Domestic Travel</w:t>
            </w:r>
          </w:p>
        </w:tc>
        <w:tc>
          <w:tcPr>
            <w:tcW w:w="2126" w:type="dxa"/>
            <w:shd w:val="clear" w:color="auto" w:fill="F2F2F2" w:themeFill="background1" w:themeFillShade="F2"/>
          </w:tcPr>
          <w:p w14:paraId="05FEF3CF" w14:textId="77777777" w:rsidR="008C4780" w:rsidRPr="0097129A" w:rsidRDefault="008C4780" w:rsidP="008C4780"/>
        </w:tc>
        <w:tc>
          <w:tcPr>
            <w:tcW w:w="1976" w:type="dxa"/>
            <w:shd w:val="clear" w:color="auto" w:fill="F2F2F2" w:themeFill="background1" w:themeFillShade="F2"/>
          </w:tcPr>
          <w:p w14:paraId="20DC0FF0" w14:textId="0EB44E68" w:rsidR="008C4780" w:rsidRDefault="008C4780" w:rsidP="008C4780">
            <w:r>
              <w:t>$</w:t>
            </w:r>
          </w:p>
        </w:tc>
      </w:tr>
      <w:tr w:rsidR="008C4780" w14:paraId="194C1132" w14:textId="77777777" w:rsidTr="00C44A8F">
        <w:trPr>
          <w:cantSplit/>
        </w:trPr>
        <w:tc>
          <w:tcPr>
            <w:tcW w:w="2265" w:type="dxa"/>
          </w:tcPr>
          <w:p w14:paraId="1FEFBA14" w14:textId="31A8B57E" w:rsidR="008C4780" w:rsidRDefault="008C4780" w:rsidP="008C4780"/>
        </w:tc>
        <w:tc>
          <w:tcPr>
            <w:tcW w:w="2410" w:type="dxa"/>
          </w:tcPr>
          <w:p w14:paraId="4AC2676F" w14:textId="77777777" w:rsidR="008C4780" w:rsidRPr="0097129A" w:rsidRDefault="008C4780" w:rsidP="008C4780"/>
        </w:tc>
        <w:tc>
          <w:tcPr>
            <w:tcW w:w="2126" w:type="dxa"/>
          </w:tcPr>
          <w:p w14:paraId="1F06E2D2" w14:textId="65BFA27C" w:rsidR="008C4780" w:rsidRDefault="008C4780" w:rsidP="008C4780">
            <w:r>
              <w:t>2021/22</w:t>
            </w:r>
          </w:p>
        </w:tc>
        <w:tc>
          <w:tcPr>
            <w:tcW w:w="1976" w:type="dxa"/>
          </w:tcPr>
          <w:p w14:paraId="66384F6E" w14:textId="5E3851D8" w:rsidR="008C4780" w:rsidRDefault="008C4780" w:rsidP="008C4780">
            <w:r>
              <w:t>$</w:t>
            </w:r>
          </w:p>
        </w:tc>
      </w:tr>
      <w:tr w:rsidR="008C4780" w14:paraId="268371A9" w14:textId="77777777" w:rsidTr="00C44A8F">
        <w:trPr>
          <w:cantSplit/>
        </w:trPr>
        <w:tc>
          <w:tcPr>
            <w:tcW w:w="2265" w:type="dxa"/>
          </w:tcPr>
          <w:p w14:paraId="2B15C6FB" w14:textId="3F529559" w:rsidR="008C4780" w:rsidRPr="0097129A" w:rsidRDefault="008C4780" w:rsidP="008C4780"/>
        </w:tc>
        <w:tc>
          <w:tcPr>
            <w:tcW w:w="2410" w:type="dxa"/>
          </w:tcPr>
          <w:p w14:paraId="7D7F5DFA" w14:textId="77777777" w:rsidR="008C4780" w:rsidRPr="0097129A" w:rsidRDefault="008C4780" w:rsidP="008C4780"/>
        </w:tc>
        <w:tc>
          <w:tcPr>
            <w:tcW w:w="2126" w:type="dxa"/>
          </w:tcPr>
          <w:p w14:paraId="1A453503" w14:textId="786DB031" w:rsidR="008C4780" w:rsidRPr="0097129A" w:rsidRDefault="008C4780" w:rsidP="008C4780">
            <w:r>
              <w:t>2022/23</w:t>
            </w:r>
          </w:p>
        </w:tc>
        <w:tc>
          <w:tcPr>
            <w:tcW w:w="1976" w:type="dxa"/>
          </w:tcPr>
          <w:p w14:paraId="6C0F6ADC" w14:textId="1232BB92" w:rsidR="008C4780" w:rsidRDefault="008C4780" w:rsidP="008C4780">
            <w:r>
              <w:t>$</w:t>
            </w:r>
          </w:p>
        </w:tc>
      </w:tr>
      <w:tr w:rsidR="008C4780" w14:paraId="4CA1AAF0" w14:textId="77777777" w:rsidTr="00C44A8F">
        <w:trPr>
          <w:cantSplit/>
        </w:trPr>
        <w:tc>
          <w:tcPr>
            <w:tcW w:w="2265" w:type="dxa"/>
          </w:tcPr>
          <w:p w14:paraId="1BAC1E10" w14:textId="17722CF0" w:rsidR="008C4780" w:rsidRPr="0097129A" w:rsidRDefault="008C4780" w:rsidP="008C4780"/>
        </w:tc>
        <w:tc>
          <w:tcPr>
            <w:tcW w:w="2410" w:type="dxa"/>
          </w:tcPr>
          <w:p w14:paraId="350A1219" w14:textId="77777777" w:rsidR="008C4780" w:rsidRPr="0097129A" w:rsidRDefault="008C4780" w:rsidP="008C4780"/>
        </w:tc>
        <w:tc>
          <w:tcPr>
            <w:tcW w:w="2126" w:type="dxa"/>
          </w:tcPr>
          <w:p w14:paraId="5E650B18" w14:textId="4C3A6698" w:rsidR="008C4780" w:rsidRPr="0097129A" w:rsidRDefault="008C4780" w:rsidP="008C4780">
            <w:r>
              <w:t>2023/24</w:t>
            </w:r>
          </w:p>
        </w:tc>
        <w:tc>
          <w:tcPr>
            <w:tcW w:w="1976" w:type="dxa"/>
          </w:tcPr>
          <w:p w14:paraId="65677288" w14:textId="215D682C" w:rsidR="008C4780" w:rsidRDefault="008C4780" w:rsidP="008C4780">
            <w:r>
              <w:t>$</w:t>
            </w:r>
          </w:p>
        </w:tc>
      </w:tr>
      <w:tr w:rsidR="008C4780" w14:paraId="40D07B1C" w14:textId="77777777" w:rsidTr="00C44A8F">
        <w:trPr>
          <w:cantSplit/>
        </w:trPr>
        <w:tc>
          <w:tcPr>
            <w:tcW w:w="2265" w:type="dxa"/>
          </w:tcPr>
          <w:p w14:paraId="7127A9BA" w14:textId="165A4D8A" w:rsidR="008C4780" w:rsidRPr="0097129A" w:rsidRDefault="008C4780" w:rsidP="008C4780"/>
        </w:tc>
        <w:tc>
          <w:tcPr>
            <w:tcW w:w="2410" w:type="dxa"/>
          </w:tcPr>
          <w:p w14:paraId="19A73E08" w14:textId="77777777" w:rsidR="008C4780" w:rsidRPr="0097129A" w:rsidRDefault="008C4780" w:rsidP="008C4780"/>
        </w:tc>
        <w:tc>
          <w:tcPr>
            <w:tcW w:w="2126" w:type="dxa"/>
          </w:tcPr>
          <w:p w14:paraId="40037D51" w14:textId="5387332E" w:rsidR="008C4780" w:rsidRPr="0097129A" w:rsidRDefault="008C4780" w:rsidP="008C4780">
            <w:r>
              <w:t>2024/25</w:t>
            </w:r>
          </w:p>
        </w:tc>
        <w:tc>
          <w:tcPr>
            <w:tcW w:w="1976" w:type="dxa"/>
          </w:tcPr>
          <w:p w14:paraId="60EB600B" w14:textId="18F55212" w:rsidR="008C4780" w:rsidRDefault="008C4780" w:rsidP="008C4780">
            <w:r>
              <w:t>$</w:t>
            </w:r>
          </w:p>
        </w:tc>
      </w:tr>
      <w:tr w:rsidR="008C4780" w14:paraId="7E2E3F18" w14:textId="77777777" w:rsidTr="00C44A8F">
        <w:trPr>
          <w:cantSplit/>
        </w:trPr>
        <w:tc>
          <w:tcPr>
            <w:tcW w:w="2265" w:type="dxa"/>
            <w:shd w:val="clear" w:color="auto" w:fill="F2F2F2" w:themeFill="background1" w:themeFillShade="F2"/>
          </w:tcPr>
          <w:p w14:paraId="6284EFAB" w14:textId="12F5F66B" w:rsidR="008C4780" w:rsidRPr="0097129A" w:rsidRDefault="008C4780" w:rsidP="008C4780"/>
        </w:tc>
        <w:tc>
          <w:tcPr>
            <w:tcW w:w="2410" w:type="dxa"/>
            <w:shd w:val="clear" w:color="auto" w:fill="F2F2F2" w:themeFill="background1" w:themeFillShade="F2"/>
          </w:tcPr>
          <w:p w14:paraId="20EB5FB2" w14:textId="77777777" w:rsidR="008C4780" w:rsidRPr="0097129A" w:rsidRDefault="008C4780" w:rsidP="008C4780">
            <w:r>
              <w:t>Planning, Environmental or other regulatory approvals</w:t>
            </w:r>
          </w:p>
        </w:tc>
        <w:tc>
          <w:tcPr>
            <w:tcW w:w="2126" w:type="dxa"/>
            <w:shd w:val="clear" w:color="auto" w:fill="F2F2F2" w:themeFill="background1" w:themeFillShade="F2"/>
          </w:tcPr>
          <w:p w14:paraId="00C2EAB6" w14:textId="77777777" w:rsidR="008C4780" w:rsidRPr="0097129A" w:rsidRDefault="008C4780" w:rsidP="008C4780"/>
        </w:tc>
        <w:tc>
          <w:tcPr>
            <w:tcW w:w="1976" w:type="dxa"/>
            <w:shd w:val="clear" w:color="auto" w:fill="F2F2F2" w:themeFill="background1" w:themeFillShade="F2"/>
          </w:tcPr>
          <w:p w14:paraId="50B300B0" w14:textId="7837E26A" w:rsidR="008C4780" w:rsidRDefault="008C4780" w:rsidP="008C4780">
            <w:r>
              <w:t>$</w:t>
            </w:r>
          </w:p>
        </w:tc>
      </w:tr>
      <w:tr w:rsidR="008C4780" w14:paraId="481D0C11" w14:textId="77777777" w:rsidTr="00C44A8F">
        <w:trPr>
          <w:cantSplit/>
        </w:trPr>
        <w:tc>
          <w:tcPr>
            <w:tcW w:w="2265" w:type="dxa"/>
          </w:tcPr>
          <w:p w14:paraId="61ABBD62" w14:textId="7C7E331B" w:rsidR="008C4780" w:rsidRDefault="008C4780" w:rsidP="008C4780"/>
        </w:tc>
        <w:tc>
          <w:tcPr>
            <w:tcW w:w="2410" w:type="dxa"/>
          </w:tcPr>
          <w:p w14:paraId="148D5489" w14:textId="77777777" w:rsidR="008C4780" w:rsidRPr="0097129A" w:rsidRDefault="008C4780" w:rsidP="008C4780"/>
        </w:tc>
        <w:tc>
          <w:tcPr>
            <w:tcW w:w="2126" w:type="dxa"/>
          </w:tcPr>
          <w:p w14:paraId="0CF0CFE2" w14:textId="45D9CF1E" w:rsidR="008C4780" w:rsidRDefault="008C4780" w:rsidP="008C4780">
            <w:r>
              <w:t>2021/22</w:t>
            </w:r>
          </w:p>
        </w:tc>
        <w:tc>
          <w:tcPr>
            <w:tcW w:w="1976" w:type="dxa"/>
          </w:tcPr>
          <w:p w14:paraId="0D63C8DA" w14:textId="48AEFF1F" w:rsidR="008C4780" w:rsidRDefault="008C4780" w:rsidP="008C4780">
            <w:r>
              <w:t>$</w:t>
            </w:r>
          </w:p>
        </w:tc>
      </w:tr>
      <w:tr w:rsidR="008C4780" w14:paraId="7DED7C73" w14:textId="77777777" w:rsidTr="00C44A8F">
        <w:trPr>
          <w:cantSplit/>
        </w:trPr>
        <w:tc>
          <w:tcPr>
            <w:tcW w:w="2265" w:type="dxa"/>
          </w:tcPr>
          <w:p w14:paraId="4F377B3F" w14:textId="69B10F90" w:rsidR="008C4780" w:rsidRPr="0097129A" w:rsidRDefault="008C4780" w:rsidP="008C4780"/>
        </w:tc>
        <w:tc>
          <w:tcPr>
            <w:tcW w:w="2410" w:type="dxa"/>
          </w:tcPr>
          <w:p w14:paraId="1E7FFFB9" w14:textId="77777777" w:rsidR="008C4780" w:rsidRPr="0097129A" w:rsidRDefault="008C4780" w:rsidP="008C4780"/>
        </w:tc>
        <w:tc>
          <w:tcPr>
            <w:tcW w:w="2126" w:type="dxa"/>
          </w:tcPr>
          <w:p w14:paraId="2F821BE6" w14:textId="51EE4246" w:rsidR="008C4780" w:rsidRPr="0097129A" w:rsidRDefault="008C4780" w:rsidP="008C4780">
            <w:r>
              <w:t>2022/23</w:t>
            </w:r>
          </w:p>
        </w:tc>
        <w:tc>
          <w:tcPr>
            <w:tcW w:w="1976" w:type="dxa"/>
          </w:tcPr>
          <w:p w14:paraId="2D75092B" w14:textId="7F5B3945" w:rsidR="008C4780" w:rsidRDefault="008C4780" w:rsidP="008C4780">
            <w:r>
              <w:t>$</w:t>
            </w:r>
          </w:p>
        </w:tc>
      </w:tr>
      <w:tr w:rsidR="008C4780" w14:paraId="0F39E26F" w14:textId="77777777" w:rsidTr="00C44A8F">
        <w:trPr>
          <w:cantSplit/>
        </w:trPr>
        <w:tc>
          <w:tcPr>
            <w:tcW w:w="2265" w:type="dxa"/>
          </w:tcPr>
          <w:p w14:paraId="1ACC5312" w14:textId="09042710" w:rsidR="008C4780" w:rsidRPr="0097129A" w:rsidRDefault="008C4780" w:rsidP="008C4780"/>
        </w:tc>
        <w:tc>
          <w:tcPr>
            <w:tcW w:w="2410" w:type="dxa"/>
          </w:tcPr>
          <w:p w14:paraId="2B9BA6CB" w14:textId="77777777" w:rsidR="008C4780" w:rsidRPr="0097129A" w:rsidRDefault="008C4780" w:rsidP="008C4780"/>
        </w:tc>
        <w:tc>
          <w:tcPr>
            <w:tcW w:w="2126" w:type="dxa"/>
          </w:tcPr>
          <w:p w14:paraId="0D5A77A4" w14:textId="63F3E278" w:rsidR="008C4780" w:rsidRPr="0097129A" w:rsidRDefault="008C4780" w:rsidP="008C4780">
            <w:r>
              <w:t>2023/24</w:t>
            </w:r>
          </w:p>
        </w:tc>
        <w:tc>
          <w:tcPr>
            <w:tcW w:w="1976" w:type="dxa"/>
          </w:tcPr>
          <w:p w14:paraId="62AC8367" w14:textId="09547B20" w:rsidR="008C4780" w:rsidRDefault="008C4780" w:rsidP="008C4780">
            <w:r>
              <w:t>$</w:t>
            </w:r>
          </w:p>
        </w:tc>
      </w:tr>
      <w:tr w:rsidR="008C4780" w14:paraId="59129E64" w14:textId="77777777" w:rsidTr="00C44A8F">
        <w:trPr>
          <w:cantSplit/>
        </w:trPr>
        <w:tc>
          <w:tcPr>
            <w:tcW w:w="2265" w:type="dxa"/>
          </w:tcPr>
          <w:p w14:paraId="3AB071E6" w14:textId="08859FEA" w:rsidR="008C4780" w:rsidRPr="0097129A" w:rsidRDefault="008C4780" w:rsidP="008C4780"/>
        </w:tc>
        <w:tc>
          <w:tcPr>
            <w:tcW w:w="2410" w:type="dxa"/>
          </w:tcPr>
          <w:p w14:paraId="1E0E5987" w14:textId="77777777" w:rsidR="008C4780" w:rsidRPr="0097129A" w:rsidRDefault="008C4780" w:rsidP="008C4780"/>
        </w:tc>
        <w:tc>
          <w:tcPr>
            <w:tcW w:w="2126" w:type="dxa"/>
          </w:tcPr>
          <w:p w14:paraId="278D42C5" w14:textId="2F2B6829" w:rsidR="008C4780" w:rsidRPr="0097129A" w:rsidRDefault="008C4780" w:rsidP="008C4780">
            <w:r>
              <w:t>2024/25</w:t>
            </w:r>
          </w:p>
        </w:tc>
        <w:tc>
          <w:tcPr>
            <w:tcW w:w="1976" w:type="dxa"/>
          </w:tcPr>
          <w:p w14:paraId="71475847" w14:textId="423864F3" w:rsidR="008C4780" w:rsidRDefault="008C4780" w:rsidP="008C4780">
            <w:r>
              <w:t>$</w:t>
            </w:r>
          </w:p>
        </w:tc>
      </w:tr>
      <w:tr w:rsidR="008C4780" w14:paraId="57E0D874" w14:textId="77777777" w:rsidTr="00C44A8F">
        <w:trPr>
          <w:cantSplit/>
        </w:trPr>
        <w:tc>
          <w:tcPr>
            <w:tcW w:w="2265" w:type="dxa"/>
            <w:shd w:val="clear" w:color="auto" w:fill="F2F2F2" w:themeFill="background1" w:themeFillShade="F2"/>
          </w:tcPr>
          <w:p w14:paraId="3A53533F" w14:textId="2D44C4A3" w:rsidR="008C4780" w:rsidRPr="0097129A" w:rsidRDefault="008C4780" w:rsidP="008C4780"/>
        </w:tc>
        <w:tc>
          <w:tcPr>
            <w:tcW w:w="2410" w:type="dxa"/>
            <w:shd w:val="clear" w:color="auto" w:fill="F2F2F2" w:themeFill="background1" w:themeFillShade="F2"/>
          </w:tcPr>
          <w:p w14:paraId="29AD6776" w14:textId="77777777" w:rsidR="008C4780" w:rsidRPr="0097129A" w:rsidRDefault="008C4780" w:rsidP="008C4780">
            <w:r>
              <w:t xml:space="preserve">Staff Training </w:t>
            </w:r>
          </w:p>
        </w:tc>
        <w:tc>
          <w:tcPr>
            <w:tcW w:w="2126" w:type="dxa"/>
            <w:shd w:val="clear" w:color="auto" w:fill="F2F2F2" w:themeFill="background1" w:themeFillShade="F2"/>
          </w:tcPr>
          <w:p w14:paraId="7C66EFF5" w14:textId="77777777" w:rsidR="008C4780" w:rsidRPr="0097129A" w:rsidRDefault="008C4780" w:rsidP="008C4780"/>
        </w:tc>
        <w:tc>
          <w:tcPr>
            <w:tcW w:w="1976" w:type="dxa"/>
            <w:shd w:val="clear" w:color="auto" w:fill="F2F2F2" w:themeFill="background1" w:themeFillShade="F2"/>
          </w:tcPr>
          <w:p w14:paraId="14107EE5" w14:textId="2A08C39A" w:rsidR="008C4780" w:rsidRDefault="008C4780" w:rsidP="008C4780">
            <w:r>
              <w:t>$</w:t>
            </w:r>
          </w:p>
        </w:tc>
      </w:tr>
      <w:tr w:rsidR="008C4780" w14:paraId="27301E87" w14:textId="77777777" w:rsidTr="00C44A8F">
        <w:trPr>
          <w:cantSplit/>
        </w:trPr>
        <w:tc>
          <w:tcPr>
            <w:tcW w:w="2265" w:type="dxa"/>
          </w:tcPr>
          <w:p w14:paraId="267A3FF6" w14:textId="002DFFB4" w:rsidR="008C4780" w:rsidRDefault="008C4780" w:rsidP="008C4780"/>
        </w:tc>
        <w:tc>
          <w:tcPr>
            <w:tcW w:w="2410" w:type="dxa"/>
          </w:tcPr>
          <w:p w14:paraId="3AF49736" w14:textId="77777777" w:rsidR="008C4780" w:rsidRPr="0097129A" w:rsidRDefault="008C4780" w:rsidP="008C4780"/>
        </w:tc>
        <w:tc>
          <w:tcPr>
            <w:tcW w:w="2126" w:type="dxa"/>
          </w:tcPr>
          <w:p w14:paraId="5459BA19" w14:textId="47AB8D22" w:rsidR="008C4780" w:rsidRDefault="008C4780" w:rsidP="008C4780">
            <w:r>
              <w:t>2021/22</w:t>
            </w:r>
          </w:p>
        </w:tc>
        <w:tc>
          <w:tcPr>
            <w:tcW w:w="1976" w:type="dxa"/>
          </w:tcPr>
          <w:p w14:paraId="114535DD" w14:textId="42A99E62" w:rsidR="008C4780" w:rsidRDefault="008C4780" w:rsidP="008C4780">
            <w:r>
              <w:t>$</w:t>
            </w:r>
          </w:p>
        </w:tc>
      </w:tr>
      <w:tr w:rsidR="008C4780" w14:paraId="0207401A" w14:textId="77777777" w:rsidTr="00C44A8F">
        <w:trPr>
          <w:cantSplit/>
        </w:trPr>
        <w:tc>
          <w:tcPr>
            <w:tcW w:w="2265" w:type="dxa"/>
          </w:tcPr>
          <w:p w14:paraId="67DCBBFF" w14:textId="5547E85A" w:rsidR="008C4780" w:rsidRPr="0097129A" w:rsidRDefault="008C4780" w:rsidP="008C4780"/>
        </w:tc>
        <w:tc>
          <w:tcPr>
            <w:tcW w:w="2410" w:type="dxa"/>
          </w:tcPr>
          <w:p w14:paraId="1A250805" w14:textId="77777777" w:rsidR="008C4780" w:rsidRPr="0097129A" w:rsidRDefault="008C4780" w:rsidP="008C4780"/>
        </w:tc>
        <w:tc>
          <w:tcPr>
            <w:tcW w:w="2126" w:type="dxa"/>
          </w:tcPr>
          <w:p w14:paraId="19B16E40" w14:textId="42EED404" w:rsidR="008C4780" w:rsidRPr="0097129A" w:rsidRDefault="008C4780" w:rsidP="008C4780">
            <w:r>
              <w:t>2022/23</w:t>
            </w:r>
          </w:p>
        </w:tc>
        <w:tc>
          <w:tcPr>
            <w:tcW w:w="1976" w:type="dxa"/>
          </w:tcPr>
          <w:p w14:paraId="46DF5D33" w14:textId="22B6AE42" w:rsidR="008C4780" w:rsidRDefault="008C4780" w:rsidP="008C4780">
            <w:r>
              <w:t>$</w:t>
            </w:r>
          </w:p>
        </w:tc>
      </w:tr>
      <w:tr w:rsidR="008C4780" w14:paraId="345E1B6E" w14:textId="77777777" w:rsidTr="00C44A8F">
        <w:trPr>
          <w:cantSplit/>
        </w:trPr>
        <w:tc>
          <w:tcPr>
            <w:tcW w:w="2265" w:type="dxa"/>
          </w:tcPr>
          <w:p w14:paraId="6B32DF5D" w14:textId="49BE4054" w:rsidR="008C4780" w:rsidRPr="0097129A" w:rsidRDefault="008C4780" w:rsidP="008C4780"/>
        </w:tc>
        <w:tc>
          <w:tcPr>
            <w:tcW w:w="2410" w:type="dxa"/>
          </w:tcPr>
          <w:p w14:paraId="19AFDC4A" w14:textId="77777777" w:rsidR="008C4780" w:rsidRPr="0097129A" w:rsidRDefault="008C4780" w:rsidP="008C4780"/>
        </w:tc>
        <w:tc>
          <w:tcPr>
            <w:tcW w:w="2126" w:type="dxa"/>
          </w:tcPr>
          <w:p w14:paraId="0AA2C3D9" w14:textId="7A040AB1" w:rsidR="008C4780" w:rsidRPr="0097129A" w:rsidRDefault="008C4780" w:rsidP="008C4780">
            <w:r>
              <w:t>2023/24</w:t>
            </w:r>
          </w:p>
        </w:tc>
        <w:tc>
          <w:tcPr>
            <w:tcW w:w="1976" w:type="dxa"/>
          </w:tcPr>
          <w:p w14:paraId="214021D1" w14:textId="6D39494F" w:rsidR="008C4780" w:rsidRDefault="008C4780" w:rsidP="008C4780">
            <w:r>
              <w:t>$</w:t>
            </w:r>
          </w:p>
        </w:tc>
      </w:tr>
      <w:tr w:rsidR="008C4780" w14:paraId="20951D1D" w14:textId="77777777" w:rsidTr="00C44A8F">
        <w:trPr>
          <w:cantSplit/>
        </w:trPr>
        <w:tc>
          <w:tcPr>
            <w:tcW w:w="2265" w:type="dxa"/>
          </w:tcPr>
          <w:p w14:paraId="194F0FE6" w14:textId="21AC6206" w:rsidR="008C4780" w:rsidRPr="0097129A" w:rsidRDefault="008C4780" w:rsidP="008C4780"/>
        </w:tc>
        <w:tc>
          <w:tcPr>
            <w:tcW w:w="2410" w:type="dxa"/>
          </w:tcPr>
          <w:p w14:paraId="0921A23B" w14:textId="77777777" w:rsidR="008C4780" w:rsidRPr="0097129A" w:rsidRDefault="008C4780" w:rsidP="008C4780"/>
        </w:tc>
        <w:tc>
          <w:tcPr>
            <w:tcW w:w="2126" w:type="dxa"/>
          </w:tcPr>
          <w:p w14:paraId="6A596355" w14:textId="12D146ED" w:rsidR="008C4780" w:rsidRPr="0097129A" w:rsidRDefault="008C4780" w:rsidP="008C4780">
            <w:r>
              <w:t>2024/25</w:t>
            </w:r>
          </w:p>
        </w:tc>
        <w:tc>
          <w:tcPr>
            <w:tcW w:w="1976" w:type="dxa"/>
          </w:tcPr>
          <w:p w14:paraId="0244B309" w14:textId="54DF9D8F" w:rsidR="008C4780" w:rsidRDefault="008C4780" w:rsidP="008C4780">
            <w:r>
              <w:t>$</w:t>
            </w:r>
          </w:p>
        </w:tc>
      </w:tr>
      <w:tr w:rsidR="008C4780" w14:paraId="3B245A62" w14:textId="77777777" w:rsidTr="00C44A8F">
        <w:trPr>
          <w:cantSplit/>
        </w:trPr>
        <w:tc>
          <w:tcPr>
            <w:tcW w:w="2265" w:type="dxa"/>
            <w:shd w:val="clear" w:color="auto" w:fill="F2F2F2" w:themeFill="background1" w:themeFillShade="F2"/>
          </w:tcPr>
          <w:p w14:paraId="138AA7E6" w14:textId="06ED338F" w:rsidR="008C4780" w:rsidRPr="0097129A" w:rsidRDefault="008C4780" w:rsidP="008C4780"/>
        </w:tc>
        <w:tc>
          <w:tcPr>
            <w:tcW w:w="2410" w:type="dxa"/>
            <w:shd w:val="clear" w:color="auto" w:fill="F2F2F2" w:themeFill="background1" w:themeFillShade="F2"/>
          </w:tcPr>
          <w:p w14:paraId="4957DC2D" w14:textId="376071AF" w:rsidR="008C4780" w:rsidRPr="0097129A" w:rsidRDefault="008C4780" w:rsidP="008C4780">
            <w:r>
              <w:t>Contingency</w:t>
            </w:r>
            <w:r w:rsidR="008A4BE2">
              <w:t xml:space="preserve"> (maximum 10% of eligible project costs)</w:t>
            </w:r>
          </w:p>
        </w:tc>
        <w:tc>
          <w:tcPr>
            <w:tcW w:w="2126" w:type="dxa"/>
            <w:shd w:val="clear" w:color="auto" w:fill="F2F2F2" w:themeFill="background1" w:themeFillShade="F2"/>
          </w:tcPr>
          <w:p w14:paraId="4AA677F9" w14:textId="77777777" w:rsidR="008C4780" w:rsidRPr="0097129A" w:rsidRDefault="008C4780" w:rsidP="008C4780"/>
        </w:tc>
        <w:tc>
          <w:tcPr>
            <w:tcW w:w="1976" w:type="dxa"/>
            <w:shd w:val="clear" w:color="auto" w:fill="F2F2F2" w:themeFill="background1" w:themeFillShade="F2"/>
          </w:tcPr>
          <w:p w14:paraId="6F556C30" w14:textId="2819F588" w:rsidR="008C4780" w:rsidRDefault="008C4780" w:rsidP="008C4780">
            <w:r>
              <w:t>$</w:t>
            </w:r>
          </w:p>
        </w:tc>
      </w:tr>
      <w:tr w:rsidR="008C4780" w14:paraId="03FB4D26" w14:textId="77777777" w:rsidTr="00C44A8F">
        <w:trPr>
          <w:cantSplit/>
        </w:trPr>
        <w:tc>
          <w:tcPr>
            <w:tcW w:w="2265" w:type="dxa"/>
          </w:tcPr>
          <w:p w14:paraId="594827D6" w14:textId="2B82C036" w:rsidR="008C4780" w:rsidRDefault="008C4780" w:rsidP="008C4780"/>
        </w:tc>
        <w:tc>
          <w:tcPr>
            <w:tcW w:w="2410" w:type="dxa"/>
          </w:tcPr>
          <w:p w14:paraId="402D1178" w14:textId="77777777" w:rsidR="008C4780" w:rsidRPr="0097129A" w:rsidRDefault="008C4780" w:rsidP="008C4780"/>
        </w:tc>
        <w:tc>
          <w:tcPr>
            <w:tcW w:w="2126" w:type="dxa"/>
          </w:tcPr>
          <w:p w14:paraId="1C03F4A6" w14:textId="469A8E1B" w:rsidR="008C4780" w:rsidRDefault="008C4780" w:rsidP="008C4780">
            <w:r>
              <w:t>2021/22</w:t>
            </w:r>
          </w:p>
        </w:tc>
        <w:tc>
          <w:tcPr>
            <w:tcW w:w="1976" w:type="dxa"/>
          </w:tcPr>
          <w:p w14:paraId="5ECD45CA" w14:textId="062A9AD6" w:rsidR="008C4780" w:rsidRDefault="008C4780" w:rsidP="008C4780">
            <w:r>
              <w:t>$</w:t>
            </w:r>
          </w:p>
        </w:tc>
      </w:tr>
      <w:tr w:rsidR="008C4780" w14:paraId="433A1D45" w14:textId="77777777" w:rsidTr="00C44A8F">
        <w:trPr>
          <w:cantSplit/>
        </w:trPr>
        <w:tc>
          <w:tcPr>
            <w:tcW w:w="2265" w:type="dxa"/>
          </w:tcPr>
          <w:p w14:paraId="7CAC3FA2" w14:textId="7DAD8DEC" w:rsidR="008C4780" w:rsidRPr="0097129A" w:rsidRDefault="008C4780" w:rsidP="008C4780"/>
        </w:tc>
        <w:tc>
          <w:tcPr>
            <w:tcW w:w="2410" w:type="dxa"/>
          </w:tcPr>
          <w:p w14:paraId="7712287A" w14:textId="77777777" w:rsidR="008C4780" w:rsidRPr="0097129A" w:rsidRDefault="008C4780" w:rsidP="008C4780"/>
        </w:tc>
        <w:tc>
          <w:tcPr>
            <w:tcW w:w="2126" w:type="dxa"/>
          </w:tcPr>
          <w:p w14:paraId="0EA7CFA0" w14:textId="767C565B" w:rsidR="008C4780" w:rsidRPr="0097129A" w:rsidRDefault="008C4780" w:rsidP="008C4780">
            <w:r>
              <w:t>2022/23</w:t>
            </w:r>
          </w:p>
        </w:tc>
        <w:tc>
          <w:tcPr>
            <w:tcW w:w="1976" w:type="dxa"/>
          </w:tcPr>
          <w:p w14:paraId="56D4F7FA" w14:textId="25F9DD5A" w:rsidR="008C4780" w:rsidRDefault="008C4780" w:rsidP="008C4780">
            <w:r>
              <w:t>$</w:t>
            </w:r>
          </w:p>
        </w:tc>
      </w:tr>
      <w:tr w:rsidR="008C4780" w14:paraId="0666477B" w14:textId="77777777" w:rsidTr="00C44A8F">
        <w:trPr>
          <w:cantSplit/>
        </w:trPr>
        <w:tc>
          <w:tcPr>
            <w:tcW w:w="2265" w:type="dxa"/>
          </w:tcPr>
          <w:p w14:paraId="2781A5AD" w14:textId="515ADDC0" w:rsidR="008C4780" w:rsidRPr="0097129A" w:rsidRDefault="008C4780" w:rsidP="008C4780"/>
        </w:tc>
        <w:tc>
          <w:tcPr>
            <w:tcW w:w="2410" w:type="dxa"/>
          </w:tcPr>
          <w:p w14:paraId="33BDADDF" w14:textId="77777777" w:rsidR="008C4780" w:rsidRPr="0097129A" w:rsidRDefault="008C4780" w:rsidP="008C4780"/>
        </w:tc>
        <w:tc>
          <w:tcPr>
            <w:tcW w:w="2126" w:type="dxa"/>
          </w:tcPr>
          <w:p w14:paraId="0EC41D8E" w14:textId="662D4C69" w:rsidR="008C4780" w:rsidRPr="0097129A" w:rsidRDefault="008C4780" w:rsidP="008C4780">
            <w:r>
              <w:t>2023/24</w:t>
            </w:r>
          </w:p>
        </w:tc>
        <w:tc>
          <w:tcPr>
            <w:tcW w:w="1976" w:type="dxa"/>
          </w:tcPr>
          <w:p w14:paraId="14AE8663" w14:textId="2B1B4CB7" w:rsidR="008C4780" w:rsidRDefault="008C4780" w:rsidP="008C4780">
            <w:r>
              <w:t>$</w:t>
            </w:r>
          </w:p>
        </w:tc>
      </w:tr>
      <w:tr w:rsidR="008C4780" w14:paraId="3FFE3299" w14:textId="77777777" w:rsidTr="00C44A8F">
        <w:trPr>
          <w:cantSplit/>
        </w:trPr>
        <w:tc>
          <w:tcPr>
            <w:tcW w:w="2265" w:type="dxa"/>
          </w:tcPr>
          <w:p w14:paraId="1CD0E00D" w14:textId="05BC7D30" w:rsidR="008C4780" w:rsidRPr="0097129A" w:rsidRDefault="008C4780" w:rsidP="008C4780"/>
        </w:tc>
        <w:tc>
          <w:tcPr>
            <w:tcW w:w="2410" w:type="dxa"/>
          </w:tcPr>
          <w:p w14:paraId="14300634" w14:textId="77777777" w:rsidR="008C4780" w:rsidRPr="0097129A" w:rsidRDefault="008C4780" w:rsidP="008C4780"/>
        </w:tc>
        <w:tc>
          <w:tcPr>
            <w:tcW w:w="2126" w:type="dxa"/>
          </w:tcPr>
          <w:p w14:paraId="116AA434" w14:textId="151117AC" w:rsidR="008C4780" w:rsidRPr="0097129A" w:rsidRDefault="008C4780" w:rsidP="008C4780">
            <w:r>
              <w:t>2024/25</w:t>
            </w:r>
          </w:p>
        </w:tc>
        <w:tc>
          <w:tcPr>
            <w:tcW w:w="1976" w:type="dxa"/>
          </w:tcPr>
          <w:p w14:paraId="432A11EB" w14:textId="7584E119" w:rsidR="008C4780" w:rsidRDefault="008C4780" w:rsidP="008C4780">
            <w:r>
              <w:t>$</w:t>
            </w:r>
          </w:p>
        </w:tc>
      </w:tr>
      <w:tr w:rsidR="008C4780" w14:paraId="7A37925E" w14:textId="77777777" w:rsidTr="00C44A8F">
        <w:trPr>
          <w:cantSplit/>
        </w:trPr>
        <w:tc>
          <w:tcPr>
            <w:tcW w:w="2265" w:type="dxa"/>
            <w:shd w:val="clear" w:color="auto" w:fill="F2F2F2" w:themeFill="background1" w:themeFillShade="F2"/>
          </w:tcPr>
          <w:p w14:paraId="15E7E356" w14:textId="6CD9AB13" w:rsidR="008C4780" w:rsidRPr="0097129A" w:rsidRDefault="008C4780" w:rsidP="008C4780"/>
        </w:tc>
        <w:tc>
          <w:tcPr>
            <w:tcW w:w="2410" w:type="dxa"/>
            <w:shd w:val="clear" w:color="auto" w:fill="F2F2F2" w:themeFill="background1" w:themeFillShade="F2"/>
          </w:tcPr>
          <w:p w14:paraId="7C092637" w14:textId="44565C11" w:rsidR="008C4780" w:rsidRPr="0097129A" w:rsidRDefault="008C4780" w:rsidP="008C4780">
            <w:r>
              <w:t>Financial auditing of project costs</w:t>
            </w:r>
          </w:p>
        </w:tc>
        <w:tc>
          <w:tcPr>
            <w:tcW w:w="2126" w:type="dxa"/>
            <w:shd w:val="clear" w:color="auto" w:fill="F2F2F2" w:themeFill="background1" w:themeFillShade="F2"/>
          </w:tcPr>
          <w:p w14:paraId="060C133B" w14:textId="77777777" w:rsidR="008C4780" w:rsidRPr="0097129A" w:rsidRDefault="008C4780" w:rsidP="008C4780"/>
        </w:tc>
        <w:tc>
          <w:tcPr>
            <w:tcW w:w="1976" w:type="dxa"/>
            <w:shd w:val="clear" w:color="auto" w:fill="F2F2F2" w:themeFill="background1" w:themeFillShade="F2"/>
          </w:tcPr>
          <w:p w14:paraId="184A6CAB" w14:textId="14D28F8C" w:rsidR="008C4780" w:rsidRDefault="008C4780" w:rsidP="008C4780">
            <w:r>
              <w:t>$</w:t>
            </w:r>
          </w:p>
        </w:tc>
      </w:tr>
      <w:tr w:rsidR="008C4780" w14:paraId="0F832AF6" w14:textId="77777777" w:rsidTr="00C44A8F">
        <w:trPr>
          <w:cantSplit/>
        </w:trPr>
        <w:tc>
          <w:tcPr>
            <w:tcW w:w="2265" w:type="dxa"/>
          </w:tcPr>
          <w:p w14:paraId="6D93633F" w14:textId="2BA3D228" w:rsidR="008C4780" w:rsidRDefault="008C4780" w:rsidP="008C4780"/>
        </w:tc>
        <w:tc>
          <w:tcPr>
            <w:tcW w:w="2410" w:type="dxa"/>
          </w:tcPr>
          <w:p w14:paraId="4A5369E3" w14:textId="77777777" w:rsidR="008C4780" w:rsidRPr="0097129A" w:rsidRDefault="008C4780" w:rsidP="008C4780"/>
        </w:tc>
        <w:tc>
          <w:tcPr>
            <w:tcW w:w="2126" w:type="dxa"/>
          </w:tcPr>
          <w:p w14:paraId="7D1208FF" w14:textId="18639981" w:rsidR="008C4780" w:rsidRDefault="008C4780" w:rsidP="008C4780">
            <w:r>
              <w:t>2021/22</w:t>
            </w:r>
          </w:p>
        </w:tc>
        <w:tc>
          <w:tcPr>
            <w:tcW w:w="1976" w:type="dxa"/>
          </w:tcPr>
          <w:p w14:paraId="37F00F2E" w14:textId="6C76FBB9" w:rsidR="008C4780" w:rsidRDefault="008C4780" w:rsidP="008C4780">
            <w:r>
              <w:t>$</w:t>
            </w:r>
          </w:p>
        </w:tc>
      </w:tr>
      <w:tr w:rsidR="008C4780" w14:paraId="3D523D64" w14:textId="77777777" w:rsidTr="00C44A8F">
        <w:trPr>
          <w:cantSplit/>
        </w:trPr>
        <w:tc>
          <w:tcPr>
            <w:tcW w:w="2265" w:type="dxa"/>
          </w:tcPr>
          <w:p w14:paraId="40F70D78" w14:textId="188975C0" w:rsidR="008C4780" w:rsidRPr="0097129A" w:rsidRDefault="008C4780" w:rsidP="008C4780"/>
        </w:tc>
        <w:tc>
          <w:tcPr>
            <w:tcW w:w="2410" w:type="dxa"/>
          </w:tcPr>
          <w:p w14:paraId="60CC8F08" w14:textId="77777777" w:rsidR="008C4780" w:rsidRPr="0097129A" w:rsidRDefault="008C4780" w:rsidP="008C4780"/>
        </w:tc>
        <w:tc>
          <w:tcPr>
            <w:tcW w:w="2126" w:type="dxa"/>
          </w:tcPr>
          <w:p w14:paraId="229808F7" w14:textId="71342BC3" w:rsidR="008C4780" w:rsidRPr="0097129A" w:rsidRDefault="008C4780" w:rsidP="008C4780">
            <w:r>
              <w:t>2022/23</w:t>
            </w:r>
          </w:p>
        </w:tc>
        <w:tc>
          <w:tcPr>
            <w:tcW w:w="1976" w:type="dxa"/>
          </w:tcPr>
          <w:p w14:paraId="3D9CA427" w14:textId="7EB8F484" w:rsidR="008C4780" w:rsidRDefault="008C4780" w:rsidP="008C4780">
            <w:r>
              <w:t>$</w:t>
            </w:r>
          </w:p>
        </w:tc>
      </w:tr>
      <w:tr w:rsidR="008C4780" w14:paraId="1F5F0E7D" w14:textId="77777777" w:rsidTr="00C44A8F">
        <w:trPr>
          <w:cantSplit/>
        </w:trPr>
        <w:tc>
          <w:tcPr>
            <w:tcW w:w="2265" w:type="dxa"/>
          </w:tcPr>
          <w:p w14:paraId="1709FB46" w14:textId="617FCBC3" w:rsidR="008C4780" w:rsidRPr="0097129A" w:rsidRDefault="008C4780" w:rsidP="008C4780"/>
        </w:tc>
        <w:tc>
          <w:tcPr>
            <w:tcW w:w="2410" w:type="dxa"/>
          </w:tcPr>
          <w:p w14:paraId="74F96D04" w14:textId="77777777" w:rsidR="008C4780" w:rsidRPr="0097129A" w:rsidRDefault="008C4780" w:rsidP="008C4780"/>
        </w:tc>
        <w:tc>
          <w:tcPr>
            <w:tcW w:w="2126" w:type="dxa"/>
          </w:tcPr>
          <w:p w14:paraId="1FD82253" w14:textId="343781B8" w:rsidR="008C4780" w:rsidRPr="0097129A" w:rsidRDefault="008C4780" w:rsidP="008C4780">
            <w:r>
              <w:t>2023/24</w:t>
            </w:r>
          </w:p>
        </w:tc>
        <w:tc>
          <w:tcPr>
            <w:tcW w:w="1976" w:type="dxa"/>
          </w:tcPr>
          <w:p w14:paraId="41A984F9" w14:textId="43DBC776" w:rsidR="008C4780" w:rsidRDefault="008C4780" w:rsidP="008C4780">
            <w:r>
              <w:t>$</w:t>
            </w:r>
          </w:p>
        </w:tc>
      </w:tr>
      <w:tr w:rsidR="008C4780" w14:paraId="7A09AC1A" w14:textId="77777777" w:rsidTr="00C44A8F">
        <w:trPr>
          <w:cantSplit/>
        </w:trPr>
        <w:tc>
          <w:tcPr>
            <w:tcW w:w="2265" w:type="dxa"/>
          </w:tcPr>
          <w:p w14:paraId="1CBB9692" w14:textId="00687EF9" w:rsidR="008C4780" w:rsidRPr="0097129A" w:rsidRDefault="008C4780" w:rsidP="008C4780"/>
        </w:tc>
        <w:tc>
          <w:tcPr>
            <w:tcW w:w="2410" w:type="dxa"/>
          </w:tcPr>
          <w:p w14:paraId="638C2B9D" w14:textId="77777777" w:rsidR="008C4780" w:rsidRPr="0097129A" w:rsidRDefault="008C4780" w:rsidP="008C4780"/>
        </w:tc>
        <w:tc>
          <w:tcPr>
            <w:tcW w:w="2126" w:type="dxa"/>
          </w:tcPr>
          <w:p w14:paraId="1372184E" w14:textId="2F2BAD37" w:rsidR="008C4780" w:rsidRPr="0097129A" w:rsidRDefault="008C4780" w:rsidP="008C4780">
            <w:r>
              <w:t>2024/25</w:t>
            </w:r>
          </w:p>
        </w:tc>
        <w:tc>
          <w:tcPr>
            <w:tcW w:w="1976" w:type="dxa"/>
          </w:tcPr>
          <w:p w14:paraId="1B1B1BE4" w14:textId="63B70C87" w:rsidR="008C4780" w:rsidRDefault="008C4780" w:rsidP="008C4780">
            <w:r>
              <w:t>$</w:t>
            </w:r>
          </w:p>
        </w:tc>
      </w:tr>
      <w:tr w:rsidR="008C4780" w14:paraId="0CCF201F" w14:textId="77777777" w:rsidTr="00C44A8F">
        <w:trPr>
          <w:cantSplit/>
        </w:trPr>
        <w:tc>
          <w:tcPr>
            <w:tcW w:w="2265" w:type="dxa"/>
            <w:shd w:val="clear" w:color="auto" w:fill="F2F2F2" w:themeFill="background1" w:themeFillShade="F2"/>
          </w:tcPr>
          <w:p w14:paraId="601C5D13" w14:textId="60FCF7B0" w:rsidR="008C4780" w:rsidRPr="0097129A" w:rsidRDefault="008C4780" w:rsidP="008C4780"/>
        </w:tc>
        <w:tc>
          <w:tcPr>
            <w:tcW w:w="2410" w:type="dxa"/>
            <w:shd w:val="clear" w:color="auto" w:fill="F2F2F2" w:themeFill="background1" w:themeFillShade="F2"/>
          </w:tcPr>
          <w:p w14:paraId="3B2B9704" w14:textId="6B2C815F" w:rsidR="008C4780" w:rsidRPr="0097129A" w:rsidRDefault="008C4780" w:rsidP="008C4780">
            <w:r>
              <w:t>Other eligible expenditure</w:t>
            </w:r>
          </w:p>
        </w:tc>
        <w:tc>
          <w:tcPr>
            <w:tcW w:w="2126" w:type="dxa"/>
            <w:shd w:val="clear" w:color="auto" w:fill="F2F2F2" w:themeFill="background1" w:themeFillShade="F2"/>
          </w:tcPr>
          <w:p w14:paraId="124D4AA0" w14:textId="77777777" w:rsidR="008C4780" w:rsidRPr="0097129A" w:rsidRDefault="008C4780" w:rsidP="008C4780"/>
        </w:tc>
        <w:tc>
          <w:tcPr>
            <w:tcW w:w="1976" w:type="dxa"/>
            <w:shd w:val="clear" w:color="auto" w:fill="F2F2F2" w:themeFill="background1" w:themeFillShade="F2"/>
          </w:tcPr>
          <w:p w14:paraId="3A348B41" w14:textId="5314D35A" w:rsidR="008C4780" w:rsidRDefault="008C4780" w:rsidP="008C4780">
            <w:r>
              <w:t>$</w:t>
            </w:r>
          </w:p>
        </w:tc>
      </w:tr>
      <w:tr w:rsidR="008C4780" w14:paraId="1523F07E" w14:textId="77777777" w:rsidTr="00C44A8F">
        <w:trPr>
          <w:cantSplit/>
        </w:trPr>
        <w:tc>
          <w:tcPr>
            <w:tcW w:w="2265" w:type="dxa"/>
          </w:tcPr>
          <w:p w14:paraId="51AD32C1" w14:textId="2089CF25" w:rsidR="008C4780" w:rsidRDefault="008C4780" w:rsidP="008C4780"/>
        </w:tc>
        <w:tc>
          <w:tcPr>
            <w:tcW w:w="2410" w:type="dxa"/>
          </w:tcPr>
          <w:p w14:paraId="7C80FDBC" w14:textId="77777777" w:rsidR="008C4780" w:rsidRPr="0097129A" w:rsidRDefault="008C4780" w:rsidP="008C4780"/>
        </w:tc>
        <w:tc>
          <w:tcPr>
            <w:tcW w:w="2126" w:type="dxa"/>
          </w:tcPr>
          <w:p w14:paraId="7B931D83" w14:textId="5EE1834E" w:rsidR="008C4780" w:rsidRDefault="008C4780" w:rsidP="008C4780">
            <w:r>
              <w:t>2021/22</w:t>
            </w:r>
          </w:p>
        </w:tc>
        <w:tc>
          <w:tcPr>
            <w:tcW w:w="1976" w:type="dxa"/>
          </w:tcPr>
          <w:p w14:paraId="55E0337C" w14:textId="06FC8513" w:rsidR="008C4780" w:rsidRDefault="008C4780" w:rsidP="008C4780">
            <w:r>
              <w:t>$</w:t>
            </w:r>
          </w:p>
        </w:tc>
      </w:tr>
      <w:tr w:rsidR="008C4780" w14:paraId="01A8719E" w14:textId="77777777" w:rsidTr="00C44A8F">
        <w:trPr>
          <w:cantSplit/>
        </w:trPr>
        <w:tc>
          <w:tcPr>
            <w:tcW w:w="2265" w:type="dxa"/>
          </w:tcPr>
          <w:p w14:paraId="01100122" w14:textId="32C692DA" w:rsidR="008C4780" w:rsidRPr="0097129A" w:rsidRDefault="008C4780" w:rsidP="008C4780"/>
        </w:tc>
        <w:tc>
          <w:tcPr>
            <w:tcW w:w="2410" w:type="dxa"/>
          </w:tcPr>
          <w:p w14:paraId="5E082DD9" w14:textId="77777777" w:rsidR="008C4780" w:rsidRPr="0097129A" w:rsidRDefault="008C4780" w:rsidP="008C4780"/>
        </w:tc>
        <w:tc>
          <w:tcPr>
            <w:tcW w:w="2126" w:type="dxa"/>
          </w:tcPr>
          <w:p w14:paraId="7AD3B605" w14:textId="2B5D32DF" w:rsidR="008C4780" w:rsidRPr="0097129A" w:rsidRDefault="008C4780" w:rsidP="008C4780">
            <w:r>
              <w:t>2022/23</w:t>
            </w:r>
          </w:p>
        </w:tc>
        <w:tc>
          <w:tcPr>
            <w:tcW w:w="1976" w:type="dxa"/>
          </w:tcPr>
          <w:p w14:paraId="26FAE178" w14:textId="522A1077" w:rsidR="008C4780" w:rsidRDefault="008C4780" w:rsidP="008C4780">
            <w:r>
              <w:t>$</w:t>
            </w:r>
          </w:p>
        </w:tc>
      </w:tr>
      <w:tr w:rsidR="008C4780" w14:paraId="7185DA04" w14:textId="77777777" w:rsidTr="00C44A8F">
        <w:trPr>
          <w:cantSplit/>
        </w:trPr>
        <w:tc>
          <w:tcPr>
            <w:tcW w:w="2265" w:type="dxa"/>
          </w:tcPr>
          <w:p w14:paraId="361B76A4" w14:textId="72AF8263" w:rsidR="008C4780" w:rsidRPr="0097129A" w:rsidRDefault="008C4780" w:rsidP="008C4780"/>
        </w:tc>
        <w:tc>
          <w:tcPr>
            <w:tcW w:w="2410" w:type="dxa"/>
          </w:tcPr>
          <w:p w14:paraId="56A34CEA" w14:textId="77777777" w:rsidR="008C4780" w:rsidRPr="0097129A" w:rsidRDefault="008C4780" w:rsidP="008C4780"/>
        </w:tc>
        <w:tc>
          <w:tcPr>
            <w:tcW w:w="2126" w:type="dxa"/>
          </w:tcPr>
          <w:p w14:paraId="51CAA26B" w14:textId="7ECBEE27" w:rsidR="008C4780" w:rsidRPr="0097129A" w:rsidRDefault="008C4780" w:rsidP="008C4780">
            <w:r>
              <w:t>2023/24</w:t>
            </w:r>
          </w:p>
        </w:tc>
        <w:tc>
          <w:tcPr>
            <w:tcW w:w="1976" w:type="dxa"/>
          </w:tcPr>
          <w:p w14:paraId="65C5D4E9" w14:textId="2A9D616E" w:rsidR="008C4780" w:rsidRDefault="008C4780" w:rsidP="008C4780">
            <w:r>
              <w:t>$</w:t>
            </w:r>
          </w:p>
        </w:tc>
      </w:tr>
      <w:tr w:rsidR="008C4780" w14:paraId="2332C7E9" w14:textId="77777777" w:rsidTr="00C44A8F">
        <w:trPr>
          <w:cantSplit/>
        </w:trPr>
        <w:tc>
          <w:tcPr>
            <w:tcW w:w="2265" w:type="dxa"/>
          </w:tcPr>
          <w:p w14:paraId="3709B075" w14:textId="2F1097D4" w:rsidR="008C4780" w:rsidRPr="0097129A" w:rsidRDefault="008C4780" w:rsidP="008C4780"/>
        </w:tc>
        <w:tc>
          <w:tcPr>
            <w:tcW w:w="2410" w:type="dxa"/>
          </w:tcPr>
          <w:p w14:paraId="09C34CA7" w14:textId="77777777" w:rsidR="008C4780" w:rsidRPr="0097129A" w:rsidRDefault="008C4780" w:rsidP="008C4780"/>
        </w:tc>
        <w:tc>
          <w:tcPr>
            <w:tcW w:w="2126" w:type="dxa"/>
          </w:tcPr>
          <w:p w14:paraId="24605579" w14:textId="69DA9B39" w:rsidR="008C4780" w:rsidRPr="0097129A" w:rsidRDefault="008C4780" w:rsidP="008C4780">
            <w:r>
              <w:t>2024/25</w:t>
            </w:r>
          </w:p>
        </w:tc>
        <w:tc>
          <w:tcPr>
            <w:tcW w:w="1976" w:type="dxa"/>
          </w:tcPr>
          <w:p w14:paraId="1EBBBC48" w14:textId="1668018F" w:rsidR="008C4780" w:rsidRDefault="008C4780" w:rsidP="008C4780">
            <w:r>
              <w:t>$</w:t>
            </w:r>
          </w:p>
        </w:tc>
      </w:tr>
      <w:tr w:rsidR="008C4780" w14:paraId="48EC68EA" w14:textId="77777777" w:rsidTr="00C44A8F">
        <w:trPr>
          <w:cantSplit/>
        </w:trPr>
        <w:tc>
          <w:tcPr>
            <w:tcW w:w="2265" w:type="dxa"/>
            <w:shd w:val="clear" w:color="auto" w:fill="D9D9D9" w:themeFill="background1" w:themeFillShade="D9"/>
          </w:tcPr>
          <w:p w14:paraId="6E2C007F" w14:textId="05C29F5A" w:rsidR="008C4780" w:rsidRDefault="008C4780" w:rsidP="008C4780">
            <w:r>
              <w:t>Total project expenditure</w:t>
            </w:r>
          </w:p>
        </w:tc>
        <w:tc>
          <w:tcPr>
            <w:tcW w:w="2410" w:type="dxa"/>
            <w:shd w:val="clear" w:color="auto" w:fill="D9D9D9" w:themeFill="background1" w:themeFillShade="D9"/>
          </w:tcPr>
          <w:p w14:paraId="291BF396" w14:textId="77777777" w:rsidR="008C4780" w:rsidRDefault="008C4780" w:rsidP="008C4780"/>
        </w:tc>
        <w:tc>
          <w:tcPr>
            <w:tcW w:w="2126" w:type="dxa"/>
            <w:shd w:val="clear" w:color="auto" w:fill="D9D9D9" w:themeFill="background1" w:themeFillShade="D9"/>
          </w:tcPr>
          <w:p w14:paraId="305C8740" w14:textId="77777777" w:rsidR="008C4780" w:rsidRDefault="008C4780" w:rsidP="008C4780"/>
        </w:tc>
        <w:tc>
          <w:tcPr>
            <w:tcW w:w="1976" w:type="dxa"/>
            <w:shd w:val="clear" w:color="auto" w:fill="D9D9D9" w:themeFill="background1" w:themeFillShade="D9"/>
          </w:tcPr>
          <w:p w14:paraId="68BD8035" w14:textId="21098867" w:rsidR="008C4780" w:rsidRDefault="008C4780" w:rsidP="008C4780"/>
        </w:tc>
      </w:tr>
    </w:tbl>
    <w:p w14:paraId="07E605F9" w14:textId="77777777" w:rsidR="009118A9" w:rsidRDefault="009118A9" w:rsidP="009118A9"/>
    <w:p w14:paraId="06CBDEE4" w14:textId="1E7FDD41" w:rsidR="009118A9" w:rsidRDefault="009118A9" w:rsidP="009118A9">
      <w:r>
        <w:t>If you selected ‘other eligible expenditure’ provide details of this expenditure.</w:t>
      </w:r>
    </w:p>
    <w:p w14:paraId="563276D1" w14:textId="77777777" w:rsidR="009118A9" w:rsidRPr="008A4BE2" w:rsidRDefault="009118A9" w:rsidP="009118A9">
      <w:pPr>
        <w:rPr>
          <w:i/>
          <w:color w:val="365F91" w:themeColor="accent1" w:themeShade="BF"/>
        </w:rPr>
      </w:pPr>
      <w:r w:rsidRPr="008A4BE2">
        <w:rPr>
          <w:i/>
          <w:color w:val="365F91" w:themeColor="accent1" w:themeShade="BF"/>
        </w:rPr>
        <w:t>Your response is limited to 750 characters including spaces and does not support formatting.</w:t>
      </w:r>
    </w:p>
    <w:p w14:paraId="7284E03D" w14:textId="77777777" w:rsidR="009118A9" w:rsidRDefault="009118A9" w:rsidP="00434057">
      <w:pPr>
        <w:pStyle w:val="Heading4"/>
      </w:pPr>
    </w:p>
    <w:p w14:paraId="7365984C" w14:textId="1222C9D4" w:rsidR="00434057" w:rsidRDefault="00434057" w:rsidP="00434057">
      <w:pPr>
        <w:pStyle w:val="Heading4"/>
      </w:pPr>
      <w:r>
        <w:t>Grant funding requested</w:t>
      </w:r>
    </w:p>
    <w:p w14:paraId="78BE6022" w14:textId="62B7A0A3" w:rsidR="00B51D67" w:rsidRDefault="00434057" w:rsidP="008A4BE2">
      <w:pPr>
        <w:pStyle w:val="Normalexplanatory"/>
      </w:pPr>
      <w:r>
        <w:t xml:space="preserve">You will be asked to enter the amount of grant funding you are requesting. Validations will limit your request to be within the grant opportunity guidelines. </w:t>
      </w:r>
      <w:r w:rsidR="005D2E80">
        <w:t>You will not be able to submit your budget unless the total project costs equals the contributions plus the grant funding requested.</w:t>
      </w:r>
    </w:p>
    <w:p w14:paraId="19990E3A" w14:textId="772DB81B" w:rsidR="001670A9" w:rsidRPr="00485B56" w:rsidRDefault="001670A9" w:rsidP="001670A9">
      <w:pPr>
        <w:pStyle w:val="Heading3"/>
      </w:pPr>
      <w:r w:rsidRPr="00485B56">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6D9AA70A" w14:textId="63DCAC76" w:rsidR="008767D4" w:rsidRPr="005C7EA4" w:rsidRDefault="008767D4" w:rsidP="005C7EA4">
      <w:pPr>
        <w:rPr>
          <w:color w:val="365F91" w:themeColor="accent1" w:themeShade="BF"/>
        </w:rPr>
      </w:pPr>
      <w:r>
        <w:rPr>
          <w:i/>
          <w:color w:val="365F91" w:themeColor="accent1" w:themeShade="BF"/>
        </w:rPr>
        <w:t>I</w:t>
      </w:r>
      <w:r w:rsidRPr="000043F8">
        <w:rPr>
          <w:i/>
          <w:color w:val="365F91" w:themeColor="accent1" w:themeShade="BF"/>
        </w:rPr>
        <w:t>f your project will receive cash contributions from other sources, you must provide formal documentation confirming the cash contributions from those sources (e.g. state government) such as a commercial finance agreement or letter of offer with your application</w:t>
      </w:r>
      <w:r>
        <w:rPr>
          <w:i/>
          <w:color w:val="365F91" w:themeColor="accent1" w:themeShade="BF"/>
        </w:rPr>
        <w:t>.</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lastRenderedPageBreak/>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501767C" w:rsidR="00DC70D5" w:rsidRPr="00485B56" w:rsidRDefault="00DC70D5" w:rsidP="00DC70D5">
      <w:pPr>
        <w:pStyle w:val="ListBulletItalics"/>
        <w:numPr>
          <w:ilvl w:val="1"/>
          <w:numId w:val="22"/>
        </w:numPr>
      </w:pPr>
      <w:r w:rsidRPr="00485B56">
        <w:t>Other Commonwealth government grants</w:t>
      </w:r>
    </w:p>
    <w:p w14:paraId="5455909A" w14:textId="6ABBD805" w:rsidR="00DC70D5" w:rsidRPr="00485B56" w:rsidRDefault="00DC70D5" w:rsidP="00DC70D5">
      <w:pPr>
        <w:pStyle w:val="ListBulletItalics"/>
        <w:numPr>
          <w:ilvl w:val="1"/>
          <w:numId w:val="22"/>
        </w:numPr>
      </w:pPr>
      <w:r w:rsidRPr="00485B56">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485B56">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5448BE" w:rsidRDefault="00043F1D" w:rsidP="001670A9">
      <w:pPr>
        <w:pStyle w:val="Heading2"/>
      </w:pPr>
      <w:r w:rsidRPr="005448BE">
        <w:lastRenderedPageBreak/>
        <w:t>Assessment</w:t>
      </w:r>
      <w:r w:rsidR="001670A9" w:rsidRPr="005448BE">
        <w:t xml:space="preserve"> criteria</w:t>
      </w:r>
    </w:p>
    <w:p w14:paraId="16B18183" w14:textId="2DD6459C" w:rsidR="00A35DDE" w:rsidRDefault="00D659F3" w:rsidP="00A35DDE">
      <w:r>
        <w:t xml:space="preserve">We will assess your application based on the weighting given to each criterion and against the indicators listed beneath each criterion. </w:t>
      </w:r>
      <w:r w:rsidR="000B4832">
        <w:t xml:space="preserve">We will only consider funding applications that score at least </w:t>
      </w:r>
      <w:r w:rsidR="000B4832" w:rsidRPr="00D5014B">
        <w:t>60</w:t>
      </w:r>
      <w:r w:rsidR="000B4832">
        <w:t xml:space="preserve"> per cent against assessment criterion one, two and three, as these represent best value for </w:t>
      </w:r>
      <w:r w:rsidR="000B4832" w:rsidRPr="004B00A2">
        <w:t>money. There is a maximum of 120 points.</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005BD746" w:rsidR="00B51D67" w:rsidRDefault="00D659F3" w:rsidP="00A35DDE">
      <w:r>
        <w:t>To support you responses you must</w:t>
      </w:r>
      <w:r w:rsidR="00A35DDE">
        <w:t xml:space="preserve"> include mandatory attach</w:t>
      </w:r>
      <w:r w:rsidR="000B4832">
        <w:t>ments later in the application.</w:t>
      </w:r>
    </w:p>
    <w:p w14:paraId="04AFD901" w14:textId="424A7B9C" w:rsidR="00D9243E" w:rsidRPr="00E46E90" w:rsidRDefault="00006962" w:rsidP="00D9243E">
      <w:pPr>
        <w:pStyle w:val="Heading3"/>
      </w:pPr>
      <w:r>
        <w:t>Assessment</w:t>
      </w:r>
      <w:r w:rsidR="00D9243E" w:rsidRPr="00E46E90">
        <w:t xml:space="preserve"> criterion </w:t>
      </w:r>
      <w:r>
        <w:t>1</w:t>
      </w:r>
      <w:r w:rsidR="00D9243E" w:rsidRPr="00E46E90">
        <w:t xml:space="preserve"> (</w:t>
      </w:r>
      <w:r w:rsidR="000B4832">
        <w:t>50</w:t>
      </w:r>
      <w:r w:rsidR="00D9243E" w:rsidRPr="00E46E90">
        <w:t xml:space="preserve"> points)</w:t>
      </w:r>
    </w:p>
    <w:p w14:paraId="2A2FEEF8" w14:textId="77777777" w:rsidR="00F83927" w:rsidRDefault="00F83927" w:rsidP="00F83927">
      <w:pPr>
        <w:pStyle w:val="Normalexplanatory"/>
      </w:pPr>
      <w:r>
        <w:t xml:space="preserve">Your response is limited </w:t>
      </w:r>
      <w:r w:rsidRPr="005448BE">
        <w:t>to 5000 characters</w:t>
      </w:r>
      <w:r>
        <w:t xml:space="preserve"> including spaces and does not support formatting. </w:t>
      </w:r>
    </w:p>
    <w:p w14:paraId="3CFFB264" w14:textId="013AAB57" w:rsidR="00B51D67" w:rsidRDefault="000B4832" w:rsidP="00F83927">
      <w:pPr>
        <w:pStyle w:val="Heading4"/>
      </w:pPr>
      <w:r>
        <w:t>Project alignment with policy intent (program objectives/ outcomes)</w:t>
      </w:r>
    </w:p>
    <w:p w14:paraId="73A7B1CD" w14:textId="71F9C67F" w:rsidR="00A35DDE" w:rsidRDefault="000B4832" w:rsidP="00A35DDE">
      <w:r>
        <w:t>You must demonstrate how your project:</w:t>
      </w:r>
    </w:p>
    <w:p w14:paraId="294DF5ED" w14:textId="77777777" w:rsidR="000B4832" w:rsidRDefault="000B4832" w:rsidP="000B4832">
      <w:pPr>
        <w:pStyle w:val="ListBullet"/>
      </w:pPr>
      <w:r>
        <w:t>will support a community that is at increased risk of bushfire, tropical cyclone and/or flood due to climate change</w:t>
      </w:r>
    </w:p>
    <w:p w14:paraId="2EE05B1E" w14:textId="77777777" w:rsidR="00315287" w:rsidRPr="005448BE" w:rsidRDefault="00315287" w:rsidP="00315287">
      <w:pPr>
        <w:pStyle w:val="ListBullet"/>
      </w:pPr>
      <w:r w:rsidRPr="005448BE">
        <w:t xml:space="preserve">reduces the risk or increases the long term resilience of the community against disruption/disaster arising from bushfire, tropical cyclone and/or flood </w:t>
      </w:r>
    </w:p>
    <w:p w14:paraId="70145574" w14:textId="3E4B8DA0" w:rsidR="000B4832" w:rsidRPr="005448BE" w:rsidRDefault="000B4832" w:rsidP="000B4832">
      <w:pPr>
        <w:pStyle w:val="ListBullet"/>
      </w:pPr>
      <w:r w:rsidRPr="005448BE">
        <w:t xml:space="preserve">aligns with the objectives of the National Disaster Risk Reduction Framework </w:t>
      </w:r>
    </w:p>
    <w:p w14:paraId="4DD44562" w14:textId="571F2EE3" w:rsidR="00D9243E" w:rsidRDefault="00315287" w:rsidP="00D9243E">
      <w:pPr>
        <w:pStyle w:val="Heading3"/>
      </w:pPr>
      <w:r w:rsidRPr="00315287">
        <w:rPr>
          <w:rFonts w:ascii="Arial" w:eastAsiaTheme="minorHAnsi" w:hAnsi="Arial" w:cstheme="minorBidi"/>
          <w:sz w:val="20"/>
          <w:szCs w:val="22"/>
        </w:rPr>
        <w:t xml:space="preserve"> </w:t>
      </w:r>
      <w:r w:rsidR="00006962">
        <w:t>Assessment</w:t>
      </w:r>
      <w:r w:rsidR="00006962" w:rsidRPr="00E46E90">
        <w:t xml:space="preserve"> </w:t>
      </w:r>
      <w:r w:rsidR="00D9243E" w:rsidRPr="00E46E90">
        <w:t xml:space="preserve">criterion </w:t>
      </w:r>
      <w:r w:rsidR="00006962">
        <w:t>2</w:t>
      </w:r>
      <w:r w:rsidR="00D9243E" w:rsidRPr="00E46E90">
        <w:t xml:space="preserve"> (</w:t>
      </w:r>
      <w:r w:rsidR="000B4832">
        <w:t>30</w:t>
      </w:r>
      <w:r w:rsidR="00D9243E" w:rsidRPr="00E46E90">
        <w:t xml:space="preserve"> points)</w:t>
      </w:r>
    </w:p>
    <w:p w14:paraId="67D3FBDC" w14:textId="77777777" w:rsidR="00F83927" w:rsidRDefault="00F83927" w:rsidP="00F83927">
      <w:pPr>
        <w:pStyle w:val="Normalexplanatory"/>
      </w:pPr>
      <w:r>
        <w:t xml:space="preserve">Your response is </w:t>
      </w:r>
      <w:r w:rsidRPr="005448BE">
        <w:t>limited to 5000 characters</w:t>
      </w:r>
      <w:r>
        <w:t xml:space="preserve"> including spaces and does not support formatting. </w:t>
      </w:r>
    </w:p>
    <w:p w14:paraId="0C5E02BE" w14:textId="582B4C17" w:rsidR="0096771E" w:rsidRDefault="0096771E" w:rsidP="00F83927">
      <w:pPr>
        <w:pStyle w:val="Normalexplanatory"/>
      </w:pPr>
      <w:r>
        <w:t xml:space="preserve">You must attach a project plan </w:t>
      </w:r>
      <w:r w:rsidRPr="000B4832">
        <w:t xml:space="preserve">for projects with a grant amount over $100,000 (refer to 8.1.1 </w:t>
      </w:r>
      <w:r>
        <w:t xml:space="preserve">of the grant opportunity guidelines </w:t>
      </w:r>
      <w:r w:rsidRPr="000B4832">
        <w:t>for guidance)</w:t>
      </w:r>
    </w:p>
    <w:p w14:paraId="21CD5FF5" w14:textId="23DABBCA" w:rsidR="00D9243E" w:rsidRDefault="000B4832" w:rsidP="00F83927">
      <w:pPr>
        <w:pStyle w:val="Heading4"/>
      </w:pPr>
      <w:r>
        <w:t>Capacity, capability and resources to deliver the project</w:t>
      </w:r>
    </w:p>
    <w:p w14:paraId="3966E15B" w14:textId="45571D46" w:rsidR="00A35DDE" w:rsidRDefault="00A35DDE" w:rsidP="00D9243E">
      <w:r>
        <w:t>You should demonstrate this by</w:t>
      </w:r>
      <w:r w:rsidR="000B4832">
        <w:t>:</w:t>
      </w:r>
    </w:p>
    <w:p w14:paraId="7F570BAC" w14:textId="77777777" w:rsidR="000B4832" w:rsidRPr="000B4832" w:rsidRDefault="000B4832" w:rsidP="000B4832">
      <w:pPr>
        <w:pStyle w:val="ListBullet"/>
      </w:pPr>
      <w:bookmarkStart w:id="2" w:name="_Toc531277494"/>
      <w:bookmarkStart w:id="3" w:name="_Toc955304"/>
      <w:r w:rsidRPr="000B4832">
        <w:t>proving your track record, and your project partner/s track record (if you have project partners), to successfully manage and deliver similar projects (including project budget and scale)</w:t>
      </w:r>
    </w:p>
    <w:p w14:paraId="1A11CFB3" w14:textId="4FC5F438" w:rsidR="000B4832" w:rsidRDefault="000B4832" w:rsidP="000B4832">
      <w:pPr>
        <w:pStyle w:val="ListBullet"/>
      </w:pPr>
      <w:r w:rsidRPr="000B4832">
        <w:t>outlining your plan for managing the project, including implementation methodology, timeframes, risk management (including mitigation of risks associated with the current COVID-19 pandemic), and maintaining the benefits of you</w:t>
      </w:r>
      <w:r w:rsidR="00F17D38">
        <w:t>r</w:t>
      </w:r>
      <w:r w:rsidRPr="000B4832">
        <w:t xml:space="preserve"> project beyond the program funding</w:t>
      </w:r>
    </w:p>
    <w:bookmarkEnd w:id="2"/>
    <w:bookmarkEnd w:id="3"/>
    <w:p w14:paraId="5A271B79" w14:textId="162C95DA" w:rsidR="00D9243E" w:rsidRPr="00E46E90" w:rsidRDefault="00006962" w:rsidP="00D9243E">
      <w:pPr>
        <w:pStyle w:val="Heading3"/>
      </w:pPr>
      <w:r>
        <w:t>Assessment</w:t>
      </w:r>
      <w:r w:rsidRPr="00E46E90">
        <w:t xml:space="preserve"> </w:t>
      </w:r>
      <w:r w:rsidR="00D9243E" w:rsidRPr="00E46E90">
        <w:t xml:space="preserve">criterion </w:t>
      </w:r>
      <w:r>
        <w:t>3</w:t>
      </w:r>
      <w:r w:rsidR="001255B3">
        <w:t xml:space="preserve"> (20</w:t>
      </w:r>
      <w:r w:rsidR="00D9243E" w:rsidRPr="00E46E90">
        <w:t xml:space="preserve"> points)</w:t>
      </w:r>
    </w:p>
    <w:p w14:paraId="18DB43E5" w14:textId="77777777" w:rsidR="00F83927" w:rsidRDefault="00F83927" w:rsidP="00F83927">
      <w:pPr>
        <w:pStyle w:val="Normalexplanatory"/>
      </w:pPr>
      <w:r>
        <w:t xml:space="preserve">Your response is </w:t>
      </w:r>
      <w:r w:rsidRPr="005448BE">
        <w:t>limited to 5000 characters</w:t>
      </w:r>
      <w:r>
        <w:t xml:space="preserve"> including spaces and does not support formatting. </w:t>
      </w:r>
    </w:p>
    <w:p w14:paraId="5B8BA24E" w14:textId="5DA17F53" w:rsidR="00D9243E" w:rsidRDefault="001255B3" w:rsidP="00F83927">
      <w:pPr>
        <w:pStyle w:val="Heading4"/>
      </w:pPr>
      <w:r>
        <w:t xml:space="preserve">Community support and broader public benefit </w:t>
      </w:r>
    </w:p>
    <w:p w14:paraId="0D2991A4" w14:textId="0CFCC9CF" w:rsidR="00BA4401" w:rsidRDefault="00BA4401" w:rsidP="00BA4401">
      <w:r>
        <w:t xml:space="preserve">You </w:t>
      </w:r>
      <w:r w:rsidR="001255B3">
        <w:t>must</w:t>
      </w:r>
      <w:r>
        <w:t xml:space="preserve"> demonstrate this by identifying</w:t>
      </w:r>
    </w:p>
    <w:p w14:paraId="7BAC93DA" w14:textId="77777777" w:rsidR="001255B3" w:rsidRDefault="001255B3" w:rsidP="001255B3">
      <w:pPr>
        <w:pStyle w:val="ListBullet"/>
      </w:pPr>
      <w:r>
        <w:t xml:space="preserve">evidence of </w:t>
      </w:r>
      <w:r w:rsidRPr="00D5291B">
        <w:t>community support for your project</w:t>
      </w:r>
    </w:p>
    <w:p w14:paraId="0908D3F8" w14:textId="38027F18" w:rsidR="001255B3" w:rsidRDefault="001255B3" w:rsidP="001255B3">
      <w:pPr>
        <w:pStyle w:val="ListBullet"/>
      </w:pPr>
      <w:r w:rsidRPr="00920EF0">
        <w:t>the broade</w:t>
      </w:r>
      <w:r>
        <w:t xml:space="preserve">r public benefits that your </w:t>
      </w:r>
      <w:r w:rsidRPr="00920EF0">
        <w:t xml:space="preserve">project will deliver for </w:t>
      </w:r>
      <w:r>
        <w:t xml:space="preserve">the </w:t>
      </w:r>
      <w:r w:rsidRPr="00920EF0">
        <w:t>region and community, including how the project supports the needs of group(s) within communities who are at greater risk</w:t>
      </w:r>
    </w:p>
    <w:p w14:paraId="61FFEF4D" w14:textId="72397235" w:rsidR="001255B3" w:rsidRDefault="001255B3" w:rsidP="001255B3">
      <w:pPr>
        <w:pStyle w:val="Heading3"/>
      </w:pPr>
      <w:r>
        <w:lastRenderedPageBreak/>
        <w:t>Assessment</w:t>
      </w:r>
      <w:r w:rsidRPr="00E46E90">
        <w:t xml:space="preserve"> criterion </w:t>
      </w:r>
      <w:r>
        <w:t>4 (20</w:t>
      </w:r>
      <w:r w:rsidRPr="00E46E90">
        <w:t xml:space="preserve"> points)</w:t>
      </w:r>
    </w:p>
    <w:p w14:paraId="4398416B" w14:textId="431278D1" w:rsidR="001255B3" w:rsidRPr="001255B3" w:rsidRDefault="001255B3" w:rsidP="001255B3">
      <w:pPr>
        <w:rPr>
          <w:b/>
          <w:lang w:eastAsia="en-AU"/>
        </w:rPr>
      </w:pPr>
      <w:r w:rsidRPr="001255B3">
        <w:rPr>
          <w:b/>
          <w:lang w:eastAsia="en-AU"/>
        </w:rPr>
        <w:t>Priority locations</w:t>
      </w:r>
    </w:p>
    <w:p w14:paraId="20DF4C06" w14:textId="1975C10A" w:rsidR="001255B3" w:rsidRPr="001255B3" w:rsidRDefault="001255B3" w:rsidP="001255B3">
      <w:pPr>
        <w:pStyle w:val="ListNumber2"/>
        <w:numPr>
          <w:ilvl w:val="0"/>
          <w:numId w:val="0"/>
        </w:numPr>
        <w:rPr>
          <w:i w:val="0"/>
          <w:color w:val="auto"/>
        </w:rPr>
      </w:pPr>
      <w:r w:rsidRPr="001255B3">
        <w:rPr>
          <w:i w:val="0"/>
          <w:color w:val="auto"/>
        </w:rPr>
        <w:t>Applications for projects that address the hazard risks in the selected LGAs</w:t>
      </w:r>
      <w:r w:rsidRPr="001255B3" w:rsidDel="00E966B7">
        <w:rPr>
          <w:i w:val="0"/>
          <w:color w:val="auto"/>
        </w:rPr>
        <w:t xml:space="preserve"> </w:t>
      </w:r>
      <w:r w:rsidRPr="001255B3">
        <w:rPr>
          <w:i w:val="0"/>
          <w:color w:val="auto"/>
        </w:rPr>
        <w:t>identified in Appendix A</w:t>
      </w:r>
      <w:r w:rsidR="000043F8">
        <w:rPr>
          <w:i w:val="0"/>
          <w:color w:val="auto"/>
        </w:rPr>
        <w:t xml:space="preserve"> of the grant opportunity guidelines</w:t>
      </w:r>
      <w:r w:rsidRPr="001255B3">
        <w:rPr>
          <w:i w:val="0"/>
          <w:color w:val="auto"/>
        </w:rPr>
        <w:t xml:space="preserve"> will be awarded an additional 20 points. </w:t>
      </w:r>
    </w:p>
    <w:p w14:paraId="03682150" w14:textId="77777777" w:rsidR="001255B3" w:rsidRDefault="001255B3" w:rsidP="001255B3">
      <w:pPr>
        <w:pStyle w:val="ListBullet"/>
        <w:numPr>
          <w:ilvl w:val="0"/>
          <w:numId w:val="0"/>
        </w:numPr>
        <w:ind w:left="360" w:hanging="360"/>
      </w:pPr>
    </w:p>
    <w:p w14:paraId="4DA9F81E" w14:textId="0D4D6270" w:rsidR="00B51D67" w:rsidRPr="003160A1" w:rsidRDefault="00C80BB2" w:rsidP="00B02743">
      <w:pPr>
        <w:pStyle w:val="Heading2"/>
      </w:pPr>
      <w:r w:rsidRPr="003160A1">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31256A81" w14:textId="77777777" w:rsidR="00730108" w:rsidRDefault="00730108" w:rsidP="00F1796D">
      <w:pPr>
        <w:pStyle w:val="Normaltemplateinstructions"/>
        <w:sectPr w:rsidR="00730108" w:rsidSect="003219B1">
          <w:pgSz w:w="11906" w:h="16838" w:code="9"/>
          <w:pgMar w:top="1276" w:right="1418" w:bottom="1134" w:left="1701" w:header="709" w:footer="709" w:gutter="0"/>
          <w:cols w:space="708"/>
          <w:docGrid w:linePitch="360"/>
        </w:sectPr>
      </w:pPr>
    </w:p>
    <w:p w14:paraId="0CC2CABB" w14:textId="77777777" w:rsidR="00DF17AD" w:rsidRDefault="00DF17AD" w:rsidP="00DF17AD">
      <w:pPr>
        <w:pStyle w:val="Heading2"/>
      </w:pPr>
      <w:r>
        <w:lastRenderedPageBreak/>
        <w:t>Bank account details</w:t>
      </w:r>
    </w:p>
    <w:p w14:paraId="27E815B7" w14:textId="77777777" w:rsidR="00DF17AD" w:rsidRDefault="00DF17AD" w:rsidP="00DF17AD">
      <w:pPr>
        <w:pStyle w:val="Heading3"/>
        <w:numPr>
          <w:ilvl w:val="0"/>
          <w:numId w:val="0"/>
        </w:numPr>
      </w:pPr>
      <w:r>
        <w:t xml:space="preserve">H.1 </w:t>
      </w:r>
      <w:r>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252245E6" w14:textId="77777777"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Pr="000043F8" w:rsidRDefault="00DE0AFD" w:rsidP="0085782F">
      <w:pPr>
        <w:pStyle w:val="Heading3"/>
      </w:pPr>
      <w:r w:rsidRPr="000043F8">
        <w:t>Additional</w:t>
      </w:r>
      <w:r w:rsidR="0085782F" w:rsidRPr="000043F8">
        <w:t xml:space="preserve"> documentation</w:t>
      </w:r>
    </w:p>
    <w:p w14:paraId="3F5F152E" w14:textId="1DF72110" w:rsidR="0085782F" w:rsidRPr="000043F8" w:rsidRDefault="008D4613" w:rsidP="0085782F">
      <w:pPr>
        <w:rPr>
          <w:lang w:eastAsia="en-AU"/>
        </w:rPr>
      </w:pPr>
      <w:r w:rsidRPr="000043F8">
        <w:rPr>
          <w:lang w:eastAsia="en-AU"/>
        </w:rPr>
        <w:t xml:space="preserve">You must attach the following supporting documentation. </w:t>
      </w:r>
    </w:p>
    <w:p w14:paraId="39FF9B57" w14:textId="47962AFE" w:rsidR="008D4613" w:rsidRPr="000043F8" w:rsidRDefault="000043F8" w:rsidP="00E949CD">
      <w:pPr>
        <w:pStyle w:val="ListBullet"/>
      </w:pPr>
      <w:r w:rsidRPr="000043F8">
        <w:t xml:space="preserve">Project plan </w:t>
      </w:r>
      <w:r w:rsidR="006B0A92">
        <w:t>(if applicable)</w:t>
      </w:r>
    </w:p>
    <w:p w14:paraId="28666545" w14:textId="77777777" w:rsidR="00387851" w:rsidRPr="00387851" w:rsidRDefault="000043F8" w:rsidP="00387851">
      <w:pPr>
        <w:pStyle w:val="ListBullet"/>
        <w:numPr>
          <w:ilvl w:val="0"/>
          <w:numId w:val="0"/>
        </w:numPr>
      </w:pPr>
      <w:r w:rsidRPr="000043F8">
        <w:rPr>
          <w:i/>
          <w:color w:val="264F90"/>
        </w:rPr>
        <w:t xml:space="preserve">For projects with a grant amount over $100,000 to </w:t>
      </w:r>
      <w:r w:rsidR="00452339">
        <w:rPr>
          <w:i/>
          <w:color w:val="264F90"/>
        </w:rPr>
        <w:t xml:space="preserve">support assessment criterion 2. </w:t>
      </w:r>
      <w:r w:rsidR="00452339" w:rsidRPr="00452339">
        <w:rPr>
          <w:i/>
          <w:color w:val="264F90"/>
        </w:rPr>
        <w:t>The amount of detail and supporting evidence you provide in your project plan should be relative to the project size, complexity and grant amount requested.</w:t>
      </w:r>
    </w:p>
    <w:p w14:paraId="45E0A8BD" w14:textId="7B47D8C3" w:rsidR="00E949CD" w:rsidRPr="000043F8" w:rsidRDefault="000043F8" w:rsidP="00E949CD">
      <w:pPr>
        <w:pStyle w:val="ListBullet"/>
      </w:pPr>
      <w:r w:rsidRPr="000043F8">
        <w:t>Evidence of how you will provide your share of the project costs</w:t>
      </w:r>
      <w:r w:rsidR="006B0A92">
        <w:t xml:space="preserve"> (if applicable)</w:t>
      </w:r>
    </w:p>
    <w:p w14:paraId="7AA4096D" w14:textId="6C70B45F" w:rsidR="000043F8" w:rsidRDefault="000043F8" w:rsidP="000043F8">
      <w:pPr>
        <w:rPr>
          <w:i/>
          <w:color w:val="365F91" w:themeColor="accent1" w:themeShade="BF"/>
        </w:rPr>
      </w:pPr>
      <w:r>
        <w:rPr>
          <w:i/>
          <w:color w:val="365F91" w:themeColor="accent1" w:themeShade="BF"/>
        </w:rPr>
        <w:t>For infrastructure projects with eligible project expenditure over $100,000 only.</w:t>
      </w:r>
    </w:p>
    <w:p w14:paraId="509EEB0D" w14:textId="17D26654" w:rsidR="000043F8" w:rsidRPr="000043F8" w:rsidRDefault="000043F8" w:rsidP="000043F8">
      <w:pPr>
        <w:rPr>
          <w:i/>
          <w:color w:val="365F91" w:themeColor="accent1" w:themeShade="BF"/>
        </w:rPr>
      </w:pPr>
      <w:r>
        <w:rPr>
          <w:i/>
          <w:color w:val="365F91" w:themeColor="accent1" w:themeShade="BF"/>
        </w:rPr>
        <w:t>I</w:t>
      </w:r>
      <w:r w:rsidRPr="000043F8">
        <w:rPr>
          <w:i/>
          <w:color w:val="365F91" w:themeColor="accent1" w:themeShade="BF"/>
        </w:rPr>
        <w:t>f you will be making a cash</w:t>
      </w:r>
      <w:r w:rsidR="00F17D38">
        <w:rPr>
          <w:i/>
          <w:color w:val="365F91" w:themeColor="accent1" w:themeShade="BF"/>
        </w:rPr>
        <w:t>/in-kind</w:t>
      </w:r>
      <w:r w:rsidRPr="000043F8">
        <w:rPr>
          <w:i/>
          <w:color w:val="365F91" w:themeColor="accent1" w:themeShade="BF"/>
        </w:rPr>
        <w:t xml:space="preserve"> contribution to the project you must use the Accountant Declaration form available on business.gov.au and GrantConnect. If you do not use this template, you must include equivalent information and the declaration in your own document</w:t>
      </w:r>
      <w:r>
        <w:rPr>
          <w:i/>
          <w:color w:val="365F91" w:themeColor="accent1" w:themeShade="BF"/>
        </w:rPr>
        <w:t>.</w:t>
      </w:r>
    </w:p>
    <w:p w14:paraId="136A6456" w14:textId="683B7CA5" w:rsidR="000043F8" w:rsidRDefault="000043F8" w:rsidP="000043F8">
      <w:pPr>
        <w:rPr>
          <w:i/>
          <w:color w:val="365F91" w:themeColor="accent1" w:themeShade="BF"/>
        </w:rPr>
      </w:pPr>
      <w:r>
        <w:rPr>
          <w:i/>
          <w:color w:val="365F91" w:themeColor="accent1" w:themeShade="BF"/>
        </w:rPr>
        <w:t>I</w:t>
      </w:r>
      <w:r w:rsidRPr="000043F8">
        <w:rPr>
          <w:i/>
          <w:color w:val="365F91" w:themeColor="accent1" w:themeShade="BF"/>
        </w:rPr>
        <w:t>f your project will receive cash</w:t>
      </w:r>
      <w:r w:rsidR="00F17D38">
        <w:rPr>
          <w:i/>
          <w:color w:val="365F91" w:themeColor="accent1" w:themeShade="BF"/>
        </w:rPr>
        <w:t>/in-kind</w:t>
      </w:r>
      <w:r w:rsidRPr="000043F8">
        <w:rPr>
          <w:i/>
          <w:color w:val="365F91" w:themeColor="accent1" w:themeShade="BF"/>
        </w:rPr>
        <w:t xml:space="preserve"> contributions from other sources, you must provide formal documentation confirming the cash</w:t>
      </w:r>
      <w:r w:rsidR="00F17D38">
        <w:rPr>
          <w:i/>
          <w:color w:val="365F91" w:themeColor="accent1" w:themeShade="BF"/>
        </w:rPr>
        <w:t>/in-kind</w:t>
      </w:r>
      <w:r w:rsidRPr="000043F8">
        <w:rPr>
          <w:i/>
          <w:color w:val="365F91" w:themeColor="accent1" w:themeShade="BF"/>
        </w:rPr>
        <w:t xml:space="preserve"> contributions from those sources (e.g. state government) such as a commercial finance agreement or letter of offer with your application</w:t>
      </w:r>
      <w:r>
        <w:rPr>
          <w:i/>
          <w:color w:val="365F91" w:themeColor="accent1" w:themeShade="BF"/>
        </w:rPr>
        <w:t>.</w:t>
      </w:r>
    </w:p>
    <w:p w14:paraId="03421B4C" w14:textId="6841026F" w:rsidR="00452339" w:rsidRDefault="00452339" w:rsidP="00452339">
      <w:pPr>
        <w:pStyle w:val="ListBullet"/>
      </w:pPr>
      <w:r>
        <w:t xml:space="preserve">Evidence of </w:t>
      </w:r>
      <w:r w:rsidR="00CE0AB5">
        <w:t>incorporated association or n</w:t>
      </w:r>
      <w:r w:rsidR="006B0A92">
        <w:t xml:space="preserve">ot for </w:t>
      </w:r>
      <w:r w:rsidR="00CE0AB5">
        <w:t>p</w:t>
      </w:r>
      <w:r w:rsidR="006B0A92">
        <w:t xml:space="preserve">rofit </w:t>
      </w:r>
      <w:r w:rsidR="00CE0AB5">
        <w:t>o</w:t>
      </w:r>
      <w:r w:rsidR="006B0A92">
        <w:t>rganisation ((if applicable)</w:t>
      </w:r>
    </w:p>
    <w:p w14:paraId="5A1F8225" w14:textId="77777777" w:rsidR="00452339" w:rsidRDefault="00452339" w:rsidP="00452339">
      <w:pPr>
        <w:rPr>
          <w:i/>
          <w:color w:val="365F91" w:themeColor="accent1" w:themeShade="BF"/>
        </w:rPr>
      </w:pPr>
      <w:r w:rsidRPr="00452339">
        <w:rPr>
          <w:i/>
          <w:color w:val="365F91" w:themeColor="accent1" w:themeShade="BF"/>
        </w:rPr>
        <w:t>If you are applying as an incorporated association or not for profit organisation, you must demonstrate your entity statu</w:t>
      </w:r>
      <w:r>
        <w:rPr>
          <w:i/>
          <w:color w:val="365F91" w:themeColor="accent1" w:themeShade="BF"/>
        </w:rPr>
        <w:t xml:space="preserve">s through one of the following: </w:t>
      </w:r>
    </w:p>
    <w:p w14:paraId="71918EA6" w14:textId="2A7208B4" w:rsidR="00452339" w:rsidRPr="00452339" w:rsidRDefault="00452339" w:rsidP="00452339">
      <w:pPr>
        <w:pStyle w:val="ListBullet"/>
        <w:rPr>
          <w:i/>
          <w:color w:val="365F91" w:themeColor="accent1" w:themeShade="BF"/>
        </w:rPr>
      </w:pPr>
      <w:r w:rsidRPr="00452339">
        <w:rPr>
          <w:i/>
          <w:color w:val="365F91" w:themeColor="accent1" w:themeShade="BF"/>
        </w:rPr>
        <w:t xml:space="preserve">State or territory incorporated association status (e.g. registration number or certificate of incorporation) </w:t>
      </w:r>
    </w:p>
    <w:p w14:paraId="58814F75" w14:textId="77777777" w:rsidR="00452339" w:rsidRPr="00452339" w:rsidRDefault="00452339" w:rsidP="00452339">
      <w:pPr>
        <w:pStyle w:val="ListBullet"/>
        <w:rPr>
          <w:i/>
          <w:color w:val="365F91" w:themeColor="accent1" w:themeShade="BF"/>
        </w:rPr>
      </w:pPr>
      <w:r w:rsidRPr="00452339">
        <w:rPr>
          <w:i/>
          <w:color w:val="365F91" w:themeColor="accent1" w:themeShade="BF"/>
        </w:rPr>
        <w:t>current Australian Charities and Not for profits Commission’s (ACNC) registration</w:t>
      </w:r>
    </w:p>
    <w:p w14:paraId="1FCAA8DE" w14:textId="3EED816B" w:rsidR="00452339" w:rsidRPr="00452339" w:rsidRDefault="00452339" w:rsidP="00452339">
      <w:pPr>
        <w:pStyle w:val="ListBullet"/>
        <w:rPr>
          <w:i/>
          <w:color w:val="365F91" w:themeColor="accent1" w:themeShade="BF"/>
        </w:rPr>
      </w:pPr>
      <w:r w:rsidRPr="00452339">
        <w:rPr>
          <w:i/>
          <w:color w:val="365F91" w:themeColor="accent1" w:themeShade="BF"/>
        </w:rPr>
        <w:t xml:space="preserve">constitutional documents and/or Articles of Association that demonstrate the character of the organisation </w:t>
      </w:r>
    </w:p>
    <w:p w14:paraId="261ED3C9" w14:textId="70F179A8" w:rsidR="00452339" w:rsidRPr="00452339" w:rsidRDefault="004B3744" w:rsidP="00452339">
      <w:pPr>
        <w:pStyle w:val="ListBullet"/>
        <w:rPr>
          <w:i/>
          <w:color w:val="365F91" w:themeColor="accent1" w:themeShade="BF"/>
        </w:rPr>
      </w:pPr>
      <w:proofErr w:type="gramStart"/>
      <w:r>
        <w:rPr>
          <w:i/>
          <w:color w:val="365F91" w:themeColor="accent1" w:themeShade="BF"/>
        </w:rPr>
        <w:t>l</w:t>
      </w:r>
      <w:r w:rsidRPr="00452339">
        <w:rPr>
          <w:i/>
          <w:color w:val="365F91" w:themeColor="accent1" w:themeShade="BF"/>
        </w:rPr>
        <w:t>egislation</w:t>
      </w:r>
      <w:proofErr w:type="gramEnd"/>
      <w:r w:rsidR="00452339" w:rsidRPr="00452339">
        <w:rPr>
          <w:i/>
          <w:color w:val="365F91" w:themeColor="accent1" w:themeShade="BF"/>
        </w:rPr>
        <w:t xml:space="preserve"> that demonstrates the character of the organisation.</w:t>
      </w:r>
    </w:p>
    <w:p w14:paraId="1F780670" w14:textId="77777777" w:rsidR="00A52D77" w:rsidRDefault="00A52D77" w:rsidP="00A52D77">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6D71CE" w:rsidP="00B33130">
      <w:pPr>
        <w:pStyle w:val="ListBullet"/>
      </w:pPr>
      <w:hyperlink r:id="rId30" w:history="1">
        <w:r w:rsidR="00B33130" w:rsidRPr="00E46E90">
          <w:rPr>
            <w:rStyle w:val="Hyperlink"/>
          </w:rPr>
          <w:t>Australian Government Public Data Policy Statement</w:t>
        </w:r>
      </w:hyperlink>
    </w:p>
    <w:p w14:paraId="1C4B36D1" w14:textId="2C2FCB6F" w:rsidR="00B33130" w:rsidRPr="00E46E90" w:rsidRDefault="006D71CE" w:rsidP="00B33130">
      <w:pPr>
        <w:pStyle w:val="ListBullet"/>
      </w:pPr>
      <w:hyperlink r:id="rId31" w:history="1">
        <w:r w:rsidR="00B33130" w:rsidRPr="00E46E90">
          <w:rPr>
            <w:rStyle w:val="Hyperlink"/>
          </w:rPr>
          <w:t>Commonwealth Grants Rules and Guidelines</w:t>
        </w:r>
      </w:hyperlink>
      <w:r w:rsidR="00B33130" w:rsidRPr="00E46E90">
        <w:t xml:space="preserve"> </w:t>
      </w:r>
    </w:p>
    <w:p w14:paraId="0C82AF78" w14:textId="4CDDBF5C" w:rsidR="00B33130" w:rsidRPr="00E46E90" w:rsidRDefault="003D205B" w:rsidP="00B33130">
      <w:pPr>
        <w:pStyle w:val="ListBullet"/>
      </w:pPr>
      <w:r>
        <w:t xml:space="preserve">[program/ </w:t>
      </w:r>
      <w:r w:rsidR="00CA1934">
        <w:t>grant opportunity</w:t>
      </w:r>
      <w:r w:rsidR="00B33130" w:rsidRPr="00E46E90">
        <w:t xml:space="preserve"> </w:t>
      </w:r>
      <w:r w:rsidR="00B33130">
        <w:t>g</w:t>
      </w:r>
      <w:r w:rsidR="00B33130" w:rsidRPr="00E46E90">
        <w:t>uidelines</w:t>
      </w:r>
      <w:r>
        <w:t>]</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FE8F2B0"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097FD" w14:textId="77777777" w:rsidR="00F353C1" w:rsidRDefault="00F353C1" w:rsidP="00D511C1">
      <w:pPr>
        <w:spacing w:after="0" w:line="240" w:lineRule="auto"/>
      </w:pPr>
      <w:r>
        <w:separator/>
      </w:r>
    </w:p>
  </w:endnote>
  <w:endnote w:type="continuationSeparator" w:id="0">
    <w:p w14:paraId="021BF0F4" w14:textId="77777777" w:rsidR="00F353C1" w:rsidRDefault="00F353C1" w:rsidP="00D511C1">
      <w:pPr>
        <w:spacing w:after="0" w:line="240" w:lineRule="auto"/>
      </w:pPr>
      <w:r>
        <w:continuationSeparator/>
      </w:r>
    </w:p>
  </w:endnote>
  <w:endnote w:type="continuationNotice" w:id="1">
    <w:p w14:paraId="256206BD" w14:textId="77777777" w:rsidR="00F353C1" w:rsidRDefault="00F353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04B176C6" w:rsidR="00F353C1" w:rsidRPr="00865BEB" w:rsidRDefault="006D71CE"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F353C1">
          <w:t>Preparing Australian Communities – Local Stream application requirements</w:t>
        </w:r>
      </w:sdtContent>
    </w:sdt>
    <w:r w:rsidR="00F353C1">
      <w:tab/>
      <w:t>November 2021</w:t>
    </w:r>
    <w:r w:rsidR="00F353C1">
      <w:ptab w:relativeTo="margin" w:alignment="right" w:leader="none"/>
    </w:r>
    <w:r w:rsidR="00F353C1" w:rsidRPr="00D511C1">
      <w:fldChar w:fldCharType="begin"/>
    </w:r>
    <w:r w:rsidR="00F353C1" w:rsidRPr="00D511C1">
      <w:instrText xml:space="preserve"> PAGE </w:instrText>
    </w:r>
    <w:r w:rsidR="00F353C1" w:rsidRPr="00D511C1">
      <w:fldChar w:fldCharType="separate"/>
    </w:r>
    <w:r>
      <w:rPr>
        <w:noProof/>
      </w:rPr>
      <w:t>2</w:t>
    </w:r>
    <w:r w:rsidR="00F353C1" w:rsidRPr="00D511C1">
      <w:fldChar w:fldCharType="end"/>
    </w:r>
    <w:r w:rsidR="00F353C1">
      <w:t xml:space="preserve"> of </w:t>
    </w:r>
    <w:r w:rsidR="00F353C1">
      <w:rPr>
        <w:noProof/>
      </w:rPr>
      <w:fldChar w:fldCharType="begin"/>
    </w:r>
    <w:r w:rsidR="00F353C1">
      <w:rPr>
        <w:noProof/>
      </w:rPr>
      <w:instrText xml:space="preserve"> NUMPAGES  \* Arabic  \* MERGEFORMAT </w:instrText>
    </w:r>
    <w:r w:rsidR="00F353C1">
      <w:rPr>
        <w:noProof/>
      </w:rPr>
      <w:fldChar w:fldCharType="separate"/>
    </w:r>
    <w:r>
      <w:rPr>
        <w:noProof/>
      </w:rPr>
      <w:t>28</w:t>
    </w:r>
    <w:r w:rsidR="00F353C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8B3DC4C" w:rsidR="00F353C1" w:rsidRPr="00865BEB" w:rsidRDefault="006D71CE"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353C1">
          <w:t xml:space="preserve">Preparing Australian Communities – Local Stream application </w:t>
        </w:r>
        <w:proofErr w:type="gramStart"/>
        <w:r w:rsidR="00F353C1">
          <w:t>requirements</w:t>
        </w:r>
        <w:proofErr w:type="gramEnd"/>
      </w:sdtContent>
    </w:sdt>
    <w:r w:rsidR="00F353C1">
      <w:ptab w:relativeTo="margin" w:alignment="center" w:leader="none"/>
    </w:r>
    <w:r w:rsidR="00F353C1">
      <w:t>[Month][Year]</w:t>
    </w:r>
    <w:r w:rsidR="00F353C1">
      <w:ptab w:relativeTo="margin" w:alignment="right" w:leader="none"/>
    </w:r>
    <w:r w:rsidR="00F353C1" w:rsidRPr="00D511C1">
      <w:fldChar w:fldCharType="begin"/>
    </w:r>
    <w:r w:rsidR="00F353C1" w:rsidRPr="00D511C1">
      <w:instrText xml:space="preserve"> PAGE </w:instrText>
    </w:r>
    <w:r w:rsidR="00F353C1" w:rsidRPr="00D511C1">
      <w:fldChar w:fldCharType="separate"/>
    </w:r>
    <w:r w:rsidR="00F353C1">
      <w:rPr>
        <w:noProof/>
      </w:rPr>
      <w:t>32</w:t>
    </w:r>
    <w:r w:rsidR="00F353C1" w:rsidRPr="00D511C1">
      <w:fldChar w:fldCharType="end"/>
    </w:r>
    <w:r w:rsidR="00F353C1">
      <w:t xml:space="preserve"> of </w:t>
    </w:r>
    <w:r w:rsidR="00F353C1">
      <w:rPr>
        <w:noProof/>
      </w:rPr>
      <w:fldChar w:fldCharType="begin"/>
    </w:r>
    <w:r w:rsidR="00F353C1">
      <w:rPr>
        <w:noProof/>
      </w:rPr>
      <w:instrText xml:space="preserve"> NUMPAGES  \* Arabic  \* MERGEFORMAT </w:instrText>
    </w:r>
    <w:r w:rsidR="00F353C1">
      <w:rPr>
        <w:noProof/>
      </w:rPr>
      <w:fldChar w:fldCharType="separate"/>
    </w:r>
    <w:r>
      <w:rPr>
        <w:noProof/>
      </w:rPr>
      <w:t>28</w:t>
    </w:r>
    <w:r w:rsidR="00F353C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282F8" w14:textId="77777777" w:rsidR="00F353C1" w:rsidRDefault="00F353C1" w:rsidP="00D511C1">
      <w:pPr>
        <w:spacing w:after="0" w:line="240" w:lineRule="auto"/>
      </w:pPr>
      <w:r>
        <w:separator/>
      </w:r>
    </w:p>
  </w:footnote>
  <w:footnote w:type="continuationSeparator" w:id="0">
    <w:p w14:paraId="7B886B1B" w14:textId="77777777" w:rsidR="00F353C1" w:rsidRDefault="00F353C1" w:rsidP="00D511C1">
      <w:pPr>
        <w:spacing w:after="0" w:line="240" w:lineRule="auto"/>
      </w:pPr>
      <w:r>
        <w:continuationSeparator/>
      </w:r>
    </w:p>
  </w:footnote>
  <w:footnote w:type="continuationNotice" w:id="1">
    <w:p w14:paraId="003619E1" w14:textId="77777777" w:rsidR="00F353C1" w:rsidRDefault="00F353C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F353C1" w:rsidRDefault="006D71CE">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F353C1" w:rsidRPr="00D511C1" w:rsidRDefault="006D71CE"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353C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0359E4AC" w:rsidR="00F353C1" w:rsidRPr="005326A9" w:rsidRDefault="00F353C1" w:rsidP="0011453C">
    <w:pPr>
      <w:pStyle w:val="NoSpacing"/>
    </w:pPr>
    <w:r>
      <w:rPr>
        <w:noProof/>
        <w:lang w:eastAsia="en-AU"/>
      </w:rPr>
      <w:drawing>
        <wp:inline distT="0" distB="0" distL="0" distR="0" wp14:anchorId="2AA64F03" wp14:editId="4931E63A">
          <wp:extent cx="4297958" cy="100699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58455" cy="1021172"/>
                  </a:xfrm>
                  <a:prstGeom prst="rect">
                    <a:avLst/>
                  </a:prstGeom>
                </pic:spPr>
              </pic:pic>
            </a:graphicData>
          </a:graphic>
        </wp:inline>
      </w:drawing>
    </w:r>
  </w:p>
  <w:p w14:paraId="361E1B65" w14:textId="779C4582" w:rsidR="00F353C1" w:rsidRPr="0011453C" w:rsidRDefault="00F353C1" w:rsidP="0011453C">
    <w:pPr>
      <w:pStyle w:val="Title"/>
    </w:pPr>
    <w:r>
      <w:t>Sample a</w:t>
    </w:r>
    <w:r w:rsidRPr="004B67A6">
      <w:t>pplication</w:t>
    </w:r>
    <w:r>
      <w:t xml:space="preserve"> f</w:t>
    </w:r>
    <w:r w:rsidRPr="00E02936">
      <w:t>orm</w:t>
    </w:r>
    <w:r w:rsidR="006D71CE">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F353C1" w:rsidRDefault="006D71CE">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F353C1" w:rsidRPr="00081134" w:rsidRDefault="00F353C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D71CE">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F353C1" w:rsidRPr="00E806BA" w:rsidRDefault="006D71CE"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353C1"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06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1471B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52C5F2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8F0E02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00C3F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CD1279"/>
    <w:multiLevelType w:val="hybridMultilevel"/>
    <w:tmpl w:val="AD1A6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AF75E4"/>
    <w:multiLevelType w:val="hybridMultilevel"/>
    <w:tmpl w:val="F73EA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2847"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DA71545"/>
    <w:multiLevelType w:val="hybridMultilevel"/>
    <w:tmpl w:val="D23852F2"/>
    <w:lvl w:ilvl="0" w:tplc="EDFA2D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2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3"/>
  </w:num>
  <w:num w:numId="20">
    <w:abstractNumId w:val="24"/>
  </w:num>
  <w:num w:numId="21">
    <w:abstractNumId w:val="6"/>
  </w:num>
  <w:num w:numId="22">
    <w:abstractNumId w:val="1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num>
  <w:num w:numId="27">
    <w:abstractNumId w:val="21"/>
  </w:num>
  <w:num w:numId="28">
    <w:abstractNumId w:val="14"/>
  </w:num>
  <w:num w:numId="29">
    <w:abstractNumId w:va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0"/>
  </w:num>
  <w:num w:numId="33">
    <w:abstractNumId w:val="10"/>
    <w:lvlOverride w:ilvl="0">
      <w:startOverride w:val="1"/>
    </w:lvlOverride>
  </w:num>
  <w:num w:numId="34">
    <w:abstractNumId w:val="10"/>
    <w:lvlOverride w:ilvl="0">
      <w:startOverride w:val="1"/>
    </w:lvlOverride>
  </w:num>
  <w:num w:numId="35">
    <w:abstractNumId w:val="9"/>
  </w:num>
  <w:num w:numId="36">
    <w:abstractNumId w:val="25"/>
  </w:num>
  <w:num w:numId="37">
    <w:abstractNumId w:val="25"/>
  </w:num>
  <w:num w:numId="38">
    <w:abstractNumId w:val="25"/>
  </w:num>
  <w:num w:numId="3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43F8"/>
    <w:rsid w:val="00006962"/>
    <w:rsid w:val="00007BBB"/>
    <w:rsid w:val="00007E5F"/>
    <w:rsid w:val="0001014F"/>
    <w:rsid w:val="00010525"/>
    <w:rsid w:val="00011E42"/>
    <w:rsid w:val="00012650"/>
    <w:rsid w:val="00014B36"/>
    <w:rsid w:val="000208B6"/>
    <w:rsid w:val="00021CF8"/>
    <w:rsid w:val="00021D56"/>
    <w:rsid w:val="0002295C"/>
    <w:rsid w:val="0002392B"/>
    <w:rsid w:val="000245D7"/>
    <w:rsid w:val="00024CBE"/>
    <w:rsid w:val="00027212"/>
    <w:rsid w:val="00030B86"/>
    <w:rsid w:val="00031738"/>
    <w:rsid w:val="000324FA"/>
    <w:rsid w:val="00032FE9"/>
    <w:rsid w:val="000337DD"/>
    <w:rsid w:val="00036301"/>
    <w:rsid w:val="00036C15"/>
    <w:rsid w:val="00037738"/>
    <w:rsid w:val="0003774E"/>
    <w:rsid w:val="000406C2"/>
    <w:rsid w:val="0004188B"/>
    <w:rsid w:val="00041962"/>
    <w:rsid w:val="00043F1D"/>
    <w:rsid w:val="000447C7"/>
    <w:rsid w:val="00045B3D"/>
    <w:rsid w:val="000460A1"/>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65E"/>
    <w:rsid w:val="00090B1D"/>
    <w:rsid w:val="00090E06"/>
    <w:rsid w:val="00092C63"/>
    <w:rsid w:val="00093372"/>
    <w:rsid w:val="0009338C"/>
    <w:rsid w:val="00094461"/>
    <w:rsid w:val="000950AE"/>
    <w:rsid w:val="0009524F"/>
    <w:rsid w:val="000954BA"/>
    <w:rsid w:val="00095697"/>
    <w:rsid w:val="00096774"/>
    <w:rsid w:val="000A127A"/>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4832"/>
    <w:rsid w:val="000B637A"/>
    <w:rsid w:val="000B68AA"/>
    <w:rsid w:val="000B6DC2"/>
    <w:rsid w:val="000C38F8"/>
    <w:rsid w:val="000C6F21"/>
    <w:rsid w:val="000C715F"/>
    <w:rsid w:val="000D1063"/>
    <w:rsid w:val="000D12FA"/>
    <w:rsid w:val="000D2269"/>
    <w:rsid w:val="000D3E5E"/>
    <w:rsid w:val="000D488A"/>
    <w:rsid w:val="000D4898"/>
    <w:rsid w:val="000D4AC9"/>
    <w:rsid w:val="000D4BCF"/>
    <w:rsid w:val="000D5F36"/>
    <w:rsid w:val="000E0FC7"/>
    <w:rsid w:val="000E286F"/>
    <w:rsid w:val="000E2DB5"/>
    <w:rsid w:val="000E3023"/>
    <w:rsid w:val="000E32A3"/>
    <w:rsid w:val="000E4871"/>
    <w:rsid w:val="000E6802"/>
    <w:rsid w:val="000E6AB0"/>
    <w:rsid w:val="000F06EA"/>
    <w:rsid w:val="000F2A42"/>
    <w:rsid w:val="000F36C0"/>
    <w:rsid w:val="000F3805"/>
    <w:rsid w:val="000F5EAA"/>
    <w:rsid w:val="000F643C"/>
    <w:rsid w:val="000F6BE6"/>
    <w:rsid w:val="000F79B2"/>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86A"/>
    <w:rsid w:val="00121AAE"/>
    <w:rsid w:val="0012229E"/>
    <w:rsid w:val="001255B3"/>
    <w:rsid w:val="0012649E"/>
    <w:rsid w:val="0012772D"/>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47CA0"/>
    <w:rsid w:val="00150C1C"/>
    <w:rsid w:val="00150F4C"/>
    <w:rsid w:val="0015153C"/>
    <w:rsid w:val="001516E1"/>
    <w:rsid w:val="00156F84"/>
    <w:rsid w:val="00157DDB"/>
    <w:rsid w:val="001611D5"/>
    <w:rsid w:val="001636AD"/>
    <w:rsid w:val="0016470F"/>
    <w:rsid w:val="00165073"/>
    <w:rsid w:val="00166B73"/>
    <w:rsid w:val="00166D62"/>
    <w:rsid w:val="00166F12"/>
    <w:rsid w:val="001670A9"/>
    <w:rsid w:val="00167D2F"/>
    <w:rsid w:val="00171773"/>
    <w:rsid w:val="00171DAC"/>
    <w:rsid w:val="0017387B"/>
    <w:rsid w:val="00173E0D"/>
    <w:rsid w:val="00173F0D"/>
    <w:rsid w:val="00174269"/>
    <w:rsid w:val="001743E2"/>
    <w:rsid w:val="001753B1"/>
    <w:rsid w:val="001753B3"/>
    <w:rsid w:val="00180E89"/>
    <w:rsid w:val="001811C1"/>
    <w:rsid w:val="00182735"/>
    <w:rsid w:val="0018405F"/>
    <w:rsid w:val="00184646"/>
    <w:rsid w:val="00186827"/>
    <w:rsid w:val="00191671"/>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5BB5"/>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34DF"/>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055"/>
    <w:rsid w:val="00232385"/>
    <w:rsid w:val="002344B3"/>
    <w:rsid w:val="002357A2"/>
    <w:rsid w:val="0023756C"/>
    <w:rsid w:val="002405E4"/>
    <w:rsid w:val="00242061"/>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97474"/>
    <w:rsid w:val="002A1A4E"/>
    <w:rsid w:val="002B1FAA"/>
    <w:rsid w:val="002B2E14"/>
    <w:rsid w:val="002B4A0C"/>
    <w:rsid w:val="002B4FE8"/>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052"/>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27AE"/>
    <w:rsid w:val="00315287"/>
    <w:rsid w:val="003160A1"/>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3DE"/>
    <w:rsid w:val="00363749"/>
    <w:rsid w:val="00364658"/>
    <w:rsid w:val="00367758"/>
    <w:rsid w:val="00375922"/>
    <w:rsid w:val="00376C9A"/>
    <w:rsid w:val="00376F45"/>
    <w:rsid w:val="00381530"/>
    <w:rsid w:val="00383754"/>
    <w:rsid w:val="00383957"/>
    <w:rsid w:val="00383D09"/>
    <w:rsid w:val="00384FE0"/>
    <w:rsid w:val="00385414"/>
    <w:rsid w:val="00387851"/>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C6D4D"/>
    <w:rsid w:val="003D0237"/>
    <w:rsid w:val="003D205B"/>
    <w:rsid w:val="003D3C68"/>
    <w:rsid w:val="003D5074"/>
    <w:rsid w:val="003D529F"/>
    <w:rsid w:val="003D5F48"/>
    <w:rsid w:val="003D66FA"/>
    <w:rsid w:val="003D7124"/>
    <w:rsid w:val="003D7EE0"/>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04CA"/>
    <w:rsid w:val="00411399"/>
    <w:rsid w:val="00411A74"/>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37D65"/>
    <w:rsid w:val="00441785"/>
    <w:rsid w:val="00442D4F"/>
    <w:rsid w:val="004460AA"/>
    <w:rsid w:val="00447835"/>
    <w:rsid w:val="00451F20"/>
    <w:rsid w:val="00452339"/>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231"/>
    <w:rsid w:val="0048238D"/>
    <w:rsid w:val="004824F5"/>
    <w:rsid w:val="00483CC3"/>
    <w:rsid w:val="00485B56"/>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A7F75"/>
    <w:rsid w:val="004B35B6"/>
    <w:rsid w:val="004B3744"/>
    <w:rsid w:val="004B3B47"/>
    <w:rsid w:val="004B50A5"/>
    <w:rsid w:val="004B683C"/>
    <w:rsid w:val="004B7314"/>
    <w:rsid w:val="004C0B7B"/>
    <w:rsid w:val="004C0C5C"/>
    <w:rsid w:val="004C0CC2"/>
    <w:rsid w:val="004C0E3F"/>
    <w:rsid w:val="004C5328"/>
    <w:rsid w:val="004C5457"/>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D2"/>
    <w:rsid w:val="004F660A"/>
    <w:rsid w:val="004F6AFB"/>
    <w:rsid w:val="004F76E5"/>
    <w:rsid w:val="0050053D"/>
    <w:rsid w:val="00500CE5"/>
    <w:rsid w:val="00501117"/>
    <w:rsid w:val="00502579"/>
    <w:rsid w:val="00503010"/>
    <w:rsid w:val="00503363"/>
    <w:rsid w:val="00503967"/>
    <w:rsid w:val="005117D1"/>
    <w:rsid w:val="00511AED"/>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4F7"/>
    <w:rsid w:val="00536FE3"/>
    <w:rsid w:val="00537850"/>
    <w:rsid w:val="0054158B"/>
    <w:rsid w:val="00543F82"/>
    <w:rsid w:val="005448BE"/>
    <w:rsid w:val="00545104"/>
    <w:rsid w:val="0054520A"/>
    <w:rsid w:val="00545254"/>
    <w:rsid w:val="0054611C"/>
    <w:rsid w:val="005470C6"/>
    <w:rsid w:val="005473FE"/>
    <w:rsid w:val="00550262"/>
    <w:rsid w:val="0055117F"/>
    <w:rsid w:val="005520E1"/>
    <w:rsid w:val="0055300D"/>
    <w:rsid w:val="00554AFF"/>
    <w:rsid w:val="0056003B"/>
    <w:rsid w:val="0056085E"/>
    <w:rsid w:val="0056243A"/>
    <w:rsid w:val="00562EC3"/>
    <w:rsid w:val="005634A2"/>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5CDD"/>
    <w:rsid w:val="00596C8F"/>
    <w:rsid w:val="005A1782"/>
    <w:rsid w:val="005A2231"/>
    <w:rsid w:val="005A31D5"/>
    <w:rsid w:val="005A3A45"/>
    <w:rsid w:val="005A54DA"/>
    <w:rsid w:val="005A5ACD"/>
    <w:rsid w:val="005A6BF2"/>
    <w:rsid w:val="005A6E8C"/>
    <w:rsid w:val="005A72FC"/>
    <w:rsid w:val="005A7E4F"/>
    <w:rsid w:val="005A7E52"/>
    <w:rsid w:val="005B08CE"/>
    <w:rsid w:val="005B293A"/>
    <w:rsid w:val="005B330A"/>
    <w:rsid w:val="005B4A29"/>
    <w:rsid w:val="005B639C"/>
    <w:rsid w:val="005B667C"/>
    <w:rsid w:val="005C2196"/>
    <w:rsid w:val="005C2706"/>
    <w:rsid w:val="005C2B0C"/>
    <w:rsid w:val="005C3316"/>
    <w:rsid w:val="005C4AE8"/>
    <w:rsid w:val="005C5BED"/>
    <w:rsid w:val="005C5DAE"/>
    <w:rsid w:val="005C672B"/>
    <w:rsid w:val="005C6EA2"/>
    <w:rsid w:val="005C76AB"/>
    <w:rsid w:val="005C7EA4"/>
    <w:rsid w:val="005D2E80"/>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0777D"/>
    <w:rsid w:val="00610C34"/>
    <w:rsid w:val="00611982"/>
    <w:rsid w:val="00612CBA"/>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2CA"/>
    <w:rsid w:val="00640811"/>
    <w:rsid w:val="00641CDF"/>
    <w:rsid w:val="00642369"/>
    <w:rsid w:val="00643398"/>
    <w:rsid w:val="006441E5"/>
    <w:rsid w:val="006449DF"/>
    <w:rsid w:val="0064544F"/>
    <w:rsid w:val="00646A76"/>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85284"/>
    <w:rsid w:val="00691493"/>
    <w:rsid w:val="00692BFC"/>
    <w:rsid w:val="006932D6"/>
    <w:rsid w:val="006A2367"/>
    <w:rsid w:val="006A3597"/>
    <w:rsid w:val="006A5371"/>
    <w:rsid w:val="006A5D0F"/>
    <w:rsid w:val="006A6271"/>
    <w:rsid w:val="006A6852"/>
    <w:rsid w:val="006A6CB0"/>
    <w:rsid w:val="006A7322"/>
    <w:rsid w:val="006B0A92"/>
    <w:rsid w:val="006B1586"/>
    <w:rsid w:val="006B2994"/>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1CE"/>
    <w:rsid w:val="006D74DB"/>
    <w:rsid w:val="006E0B5F"/>
    <w:rsid w:val="006E1663"/>
    <w:rsid w:val="006E31D3"/>
    <w:rsid w:val="006E4FA7"/>
    <w:rsid w:val="006E5764"/>
    <w:rsid w:val="006E704B"/>
    <w:rsid w:val="006E7D59"/>
    <w:rsid w:val="006F007D"/>
    <w:rsid w:val="006F2BFA"/>
    <w:rsid w:val="006F33E5"/>
    <w:rsid w:val="006F39A7"/>
    <w:rsid w:val="006F3F94"/>
    <w:rsid w:val="006F55E5"/>
    <w:rsid w:val="006F7245"/>
    <w:rsid w:val="006F7DD1"/>
    <w:rsid w:val="00701A00"/>
    <w:rsid w:val="00702AE4"/>
    <w:rsid w:val="00703671"/>
    <w:rsid w:val="0070463D"/>
    <w:rsid w:val="00706B61"/>
    <w:rsid w:val="00711340"/>
    <w:rsid w:val="00712253"/>
    <w:rsid w:val="00712B0A"/>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19D"/>
    <w:rsid w:val="007507F9"/>
    <w:rsid w:val="007535B0"/>
    <w:rsid w:val="00753E0B"/>
    <w:rsid w:val="00753FB8"/>
    <w:rsid w:val="00755E2A"/>
    <w:rsid w:val="00760C94"/>
    <w:rsid w:val="00762967"/>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51EE"/>
    <w:rsid w:val="007C0231"/>
    <w:rsid w:val="007C0889"/>
    <w:rsid w:val="007C1492"/>
    <w:rsid w:val="007C26A6"/>
    <w:rsid w:val="007C4568"/>
    <w:rsid w:val="007D0190"/>
    <w:rsid w:val="007D05DD"/>
    <w:rsid w:val="007D0E02"/>
    <w:rsid w:val="007D172B"/>
    <w:rsid w:val="007D290F"/>
    <w:rsid w:val="007D5F43"/>
    <w:rsid w:val="007D7408"/>
    <w:rsid w:val="007D7562"/>
    <w:rsid w:val="007E183E"/>
    <w:rsid w:val="007E1D0C"/>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24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274"/>
    <w:rsid w:val="008443B5"/>
    <w:rsid w:val="00845EDC"/>
    <w:rsid w:val="008508B2"/>
    <w:rsid w:val="008510D7"/>
    <w:rsid w:val="0085144F"/>
    <w:rsid w:val="008528D9"/>
    <w:rsid w:val="008540FB"/>
    <w:rsid w:val="00854AE6"/>
    <w:rsid w:val="0085782F"/>
    <w:rsid w:val="00857D44"/>
    <w:rsid w:val="00861F22"/>
    <w:rsid w:val="00861FE9"/>
    <w:rsid w:val="0086233D"/>
    <w:rsid w:val="00863F3D"/>
    <w:rsid w:val="00865BEB"/>
    <w:rsid w:val="008702DA"/>
    <w:rsid w:val="00871E71"/>
    <w:rsid w:val="00874E67"/>
    <w:rsid w:val="00876076"/>
    <w:rsid w:val="008767D4"/>
    <w:rsid w:val="00876BA8"/>
    <w:rsid w:val="00876BF3"/>
    <w:rsid w:val="00876D46"/>
    <w:rsid w:val="00877AEC"/>
    <w:rsid w:val="00877DA9"/>
    <w:rsid w:val="00880BCD"/>
    <w:rsid w:val="00881C1C"/>
    <w:rsid w:val="00883DB4"/>
    <w:rsid w:val="0088514C"/>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4BE2"/>
    <w:rsid w:val="008A5999"/>
    <w:rsid w:val="008A60EF"/>
    <w:rsid w:val="008A61A2"/>
    <w:rsid w:val="008A6206"/>
    <w:rsid w:val="008A64A7"/>
    <w:rsid w:val="008A78D0"/>
    <w:rsid w:val="008B2FEF"/>
    <w:rsid w:val="008B6789"/>
    <w:rsid w:val="008B7F95"/>
    <w:rsid w:val="008C1BE2"/>
    <w:rsid w:val="008C1C25"/>
    <w:rsid w:val="008C4780"/>
    <w:rsid w:val="008C4CDD"/>
    <w:rsid w:val="008C5213"/>
    <w:rsid w:val="008C5CA7"/>
    <w:rsid w:val="008C5CB2"/>
    <w:rsid w:val="008C69EB"/>
    <w:rsid w:val="008D10A2"/>
    <w:rsid w:val="008D1C96"/>
    <w:rsid w:val="008D35C5"/>
    <w:rsid w:val="008D4613"/>
    <w:rsid w:val="008D4BE4"/>
    <w:rsid w:val="008D54D7"/>
    <w:rsid w:val="008D60EA"/>
    <w:rsid w:val="008E08DB"/>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1D8"/>
    <w:rsid w:val="009116B1"/>
    <w:rsid w:val="009117E5"/>
    <w:rsid w:val="009118A9"/>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8B1"/>
    <w:rsid w:val="00944BF6"/>
    <w:rsid w:val="00944FBE"/>
    <w:rsid w:val="009508A5"/>
    <w:rsid w:val="00954C0E"/>
    <w:rsid w:val="009566C7"/>
    <w:rsid w:val="00956DE9"/>
    <w:rsid w:val="00956DFF"/>
    <w:rsid w:val="00957127"/>
    <w:rsid w:val="00957243"/>
    <w:rsid w:val="00960172"/>
    <w:rsid w:val="0096090D"/>
    <w:rsid w:val="00964B54"/>
    <w:rsid w:val="0096517A"/>
    <w:rsid w:val="0096771E"/>
    <w:rsid w:val="009707FF"/>
    <w:rsid w:val="0097408C"/>
    <w:rsid w:val="00974495"/>
    <w:rsid w:val="0097454A"/>
    <w:rsid w:val="009745F0"/>
    <w:rsid w:val="0097542B"/>
    <w:rsid w:val="00975E13"/>
    <w:rsid w:val="0097698F"/>
    <w:rsid w:val="00976F86"/>
    <w:rsid w:val="0097717F"/>
    <w:rsid w:val="00977A06"/>
    <w:rsid w:val="009801E5"/>
    <w:rsid w:val="00984FB8"/>
    <w:rsid w:val="009851D9"/>
    <w:rsid w:val="00987E12"/>
    <w:rsid w:val="00990130"/>
    <w:rsid w:val="009904F1"/>
    <w:rsid w:val="00991D91"/>
    <w:rsid w:val="0099285D"/>
    <w:rsid w:val="009948E4"/>
    <w:rsid w:val="00996621"/>
    <w:rsid w:val="00997D12"/>
    <w:rsid w:val="00997F49"/>
    <w:rsid w:val="009A01C3"/>
    <w:rsid w:val="009A4C84"/>
    <w:rsid w:val="009A59F5"/>
    <w:rsid w:val="009A60D4"/>
    <w:rsid w:val="009A664A"/>
    <w:rsid w:val="009B09BC"/>
    <w:rsid w:val="009B3E0B"/>
    <w:rsid w:val="009B45B5"/>
    <w:rsid w:val="009B6850"/>
    <w:rsid w:val="009C1CAC"/>
    <w:rsid w:val="009C2335"/>
    <w:rsid w:val="009C6876"/>
    <w:rsid w:val="009C6EA0"/>
    <w:rsid w:val="009D5009"/>
    <w:rsid w:val="009D74A4"/>
    <w:rsid w:val="009D75E8"/>
    <w:rsid w:val="009D7BA5"/>
    <w:rsid w:val="009E18D7"/>
    <w:rsid w:val="009E64E5"/>
    <w:rsid w:val="009E73F4"/>
    <w:rsid w:val="009E7B7F"/>
    <w:rsid w:val="009E7F7B"/>
    <w:rsid w:val="009F08FE"/>
    <w:rsid w:val="009F0C78"/>
    <w:rsid w:val="009F1C1A"/>
    <w:rsid w:val="009F2E53"/>
    <w:rsid w:val="009F3866"/>
    <w:rsid w:val="009F3897"/>
    <w:rsid w:val="009F3F9C"/>
    <w:rsid w:val="009F4D85"/>
    <w:rsid w:val="009F7094"/>
    <w:rsid w:val="00A01070"/>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3F06"/>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D77"/>
    <w:rsid w:val="00A52FEF"/>
    <w:rsid w:val="00A53650"/>
    <w:rsid w:val="00A572D1"/>
    <w:rsid w:val="00A573F3"/>
    <w:rsid w:val="00A616F8"/>
    <w:rsid w:val="00A62701"/>
    <w:rsid w:val="00A64F55"/>
    <w:rsid w:val="00A666F5"/>
    <w:rsid w:val="00A70794"/>
    <w:rsid w:val="00A70E61"/>
    <w:rsid w:val="00A73196"/>
    <w:rsid w:val="00A738EC"/>
    <w:rsid w:val="00A75D69"/>
    <w:rsid w:val="00A768A9"/>
    <w:rsid w:val="00A77065"/>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B75E4"/>
    <w:rsid w:val="00AC04F0"/>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3222"/>
    <w:rsid w:val="00AE4D59"/>
    <w:rsid w:val="00AE773C"/>
    <w:rsid w:val="00AF0640"/>
    <w:rsid w:val="00AF08D6"/>
    <w:rsid w:val="00AF3890"/>
    <w:rsid w:val="00AF7DEE"/>
    <w:rsid w:val="00B00280"/>
    <w:rsid w:val="00B00C5F"/>
    <w:rsid w:val="00B00D69"/>
    <w:rsid w:val="00B02743"/>
    <w:rsid w:val="00B03688"/>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474AC"/>
    <w:rsid w:val="00B500B7"/>
    <w:rsid w:val="00B504B3"/>
    <w:rsid w:val="00B51D67"/>
    <w:rsid w:val="00B52CDD"/>
    <w:rsid w:val="00B557EC"/>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1740"/>
    <w:rsid w:val="00B82793"/>
    <w:rsid w:val="00B83CB1"/>
    <w:rsid w:val="00B841B4"/>
    <w:rsid w:val="00B8421A"/>
    <w:rsid w:val="00B845EA"/>
    <w:rsid w:val="00B9013B"/>
    <w:rsid w:val="00B904AB"/>
    <w:rsid w:val="00B936A8"/>
    <w:rsid w:val="00B94490"/>
    <w:rsid w:val="00B96155"/>
    <w:rsid w:val="00B97502"/>
    <w:rsid w:val="00BA0311"/>
    <w:rsid w:val="00BA0E61"/>
    <w:rsid w:val="00BA0FD2"/>
    <w:rsid w:val="00BA2431"/>
    <w:rsid w:val="00BA2974"/>
    <w:rsid w:val="00BA2C36"/>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2279"/>
    <w:rsid w:val="00C12C47"/>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A8F"/>
    <w:rsid w:val="00C44BA5"/>
    <w:rsid w:val="00C45F8A"/>
    <w:rsid w:val="00C46E20"/>
    <w:rsid w:val="00C473BD"/>
    <w:rsid w:val="00C507DC"/>
    <w:rsid w:val="00C50DE1"/>
    <w:rsid w:val="00C5123F"/>
    <w:rsid w:val="00C53542"/>
    <w:rsid w:val="00C63A68"/>
    <w:rsid w:val="00C64F4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49DB"/>
    <w:rsid w:val="00C95386"/>
    <w:rsid w:val="00C96AFA"/>
    <w:rsid w:val="00C96FE2"/>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0AB5"/>
    <w:rsid w:val="00CE32CD"/>
    <w:rsid w:val="00CE3423"/>
    <w:rsid w:val="00CE36F4"/>
    <w:rsid w:val="00CE3B86"/>
    <w:rsid w:val="00CE4A1B"/>
    <w:rsid w:val="00CE526B"/>
    <w:rsid w:val="00CE5BDB"/>
    <w:rsid w:val="00CF0162"/>
    <w:rsid w:val="00CF3199"/>
    <w:rsid w:val="00CF3D77"/>
    <w:rsid w:val="00CF59E9"/>
    <w:rsid w:val="00CF6627"/>
    <w:rsid w:val="00CF6873"/>
    <w:rsid w:val="00CF7A9A"/>
    <w:rsid w:val="00CF7AC0"/>
    <w:rsid w:val="00CF7F04"/>
    <w:rsid w:val="00D05499"/>
    <w:rsid w:val="00D0627D"/>
    <w:rsid w:val="00D06586"/>
    <w:rsid w:val="00D06D4D"/>
    <w:rsid w:val="00D10983"/>
    <w:rsid w:val="00D10A76"/>
    <w:rsid w:val="00D10E99"/>
    <w:rsid w:val="00D11137"/>
    <w:rsid w:val="00D122A8"/>
    <w:rsid w:val="00D12AE3"/>
    <w:rsid w:val="00D155DF"/>
    <w:rsid w:val="00D16036"/>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10D0"/>
    <w:rsid w:val="00D43873"/>
    <w:rsid w:val="00D43F3E"/>
    <w:rsid w:val="00D4555D"/>
    <w:rsid w:val="00D506FF"/>
    <w:rsid w:val="00D511C1"/>
    <w:rsid w:val="00D51FE8"/>
    <w:rsid w:val="00D53B18"/>
    <w:rsid w:val="00D54E06"/>
    <w:rsid w:val="00D55051"/>
    <w:rsid w:val="00D56EAF"/>
    <w:rsid w:val="00D5708B"/>
    <w:rsid w:val="00D573D7"/>
    <w:rsid w:val="00D604D8"/>
    <w:rsid w:val="00D6424F"/>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690A"/>
    <w:rsid w:val="00D87591"/>
    <w:rsid w:val="00D9102B"/>
    <w:rsid w:val="00D921E2"/>
    <w:rsid w:val="00D9243E"/>
    <w:rsid w:val="00D9264E"/>
    <w:rsid w:val="00D92E5C"/>
    <w:rsid w:val="00D950F5"/>
    <w:rsid w:val="00D96132"/>
    <w:rsid w:val="00DA03F5"/>
    <w:rsid w:val="00DA15E5"/>
    <w:rsid w:val="00DA3FF3"/>
    <w:rsid w:val="00DA4468"/>
    <w:rsid w:val="00DA61B3"/>
    <w:rsid w:val="00DA7252"/>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1758"/>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DF74AA"/>
    <w:rsid w:val="00E01407"/>
    <w:rsid w:val="00E015CF"/>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BA"/>
    <w:rsid w:val="00E778EA"/>
    <w:rsid w:val="00E77E6B"/>
    <w:rsid w:val="00E806BA"/>
    <w:rsid w:val="00E8081A"/>
    <w:rsid w:val="00E80988"/>
    <w:rsid w:val="00E819F5"/>
    <w:rsid w:val="00E825D0"/>
    <w:rsid w:val="00E83286"/>
    <w:rsid w:val="00E852A3"/>
    <w:rsid w:val="00E9067B"/>
    <w:rsid w:val="00E91260"/>
    <w:rsid w:val="00E92EB3"/>
    <w:rsid w:val="00E93075"/>
    <w:rsid w:val="00E93DCD"/>
    <w:rsid w:val="00E949CD"/>
    <w:rsid w:val="00E94CE6"/>
    <w:rsid w:val="00EA01A6"/>
    <w:rsid w:val="00EA105B"/>
    <w:rsid w:val="00EA1935"/>
    <w:rsid w:val="00EA1F95"/>
    <w:rsid w:val="00EA20E9"/>
    <w:rsid w:val="00EA480D"/>
    <w:rsid w:val="00EA768C"/>
    <w:rsid w:val="00EA7B18"/>
    <w:rsid w:val="00EA7B31"/>
    <w:rsid w:val="00EB12B3"/>
    <w:rsid w:val="00EB23E9"/>
    <w:rsid w:val="00EB2BF2"/>
    <w:rsid w:val="00EB3ABD"/>
    <w:rsid w:val="00EB3D05"/>
    <w:rsid w:val="00EB57E0"/>
    <w:rsid w:val="00EB6C5B"/>
    <w:rsid w:val="00EB6D2E"/>
    <w:rsid w:val="00EB7F1A"/>
    <w:rsid w:val="00EC0BFA"/>
    <w:rsid w:val="00EC402A"/>
    <w:rsid w:val="00EC4D71"/>
    <w:rsid w:val="00EC6655"/>
    <w:rsid w:val="00ED0DDE"/>
    <w:rsid w:val="00ED11A2"/>
    <w:rsid w:val="00ED1D9A"/>
    <w:rsid w:val="00ED2D3B"/>
    <w:rsid w:val="00ED2F34"/>
    <w:rsid w:val="00ED4AF4"/>
    <w:rsid w:val="00ED736D"/>
    <w:rsid w:val="00EE16D7"/>
    <w:rsid w:val="00EE198D"/>
    <w:rsid w:val="00EE2603"/>
    <w:rsid w:val="00EE5C96"/>
    <w:rsid w:val="00EE6388"/>
    <w:rsid w:val="00EE7DB8"/>
    <w:rsid w:val="00EF3E8B"/>
    <w:rsid w:val="00EF4378"/>
    <w:rsid w:val="00EF5444"/>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D38"/>
    <w:rsid w:val="00F17F46"/>
    <w:rsid w:val="00F21450"/>
    <w:rsid w:val="00F222D8"/>
    <w:rsid w:val="00F254C6"/>
    <w:rsid w:val="00F254F9"/>
    <w:rsid w:val="00F25D56"/>
    <w:rsid w:val="00F27817"/>
    <w:rsid w:val="00F30BFB"/>
    <w:rsid w:val="00F3219E"/>
    <w:rsid w:val="00F32B83"/>
    <w:rsid w:val="00F33699"/>
    <w:rsid w:val="00F34079"/>
    <w:rsid w:val="00F353C1"/>
    <w:rsid w:val="00F3700D"/>
    <w:rsid w:val="00F373A6"/>
    <w:rsid w:val="00F37F87"/>
    <w:rsid w:val="00F418D2"/>
    <w:rsid w:val="00F41EB5"/>
    <w:rsid w:val="00F4508F"/>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86DE1"/>
    <w:rsid w:val="00F902A8"/>
    <w:rsid w:val="00F92B27"/>
    <w:rsid w:val="00F954D6"/>
    <w:rsid w:val="00F96B26"/>
    <w:rsid w:val="00F97920"/>
    <w:rsid w:val="00FA0A22"/>
    <w:rsid w:val="00FA321B"/>
    <w:rsid w:val="00FA4E2B"/>
    <w:rsid w:val="00FA5001"/>
    <w:rsid w:val="00FA7F28"/>
    <w:rsid w:val="00FB10E1"/>
    <w:rsid w:val="00FB2086"/>
    <w:rsid w:val="00FB29A7"/>
    <w:rsid w:val="00FB521F"/>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13F"/>
    <w:rsid w:val="00FD726E"/>
    <w:rsid w:val="00FD72DD"/>
    <w:rsid w:val="00FD7934"/>
    <w:rsid w:val="00FE00DD"/>
    <w:rsid w:val="00FE1A26"/>
    <w:rsid w:val="00FE27B7"/>
    <w:rsid w:val="00FE30F8"/>
    <w:rsid w:val="00FE3F86"/>
    <w:rsid w:val="00FE3FFE"/>
    <w:rsid w:val="00FE5663"/>
    <w:rsid w:val="00FE5783"/>
    <w:rsid w:val="00FE65DA"/>
    <w:rsid w:val="00FE72F0"/>
    <w:rsid w:val="00FF087A"/>
    <w:rsid w:val="00FF46C4"/>
    <w:rsid w:val="00FF7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3D7EE0"/>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2357A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2357A2"/>
    <w:rPr>
      <w:rFonts w:asciiTheme="majorHAnsi" w:eastAsiaTheme="majorEastAsia" w:hAnsiTheme="majorHAnsi" w:cstheme="majorBidi"/>
      <w:color w:val="365F91" w:themeColor="accent1" w:themeShade="BF"/>
      <w:sz w:val="20"/>
    </w:rPr>
  </w:style>
  <w:style w:type="table" w:customStyle="1" w:styleId="TableGrid1">
    <w:name w:val="Table Grid1"/>
    <w:basedOn w:val="TableNormal"/>
    <w:next w:val="TableGrid"/>
    <w:rsid w:val="00CE526B"/>
    <w:pPr>
      <w:spacing w:after="120" w:line="32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s">
    <w:name w:val="Numbered Paras"/>
    <w:basedOn w:val="Normal"/>
    <w:rsid w:val="000B4832"/>
    <w:pPr>
      <w:spacing w:after="0"/>
    </w:pPr>
    <w:rPr>
      <w:rFonts w:eastAsia="Times New Roman" w:cs="Arial"/>
      <w:b/>
      <w:bCs/>
      <w:iCs/>
      <w:szCs w:val="20"/>
    </w:rPr>
  </w:style>
  <w:style w:type="paragraph" w:styleId="ListBullet5">
    <w:name w:val="List Bullet 5"/>
    <w:basedOn w:val="Normal"/>
    <w:uiPriority w:val="99"/>
    <w:unhideWhenUsed/>
    <w:rsid w:val="00452339"/>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783939">
      <w:bodyDiv w:val="1"/>
      <w:marLeft w:val="0"/>
      <w:marRight w:val="0"/>
      <w:marTop w:val="0"/>
      <w:marBottom w:val="0"/>
      <w:divBdr>
        <w:top w:val="none" w:sz="0" w:space="0" w:color="auto"/>
        <w:left w:val="none" w:sz="0" w:space="0" w:color="auto"/>
        <w:bottom w:val="none" w:sz="0" w:space="0" w:color="auto"/>
        <w:right w:val="none" w:sz="0" w:space="0" w:color="auto"/>
      </w:divBdr>
    </w:div>
    <w:div w:id="1803113709">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wgea.gov.au/what-we-do/compliance-reporting/non-compliant-list" TargetMode="External"/><Relationship Id="rId3" Type="http://schemas.openxmlformats.org/officeDocument/2006/relationships/customXml" Target="../customXml/item3.xml"/><Relationship Id="rId21" Type="http://schemas.openxmlformats.org/officeDocument/2006/relationships/hyperlink" Target="http://www.business.gov.au/grants-and-programs/preparing-australian-communities-local-strea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nationalredr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nationalmap.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legislation.gov.au/Series/C2006A00124" TargetMode="External"/><Relationship Id="rId28"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finance.gov.au/government/commonwealth-grants/commonwealth-grants-rules-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usiness.gov.au/grants-and-programs/preparing-australian-communities-local-stream" TargetMode="External"/><Relationship Id="rId27" Type="http://schemas.openxmlformats.org/officeDocument/2006/relationships/hyperlink" Target="https://www.abs.gov.au/ausstats/abs@.nsf/0/20C5B5A4F46DF95BCA25711F00146D75?opendocument" TargetMode="External"/><Relationship Id="rId30" Type="http://schemas.openxmlformats.org/officeDocument/2006/relationships/hyperlink" Target="https://www.pmc.gov.au/sites/default/files/publications/aust_govt_public_data_policy_statement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C12B6"/>
    <w:rsid w:val="000E2E1A"/>
    <w:rsid w:val="000E40D9"/>
    <w:rsid w:val="00145C26"/>
    <w:rsid w:val="00160963"/>
    <w:rsid w:val="00160D67"/>
    <w:rsid w:val="00184532"/>
    <w:rsid w:val="00185772"/>
    <w:rsid w:val="00190F8A"/>
    <w:rsid w:val="00193593"/>
    <w:rsid w:val="001B0184"/>
    <w:rsid w:val="001F240F"/>
    <w:rsid w:val="001F28BB"/>
    <w:rsid w:val="002055A8"/>
    <w:rsid w:val="00250F3E"/>
    <w:rsid w:val="00251FC0"/>
    <w:rsid w:val="0027722F"/>
    <w:rsid w:val="002C05F2"/>
    <w:rsid w:val="002D479F"/>
    <w:rsid w:val="0030171F"/>
    <w:rsid w:val="00303A11"/>
    <w:rsid w:val="00315236"/>
    <w:rsid w:val="00364D9B"/>
    <w:rsid w:val="00387714"/>
    <w:rsid w:val="00390A82"/>
    <w:rsid w:val="003A594C"/>
    <w:rsid w:val="003E5053"/>
    <w:rsid w:val="003F1469"/>
    <w:rsid w:val="0047640B"/>
    <w:rsid w:val="004B2475"/>
    <w:rsid w:val="004C2BDC"/>
    <w:rsid w:val="004D32DD"/>
    <w:rsid w:val="004E5682"/>
    <w:rsid w:val="00507509"/>
    <w:rsid w:val="00511B82"/>
    <w:rsid w:val="005173FD"/>
    <w:rsid w:val="00521A39"/>
    <w:rsid w:val="00552373"/>
    <w:rsid w:val="00561DB7"/>
    <w:rsid w:val="005A114D"/>
    <w:rsid w:val="005A6F5B"/>
    <w:rsid w:val="006056F5"/>
    <w:rsid w:val="006617C7"/>
    <w:rsid w:val="006909C7"/>
    <w:rsid w:val="00697C5C"/>
    <w:rsid w:val="006A549D"/>
    <w:rsid w:val="006C6677"/>
    <w:rsid w:val="006D450A"/>
    <w:rsid w:val="006D5612"/>
    <w:rsid w:val="006D67BE"/>
    <w:rsid w:val="006E7443"/>
    <w:rsid w:val="007065C1"/>
    <w:rsid w:val="00725D77"/>
    <w:rsid w:val="007944D8"/>
    <w:rsid w:val="00794BE6"/>
    <w:rsid w:val="007A64EE"/>
    <w:rsid w:val="00857CA0"/>
    <w:rsid w:val="0088166E"/>
    <w:rsid w:val="008855EA"/>
    <w:rsid w:val="008D6F7F"/>
    <w:rsid w:val="008F21A2"/>
    <w:rsid w:val="008F5BE0"/>
    <w:rsid w:val="00954E43"/>
    <w:rsid w:val="009B31DC"/>
    <w:rsid w:val="009F5D59"/>
    <w:rsid w:val="00A23EC6"/>
    <w:rsid w:val="00A32ECA"/>
    <w:rsid w:val="00A37171"/>
    <w:rsid w:val="00A56C6D"/>
    <w:rsid w:val="00A6473D"/>
    <w:rsid w:val="00A932C1"/>
    <w:rsid w:val="00AA1E32"/>
    <w:rsid w:val="00AD6AD8"/>
    <w:rsid w:val="00AF1D4F"/>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54FBE"/>
    <w:rsid w:val="00F55E6B"/>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Preparing Australia</TermName>
          <TermId xmlns="http://schemas.microsoft.com/office/infopath/2007/PartnerControls">07446d3f-215a-4864-9e49-2ecba77eef33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16487</Value>
      <Value>3</Value>
      <Value>42002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4E8B1-8BAC-4777-AF5C-BEE2C5D4A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schemas.microsoft.com/sharepoint/v3"/>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2a251b7e-61e4-4816-a71f-b295a9ad20fb"/>
    <ds:schemaRef ds:uri="http://www.w3.org/XML/1998/namespace"/>
  </ds:schemaRefs>
</ds:datastoreItem>
</file>

<file path=customXml/itemProps5.xml><?xml version="1.0" encoding="utf-8"?>
<ds:datastoreItem xmlns:ds="http://schemas.openxmlformats.org/officeDocument/2006/customXml" ds:itemID="{E2CF2782-EB10-40FB-A518-091FD283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5857</Words>
  <Characters>33389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Preparing Australian Communities – Local Stream application requirements</vt:lpstr>
    </vt:vector>
  </TitlesOfParts>
  <Company>Industry</Company>
  <LinksUpToDate>false</LinksUpToDate>
  <CharactersWithSpaces>39168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Australian Communities – Local Stream application requirements</dc:title>
  <dc:creator>Business Grants Hub</dc:creator>
  <dc:description>Square brackets indicate user input.</dc:description>
  <cp:lastModifiedBy>Cooper, Colin</cp:lastModifiedBy>
  <cp:revision>5</cp:revision>
  <cp:lastPrinted>2021-12-06T05:19:00Z</cp:lastPrinted>
  <dcterms:created xsi:type="dcterms:W3CDTF">2021-12-06T04:47:00Z</dcterms:created>
  <dcterms:modified xsi:type="dcterms:W3CDTF">2021-12-06T05:22:00Z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42002;#Preparing Australia|07446d3f-215a-4864-9e49-2ecba77eef33</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