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2" w:displacedByCustomXml="prev"/>
        <w:bookmarkEnd w:id="1" w:displacedByCustomXml="prev"/>
        <w:bookmarkEnd w:id="0" w:displacedByCustomXml="prev"/>
        <w:p w14:paraId="0B7559B1" w14:textId="4FDD7CB1" w:rsidR="0068286F" w:rsidRPr="00BC6C16" w:rsidRDefault="006119FE" w:rsidP="00BC6C16">
          <w:pPr>
            <w:pStyle w:val="Heading1"/>
          </w:pPr>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r w:rsidR="00D11576" w:rsidRPr="00F033FD">
                <w:t>Native Title Act 1993</w:t>
              </w:r>
            </w:sdtContent>
          </w:sdt>
        </w:p>
      </w:sdtContent>
    </w:sdt>
    <w:p w14:paraId="5B9A198D" w14:textId="0353A64A" w:rsidR="00B400E0" w:rsidRPr="00BC6C16" w:rsidRDefault="003323EB"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8B37C8">
        <w:rPr>
          <w:rFonts w:eastAsiaTheme="minorEastAsia" w:cs="Calibri"/>
          <w:iCs/>
        </w:rPr>
        <w:t>If you are undertaking a project, you must consider the rights and interests held by First Nations people over their traditional lands and waters according to their traditional laws and customs</w:t>
      </w:r>
      <w:r w:rsidR="00D11576">
        <w:rPr>
          <w:rFonts w:eastAsiaTheme="minorEastAsia" w:cs="Calibri"/>
          <w:iCs/>
        </w:rPr>
        <w:t xml:space="preserve"> recognised and protected under this Act</w:t>
      </w:r>
      <w:r w:rsidR="007F5051" w:rsidRPr="00BC6C16">
        <w:t>.</w:t>
      </w:r>
    </w:p>
    <w:p w14:paraId="1E1085AC" w14:textId="0B407E83" w:rsidR="007F5051" w:rsidRPr="00BC6C16" w:rsidRDefault="007F5051" w:rsidP="00BC6C16">
      <w:pPr>
        <w:pStyle w:val="Heading2"/>
      </w:pPr>
      <w:r w:rsidRPr="00BC6C16">
        <w:t>1. What approvals do I need?</w:t>
      </w:r>
    </w:p>
    <w:p w14:paraId="600BBA34" w14:textId="77777777" w:rsidR="003323EB" w:rsidRPr="003323EB" w:rsidRDefault="003323EB" w:rsidP="003323EB">
      <w:pPr>
        <w:rPr>
          <w:rFonts w:ascii="Aptos" w:hAnsi="Aptos"/>
          <w:szCs w:val="20"/>
        </w:rPr>
      </w:pPr>
      <w:r w:rsidRPr="003323EB">
        <w:rPr>
          <w:rFonts w:ascii="Aptos" w:hAnsi="Aptos"/>
          <w:szCs w:val="20"/>
        </w:rPr>
        <w:t xml:space="preserve">Native title is the recognition under Australian common law that some First Nations people continue to hold rights to their land and waters, derived from their traditional laws and customs. </w:t>
      </w:r>
    </w:p>
    <w:p w14:paraId="3CF34F4E" w14:textId="77194835" w:rsidR="003323EB" w:rsidRPr="003323EB" w:rsidRDefault="003323EB" w:rsidP="003323EB">
      <w:pPr>
        <w:rPr>
          <w:rFonts w:ascii="Aptos" w:hAnsi="Aptos"/>
          <w:szCs w:val="20"/>
        </w:rPr>
      </w:pPr>
      <w:r w:rsidRPr="003323EB">
        <w:rPr>
          <w:rFonts w:ascii="Aptos" w:hAnsi="Aptos"/>
          <w:szCs w:val="20"/>
        </w:rPr>
        <w:t xml:space="preserve">In accordance with the </w:t>
      </w:r>
      <w:hyperlink r:id="rId16" w:history="1">
        <w:r w:rsidRPr="003323EB">
          <w:rPr>
            <w:rStyle w:val="Hyperlink"/>
            <w:rFonts w:ascii="Aptos" w:hAnsi="Aptos"/>
            <w:i/>
            <w:szCs w:val="20"/>
          </w:rPr>
          <w:t>Native Title Act 1993</w:t>
        </w:r>
      </w:hyperlink>
      <w:r w:rsidRPr="003323EB">
        <w:rPr>
          <w:rFonts w:ascii="Aptos" w:hAnsi="Aptos"/>
          <w:szCs w:val="20"/>
        </w:rPr>
        <w:t xml:space="preserve"> (the NTA), if you wish to undertake a project in an area where a registered native title determination application exists, native title has been determined to exist, or native title has not been extinguished, your project may attract obligations and responsibilities under the ‘future acts’ regime of the NTA. </w:t>
      </w:r>
    </w:p>
    <w:p w14:paraId="5CF31B41" w14:textId="2DCE0A56" w:rsidR="00B400E0" w:rsidRPr="00B400E0" w:rsidRDefault="003323EB" w:rsidP="007F5051">
      <w:pPr>
        <w:rPr>
          <w:rFonts w:ascii="Aptos" w:hAnsi="Aptos"/>
          <w:szCs w:val="20"/>
        </w:rPr>
      </w:pPr>
      <w:r w:rsidRPr="003323EB">
        <w:rPr>
          <w:rFonts w:ascii="Aptos" w:hAnsi="Aptos"/>
          <w:szCs w:val="20"/>
        </w:rPr>
        <w:t xml:space="preserve">To determine whether an area is subject to a registered native title claim or a native title determination, use the </w:t>
      </w:r>
      <w:r w:rsidR="00C95655" w:rsidRPr="003323EB">
        <w:rPr>
          <w:rFonts w:ascii="Aptos" w:hAnsi="Aptos"/>
          <w:szCs w:val="20"/>
        </w:rPr>
        <w:t xml:space="preserve"> </w:t>
      </w:r>
      <w:r w:rsidRPr="003323EB">
        <w:rPr>
          <w:rFonts w:ascii="Aptos" w:hAnsi="Aptos"/>
          <w:szCs w:val="20"/>
        </w:rPr>
        <w:t>National Native Title Tribunal</w:t>
      </w:r>
      <w:r w:rsidR="005169F1">
        <w:rPr>
          <w:rFonts w:ascii="Aptos" w:hAnsi="Aptos"/>
          <w:szCs w:val="20"/>
        </w:rPr>
        <w:t>’s</w:t>
      </w:r>
      <w:r w:rsidR="00C95655">
        <w:rPr>
          <w:rFonts w:ascii="Aptos" w:hAnsi="Aptos"/>
          <w:szCs w:val="20"/>
        </w:rPr>
        <w:t xml:space="preserve"> </w:t>
      </w:r>
      <w:r w:rsidRPr="003323EB">
        <w:rPr>
          <w:rFonts w:ascii="Aptos" w:hAnsi="Aptos"/>
          <w:szCs w:val="20"/>
        </w:rPr>
        <w:t>(</w:t>
      </w:r>
      <w:r w:rsidR="005169F1">
        <w:rPr>
          <w:rFonts w:ascii="Aptos" w:hAnsi="Aptos"/>
          <w:szCs w:val="20"/>
        </w:rPr>
        <w:t xml:space="preserve">the </w:t>
      </w:r>
      <w:r w:rsidRPr="003323EB">
        <w:rPr>
          <w:rFonts w:ascii="Aptos" w:hAnsi="Aptos"/>
          <w:szCs w:val="20"/>
        </w:rPr>
        <w:t>NNTT)</w:t>
      </w:r>
      <w:r w:rsidR="005169F1">
        <w:rPr>
          <w:rFonts w:ascii="Aptos" w:hAnsi="Aptos"/>
          <w:szCs w:val="20"/>
        </w:rPr>
        <w:t xml:space="preserve"> </w:t>
      </w:r>
      <w:hyperlink r:id="rId17" w:history="1">
        <w:r w:rsidR="005169F1" w:rsidRPr="003323EB">
          <w:rPr>
            <w:rStyle w:val="Hyperlink"/>
            <w:rFonts w:ascii="Aptos" w:hAnsi="Aptos"/>
            <w:szCs w:val="20"/>
          </w:rPr>
          <w:t>Native Title Vision tool</w:t>
        </w:r>
      </w:hyperlink>
      <w:r w:rsidR="00C95655">
        <w:rPr>
          <w:rFonts w:ascii="Aptos" w:hAnsi="Aptos"/>
          <w:szCs w:val="20"/>
        </w:rPr>
        <w:t>.</w:t>
      </w:r>
    </w:p>
    <w:p w14:paraId="65E07AF2" w14:textId="1B517FDE" w:rsidR="007F5051" w:rsidRPr="00B400E0" w:rsidRDefault="007F5051" w:rsidP="00BC6C16">
      <w:pPr>
        <w:pStyle w:val="Heading2"/>
      </w:pPr>
      <w:r w:rsidRPr="00B400E0">
        <w:t xml:space="preserve">2. </w:t>
      </w:r>
      <w:r w:rsidR="003323EB" w:rsidRPr="003323EB">
        <w:t>Who provides approval</w:t>
      </w:r>
      <w:r w:rsidR="007A5B14">
        <w:t>?</w:t>
      </w:r>
      <w:r w:rsidR="003323EB" w:rsidRPr="003323EB">
        <w:t xml:space="preserve"> </w:t>
      </w:r>
    </w:p>
    <w:p w14:paraId="35AC2857" w14:textId="77777777" w:rsidR="00C9708D" w:rsidRPr="004C1398" w:rsidRDefault="00C9708D" w:rsidP="00C9708D">
      <w:pPr>
        <w:ind w:right="-72"/>
        <w:jc w:val="both"/>
        <w:rPr>
          <w:rFonts w:ascii="Aptos" w:hAnsi="Aptos" w:cs="Calibri"/>
        </w:rPr>
      </w:pPr>
      <w:r w:rsidRPr="00A757F9">
        <w:rPr>
          <w:rFonts w:ascii="Aptos" w:hAnsi="Aptos" w:cs="Calibri"/>
        </w:rPr>
        <w:t>The Attorney-General’s Department and the National Indigenous Australians Agency administer the NTA.</w:t>
      </w:r>
    </w:p>
    <w:p w14:paraId="161E1159" w14:textId="6D092E84" w:rsidR="007A5B14" w:rsidRPr="00B400E0" w:rsidRDefault="007A5B14" w:rsidP="007A5B14">
      <w:pPr>
        <w:pStyle w:val="Heading2"/>
      </w:pPr>
      <w:r>
        <w:t>3. W</w:t>
      </w:r>
      <w:r w:rsidRPr="003323EB">
        <w:t>hat are the relevant processes</w:t>
      </w:r>
      <w:r w:rsidRPr="00B400E0">
        <w:t>?</w:t>
      </w:r>
    </w:p>
    <w:p w14:paraId="4AA61397" w14:textId="77777777" w:rsidR="005169F1" w:rsidRDefault="003323EB" w:rsidP="003323EB">
      <w:pPr>
        <w:jc w:val="both"/>
        <w:rPr>
          <w:rFonts w:ascii="Aptos" w:hAnsi="Aptos" w:cs="Calibri"/>
        </w:rPr>
      </w:pPr>
      <w:r w:rsidRPr="004C1398">
        <w:rPr>
          <w:rFonts w:ascii="Aptos" w:hAnsi="Aptos" w:cs="Calibri"/>
        </w:rPr>
        <w:t>N</w:t>
      </w:r>
      <w:r>
        <w:rPr>
          <w:rFonts w:ascii="Aptos" w:hAnsi="Aptos" w:cs="Calibri"/>
        </w:rPr>
        <w:t xml:space="preserve">ative title parties (NTP) may be </w:t>
      </w:r>
      <w:r w:rsidRPr="004C1398">
        <w:rPr>
          <w:rFonts w:ascii="Aptos" w:hAnsi="Aptos" w:cs="Calibri"/>
        </w:rPr>
        <w:t xml:space="preserve">registered native title claimants </w:t>
      </w:r>
      <w:r>
        <w:rPr>
          <w:rFonts w:ascii="Aptos" w:hAnsi="Aptos" w:cs="Calibri"/>
        </w:rPr>
        <w:t>(prior to determination of a claim over the relevant area), who are usually assisted by a Native Title Representative Body (NTRB) or a service provider carrying out NTRB functions. They may also be n</w:t>
      </w:r>
      <w:r w:rsidRPr="004C1398">
        <w:rPr>
          <w:rFonts w:ascii="Aptos" w:hAnsi="Aptos" w:cs="Calibri"/>
        </w:rPr>
        <w:t>ative title holders</w:t>
      </w:r>
      <w:r>
        <w:rPr>
          <w:rFonts w:ascii="Aptos" w:hAnsi="Aptos" w:cs="Calibri"/>
        </w:rPr>
        <w:t xml:space="preserve"> (after a determination that native title exists in the area and is held by that group) represented by one or more registered native title bodies corporate (RNTBCs). </w:t>
      </w:r>
    </w:p>
    <w:p w14:paraId="5ECEE83A" w14:textId="546F3DE3" w:rsidR="003323EB" w:rsidRPr="004C1398" w:rsidRDefault="003323EB" w:rsidP="003323EB">
      <w:pPr>
        <w:jc w:val="both"/>
        <w:rPr>
          <w:rFonts w:ascii="Aptos" w:hAnsi="Aptos" w:cs="Calibri"/>
        </w:rPr>
      </w:pPr>
      <w:r>
        <w:rPr>
          <w:rFonts w:ascii="Aptos" w:hAnsi="Aptos" w:cs="Calibri"/>
        </w:rPr>
        <w:t xml:space="preserve">Native title parties </w:t>
      </w:r>
      <w:r w:rsidRPr="004C1398">
        <w:rPr>
          <w:rFonts w:ascii="Aptos" w:hAnsi="Aptos" w:cs="Calibri"/>
        </w:rPr>
        <w:t>have procedural rights in relation to project proposals which may affect their native title (</w:t>
      </w:r>
      <w:r w:rsidR="00C95655">
        <w:rPr>
          <w:rFonts w:ascii="Aptos" w:hAnsi="Aptos" w:cs="Calibri"/>
        </w:rPr>
        <w:t>‘</w:t>
      </w:r>
      <w:r w:rsidRPr="004C1398">
        <w:rPr>
          <w:rFonts w:ascii="Aptos" w:hAnsi="Aptos" w:cs="Calibri"/>
        </w:rPr>
        <w:t>future acts</w:t>
      </w:r>
      <w:r w:rsidR="00C95655">
        <w:rPr>
          <w:rFonts w:ascii="Aptos" w:hAnsi="Aptos" w:cs="Calibri"/>
        </w:rPr>
        <w:t>’</w:t>
      </w:r>
      <w:r w:rsidRPr="004C1398">
        <w:rPr>
          <w:rFonts w:ascii="Aptos" w:hAnsi="Aptos" w:cs="Calibri"/>
        </w:rPr>
        <w:t>)</w:t>
      </w:r>
      <w:r>
        <w:rPr>
          <w:rFonts w:ascii="Aptos" w:hAnsi="Aptos" w:cs="Calibri"/>
        </w:rPr>
        <w:t>,</w:t>
      </w:r>
      <w:r w:rsidRPr="004C1398">
        <w:rPr>
          <w:rFonts w:ascii="Aptos" w:hAnsi="Aptos" w:cs="Calibri"/>
        </w:rPr>
        <w:t xml:space="preserve"> including the:</w:t>
      </w:r>
    </w:p>
    <w:p w14:paraId="42AFDD2D" w14:textId="77777777" w:rsidR="003323EB" w:rsidRPr="003323EB" w:rsidRDefault="003323EB" w:rsidP="003323EB">
      <w:pPr>
        <w:pStyle w:val="ListParagraph"/>
        <w:spacing w:after="0"/>
      </w:pPr>
      <w:r w:rsidRPr="003323EB">
        <w:t>right to be notified and consulted</w:t>
      </w:r>
    </w:p>
    <w:p w14:paraId="6FC4D499" w14:textId="77777777" w:rsidR="003323EB" w:rsidRPr="003323EB" w:rsidRDefault="003323EB" w:rsidP="003323EB">
      <w:pPr>
        <w:pStyle w:val="ListParagraph"/>
        <w:spacing w:after="0"/>
      </w:pPr>
      <w:r w:rsidRPr="003323EB">
        <w:t>rights of an ordinary title holder</w:t>
      </w:r>
    </w:p>
    <w:p w14:paraId="6D1CD5D5" w14:textId="77777777" w:rsidR="003323EB" w:rsidRPr="003323EB" w:rsidRDefault="003323EB" w:rsidP="003323EB">
      <w:pPr>
        <w:pStyle w:val="ListParagraph"/>
        <w:spacing w:after="0"/>
      </w:pPr>
      <w:r w:rsidRPr="003323EB">
        <w:t>right to have an objection heard</w:t>
      </w:r>
    </w:p>
    <w:p w14:paraId="06444E15" w14:textId="77777777" w:rsidR="003323EB" w:rsidRPr="003323EB" w:rsidRDefault="003323EB" w:rsidP="003323EB">
      <w:pPr>
        <w:pStyle w:val="ListParagraph"/>
        <w:spacing w:after="0"/>
      </w:pPr>
      <w:r w:rsidRPr="003323EB">
        <w:t>right to negotiate.</w:t>
      </w:r>
    </w:p>
    <w:p w14:paraId="05743F4B" w14:textId="77777777" w:rsidR="003323EB" w:rsidRPr="009D2FE8" w:rsidRDefault="003323EB" w:rsidP="003323EB">
      <w:pPr>
        <w:jc w:val="both"/>
        <w:rPr>
          <w:rFonts w:ascii="Aptos" w:hAnsi="Aptos" w:cs="Calibri"/>
        </w:rPr>
      </w:pPr>
      <w:r w:rsidRPr="009D2FE8">
        <w:rPr>
          <w:rFonts w:ascii="Aptos" w:hAnsi="Aptos" w:cs="Calibri"/>
        </w:rPr>
        <w:t xml:space="preserve">These procedural rights may differ according to the class of future act proposed. </w:t>
      </w:r>
    </w:p>
    <w:p w14:paraId="57ACD48C" w14:textId="77777777" w:rsidR="003323EB" w:rsidRPr="004C1398" w:rsidRDefault="003323EB" w:rsidP="003323EB">
      <w:pPr>
        <w:jc w:val="both"/>
        <w:rPr>
          <w:rFonts w:ascii="Aptos" w:hAnsi="Aptos" w:cs="Calibri"/>
        </w:rPr>
      </w:pPr>
      <w:r w:rsidRPr="004C1398">
        <w:rPr>
          <w:rFonts w:ascii="Aptos" w:hAnsi="Aptos" w:cs="Calibri"/>
        </w:rPr>
        <w:t xml:space="preserve">If the ‘right to negotiate' applies, you must negotiate ‘in good faith’ with the NTPs and the government with a </w:t>
      </w:r>
      <w:r w:rsidRPr="00F033FD">
        <w:rPr>
          <w:rFonts w:ascii="Aptos" w:hAnsi="Aptos" w:cs="Calibri"/>
          <w:iCs/>
        </w:rPr>
        <w:t>view to obtaining an agreement</w:t>
      </w:r>
      <w:r w:rsidRPr="00C95655">
        <w:rPr>
          <w:rFonts w:ascii="Aptos" w:hAnsi="Aptos" w:cs="Calibri"/>
          <w:iCs/>
        </w:rPr>
        <w:t xml:space="preserve"> </w:t>
      </w:r>
      <w:r w:rsidRPr="004C1398">
        <w:rPr>
          <w:rFonts w:ascii="Aptos" w:hAnsi="Aptos" w:cs="Calibri"/>
        </w:rPr>
        <w:t xml:space="preserve">about the proposed future act. If agreement cannot be reached and </w:t>
      </w:r>
      <w:r>
        <w:rPr>
          <w:rFonts w:ascii="Aptos" w:hAnsi="Aptos" w:cs="Calibri"/>
        </w:rPr>
        <w:t>6</w:t>
      </w:r>
      <w:r w:rsidRPr="004C1398">
        <w:rPr>
          <w:rFonts w:ascii="Aptos" w:hAnsi="Aptos" w:cs="Calibri"/>
        </w:rPr>
        <w:t xml:space="preserve"> months have passed since the notification date, any party can ask the </w:t>
      </w:r>
      <w:r>
        <w:rPr>
          <w:rFonts w:ascii="Aptos" w:hAnsi="Aptos" w:cs="Calibri"/>
        </w:rPr>
        <w:t>NNTT</w:t>
      </w:r>
      <w:r w:rsidRPr="004C1398">
        <w:rPr>
          <w:rFonts w:ascii="Aptos" w:hAnsi="Aptos" w:cs="Calibri"/>
        </w:rPr>
        <w:t xml:space="preserve"> to determine whether the future act can be done</w:t>
      </w:r>
      <w:r>
        <w:rPr>
          <w:rFonts w:ascii="Aptos" w:hAnsi="Aptos" w:cs="Calibri"/>
        </w:rPr>
        <w:t>,</w:t>
      </w:r>
      <w:r w:rsidRPr="004C1398">
        <w:rPr>
          <w:rFonts w:ascii="Aptos" w:hAnsi="Aptos" w:cs="Calibri"/>
        </w:rPr>
        <w:t xml:space="preserve"> and, if so, on what conditions. </w:t>
      </w:r>
    </w:p>
    <w:p w14:paraId="1C62D075" w14:textId="77777777" w:rsidR="003323EB" w:rsidRPr="004C1398" w:rsidRDefault="003323EB" w:rsidP="003323EB">
      <w:pPr>
        <w:ind w:right="-72"/>
        <w:jc w:val="both"/>
        <w:rPr>
          <w:rFonts w:ascii="Aptos" w:hAnsi="Aptos" w:cs="Calibri"/>
        </w:rPr>
      </w:pPr>
      <w:r w:rsidRPr="004C1398">
        <w:rPr>
          <w:rFonts w:ascii="Aptos" w:hAnsi="Aptos" w:cs="Calibri"/>
          <w:iCs/>
        </w:rPr>
        <w:t>The NTA establishes t</w:t>
      </w:r>
      <w:r w:rsidRPr="004C1398">
        <w:rPr>
          <w:rFonts w:ascii="Aptos" w:hAnsi="Aptos" w:cs="Calibri"/>
        </w:rPr>
        <w:t>he NNTT as an independent body responsible for helping parties to reach agreement on proposed future acts, registering agreements, and, where parties cannot agree, determining whether a future act may be done.</w:t>
      </w:r>
    </w:p>
    <w:p w14:paraId="68FC3142" w14:textId="2843D18E" w:rsidR="00B400E0" w:rsidRDefault="003323EB" w:rsidP="003323EB">
      <w:pPr>
        <w:ind w:right="-72"/>
        <w:jc w:val="both"/>
        <w:rPr>
          <w:rFonts w:ascii="Aptos" w:hAnsi="Aptos"/>
          <w:szCs w:val="20"/>
        </w:rPr>
      </w:pPr>
      <w:r w:rsidRPr="004C1398">
        <w:rPr>
          <w:rFonts w:ascii="Aptos" w:hAnsi="Aptos" w:cs="Calibri"/>
        </w:rPr>
        <w:t xml:space="preserve">You may </w:t>
      </w:r>
      <w:proofErr w:type="gramStart"/>
      <w:r w:rsidRPr="004C1398">
        <w:rPr>
          <w:rFonts w:ascii="Aptos" w:hAnsi="Aptos" w:cs="Calibri"/>
        </w:rPr>
        <w:t>enter into</w:t>
      </w:r>
      <w:proofErr w:type="gramEnd"/>
      <w:r w:rsidRPr="004C1398">
        <w:rPr>
          <w:rFonts w:ascii="Aptos" w:hAnsi="Aptos" w:cs="Calibri"/>
        </w:rPr>
        <w:t xml:space="preserve"> a voluntary ‘Indigenous Land Use Agreement’ (ILUA), which is a formal agreement between </w:t>
      </w:r>
      <w:r>
        <w:rPr>
          <w:rFonts w:ascii="Aptos" w:hAnsi="Aptos" w:cs="Calibri"/>
        </w:rPr>
        <w:t xml:space="preserve">the </w:t>
      </w:r>
      <w:r w:rsidRPr="004C1398">
        <w:rPr>
          <w:rFonts w:ascii="Aptos" w:hAnsi="Aptos" w:cs="Calibri"/>
        </w:rPr>
        <w:t xml:space="preserve">NTP and </w:t>
      </w:r>
      <w:r>
        <w:rPr>
          <w:rFonts w:ascii="Aptos" w:hAnsi="Aptos" w:cs="Calibri"/>
        </w:rPr>
        <w:t xml:space="preserve">other parties, such as </w:t>
      </w:r>
      <w:r w:rsidRPr="004C1398">
        <w:rPr>
          <w:rFonts w:ascii="Aptos" w:hAnsi="Aptos" w:cs="Calibri"/>
        </w:rPr>
        <w:t>project proponents</w:t>
      </w:r>
      <w:r>
        <w:rPr>
          <w:rFonts w:ascii="Aptos" w:hAnsi="Aptos" w:cs="Calibri"/>
        </w:rPr>
        <w:t>,</w:t>
      </w:r>
      <w:r w:rsidRPr="004C1398">
        <w:rPr>
          <w:rFonts w:ascii="Aptos" w:hAnsi="Aptos" w:cs="Calibri"/>
        </w:rPr>
        <w:t xml:space="preserve"> about the use and management of land and/or waters. An ILUA may outline specific conditions and obligations for parties pursuant to the </w:t>
      </w:r>
      <w:proofErr w:type="gramStart"/>
      <w:r w:rsidRPr="004C1398">
        <w:rPr>
          <w:rFonts w:ascii="Aptos" w:hAnsi="Aptos" w:cs="Calibri"/>
        </w:rPr>
        <w:t>agreement</w:t>
      </w:r>
      <w:r>
        <w:rPr>
          <w:rFonts w:ascii="Aptos" w:hAnsi="Aptos" w:cs="Calibri"/>
        </w:rPr>
        <w:t>, and</w:t>
      </w:r>
      <w:proofErr w:type="gramEnd"/>
      <w:r>
        <w:rPr>
          <w:rFonts w:ascii="Aptos" w:hAnsi="Aptos" w:cs="Calibri"/>
        </w:rPr>
        <w:t xml:space="preserve"> may settle the liability to pay compensation for effects of a project on </w:t>
      </w:r>
      <w:r>
        <w:rPr>
          <w:rFonts w:ascii="Aptos" w:hAnsi="Aptos" w:cs="Calibri"/>
        </w:rPr>
        <w:lastRenderedPageBreak/>
        <w:t>native title rights and interests</w:t>
      </w:r>
      <w:r w:rsidRPr="004C1398">
        <w:rPr>
          <w:rFonts w:ascii="Aptos" w:hAnsi="Aptos" w:cs="Calibri"/>
        </w:rPr>
        <w:t xml:space="preserve">. ILUAs </w:t>
      </w:r>
      <w:r>
        <w:rPr>
          <w:rFonts w:ascii="Aptos" w:hAnsi="Aptos" w:cs="Calibri"/>
        </w:rPr>
        <w:t>must be</w:t>
      </w:r>
      <w:r w:rsidRPr="004C1398">
        <w:rPr>
          <w:rFonts w:ascii="Aptos" w:hAnsi="Aptos" w:cs="Calibri"/>
        </w:rPr>
        <w:t xml:space="preserve"> registered with the NNTT</w:t>
      </w:r>
      <w:r>
        <w:rPr>
          <w:rFonts w:ascii="Aptos" w:hAnsi="Aptos" w:cs="Calibri"/>
        </w:rPr>
        <w:t xml:space="preserve"> to take effect</w:t>
      </w:r>
      <w:r w:rsidR="007F5051" w:rsidRPr="00B400E0">
        <w:rPr>
          <w:rFonts w:ascii="Aptos" w:hAnsi="Aptos"/>
          <w:szCs w:val="20"/>
        </w:rPr>
        <w:t>.</w:t>
      </w:r>
    </w:p>
    <w:p w14:paraId="06766B8B" w14:textId="77777777" w:rsidR="003323EB" w:rsidRDefault="003323EB" w:rsidP="003323EB">
      <w:pPr>
        <w:ind w:right="-72"/>
        <w:jc w:val="both"/>
        <w:rPr>
          <w:rFonts w:ascii="Aptos" w:hAnsi="Aptos" w:cs="Calibri"/>
        </w:rPr>
      </w:pPr>
      <w:r>
        <w:rPr>
          <w:rFonts w:ascii="Aptos" w:hAnsi="Aptos" w:cs="Calibri"/>
        </w:rPr>
        <w:t>There are 3 different types of ILUA:</w:t>
      </w:r>
    </w:p>
    <w:p w14:paraId="080877C2" w14:textId="1156F07F" w:rsidR="003323EB" w:rsidRPr="003323EB" w:rsidRDefault="003323EB" w:rsidP="003323EB">
      <w:pPr>
        <w:pStyle w:val="ListParagraph"/>
      </w:pPr>
      <w:r w:rsidRPr="003323EB">
        <w:t>area agreements (where there is no RNTBC for the entire agreement area</w:t>
      </w:r>
      <w:r w:rsidR="00C9708D">
        <w:t>)</w:t>
      </w:r>
    </w:p>
    <w:p w14:paraId="47E71329" w14:textId="77777777" w:rsidR="003323EB" w:rsidRPr="003323EB" w:rsidRDefault="003323EB" w:rsidP="003323EB">
      <w:pPr>
        <w:pStyle w:val="ListParagraph"/>
      </w:pPr>
      <w:r w:rsidRPr="003323EB">
        <w:t>body corporate agreements (where there is one or more RNTBC for the entire agreement area, except for any part of the area where native title has been determined not to exist)</w:t>
      </w:r>
    </w:p>
    <w:p w14:paraId="06D6E2E4" w14:textId="77777777" w:rsidR="003323EB" w:rsidRPr="003323EB" w:rsidRDefault="003323EB" w:rsidP="003323EB">
      <w:pPr>
        <w:pStyle w:val="ListParagraph"/>
      </w:pPr>
      <w:r w:rsidRPr="003323EB">
        <w:t xml:space="preserve">alternative procedure agreements (where there is at least one NTRB for the area or at least one RNTBC in the area, but not where there are RNTBCs in relation to </w:t>
      </w:r>
      <w:proofErr w:type="gramStart"/>
      <w:r w:rsidRPr="003323EB">
        <w:t>all of</w:t>
      </w:r>
      <w:proofErr w:type="gramEnd"/>
      <w:r w:rsidRPr="003323EB">
        <w:t xml:space="preserve"> the area).</w:t>
      </w:r>
    </w:p>
    <w:p w14:paraId="7CCAF3E1" w14:textId="4AB29EA5" w:rsidR="003323EB" w:rsidRDefault="003323EB" w:rsidP="003323EB">
      <w:pPr>
        <w:ind w:right="-72"/>
        <w:jc w:val="both"/>
        <w:rPr>
          <w:rFonts w:ascii="Aptos" w:hAnsi="Aptos" w:cs="Calibri"/>
        </w:rPr>
      </w:pPr>
      <w:r w:rsidRPr="00FC3BAA">
        <w:rPr>
          <w:rFonts w:ascii="Aptos" w:hAnsi="Aptos" w:cs="Calibri"/>
        </w:rPr>
        <w:t xml:space="preserve">The type of ILUA will determine the persons or bodies that must be a party to an ILUA. Further information about the types of ILUAs and who must be a party to an ILUA is available on the </w:t>
      </w:r>
      <w:hyperlink r:id="rId18" w:history="1">
        <w:r w:rsidR="00452387">
          <w:rPr>
            <w:rStyle w:val="Hyperlink"/>
            <w:rFonts w:cs="Calibri"/>
          </w:rPr>
          <w:t>ILUA webpage</w:t>
        </w:r>
      </w:hyperlink>
      <w:r w:rsidR="00452387">
        <w:t xml:space="preserve"> </w:t>
      </w:r>
      <w:r w:rsidR="00452387" w:rsidRPr="00452387">
        <w:t>of the NNTT's website</w:t>
      </w:r>
      <w:r w:rsidR="00452387">
        <w:t>.</w:t>
      </w:r>
    </w:p>
    <w:p w14:paraId="1CDA641B" w14:textId="46C16D90" w:rsidR="007F5051" w:rsidRPr="00B400E0" w:rsidRDefault="007F5051" w:rsidP="00BC6C16">
      <w:pPr>
        <w:pStyle w:val="Heading2"/>
      </w:pPr>
      <w:r w:rsidRPr="00B400E0">
        <w:t>4. More information</w:t>
      </w:r>
    </w:p>
    <w:p w14:paraId="48CE903B" w14:textId="1DA52595" w:rsidR="007F5051" w:rsidRPr="00B400E0" w:rsidRDefault="007F5051" w:rsidP="00BC6C16">
      <w:pPr>
        <w:pStyle w:val="Heading3"/>
      </w:pPr>
      <w:r w:rsidRPr="00934A4A">
        <w:t>N</w:t>
      </w:r>
      <w:r w:rsidR="003323EB" w:rsidRPr="003323EB">
        <w:t>ational Native Title Tribunal</w:t>
      </w:r>
    </w:p>
    <w:p w14:paraId="1337605A" w14:textId="31735717" w:rsidR="005E2A71" w:rsidRDefault="003323EB" w:rsidP="005E2A71">
      <w:pPr>
        <w:rPr>
          <w:rFonts w:ascii="Aptos" w:hAnsi="Aptos"/>
          <w:bCs/>
          <w:szCs w:val="20"/>
          <w:highlight w:val="yellow"/>
        </w:rPr>
      </w:pPr>
      <w:r w:rsidRPr="004C1398">
        <w:rPr>
          <w:rFonts w:ascii="Aptos" w:hAnsi="Aptos" w:cs="Calibri"/>
          <w:bCs/>
          <w:iCs/>
        </w:rPr>
        <w:t>F</w:t>
      </w:r>
      <w:r>
        <w:rPr>
          <w:rFonts w:ascii="Aptos" w:hAnsi="Aptos" w:cs="Calibri"/>
          <w:bCs/>
          <w:iCs/>
        </w:rPr>
        <w:t>urther</w:t>
      </w:r>
      <w:r w:rsidRPr="004C1398">
        <w:rPr>
          <w:rFonts w:ascii="Aptos" w:hAnsi="Aptos" w:cs="Calibri"/>
          <w:bCs/>
          <w:iCs/>
        </w:rPr>
        <w:t xml:space="preserve"> information </w:t>
      </w:r>
      <w:r w:rsidR="005169F1">
        <w:rPr>
          <w:rFonts w:ascii="Aptos" w:hAnsi="Aptos" w:cs="Calibri"/>
          <w:bCs/>
          <w:iCs/>
        </w:rPr>
        <w:t>about</w:t>
      </w:r>
      <w:r w:rsidR="00C9708D">
        <w:rPr>
          <w:rFonts w:ascii="Aptos" w:hAnsi="Aptos" w:cs="Calibri"/>
          <w:bCs/>
          <w:iCs/>
        </w:rPr>
        <w:t xml:space="preserve"> </w:t>
      </w:r>
      <w:r>
        <w:rPr>
          <w:rFonts w:ascii="Aptos" w:hAnsi="Aptos" w:cs="Calibri"/>
          <w:bCs/>
          <w:iCs/>
        </w:rPr>
        <w:t xml:space="preserve">native title is available on </w:t>
      </w:r>
      <w:r w:rsidRPr="004C1398">
        <w:rPr>
          <w:rFonts w:ascii="Aptos" w:hAnsi="Aptos" w:cs="Calibri"/>
          <w:bCs/>
          <w:iCs/>
        </w:rPr>
        <w:t xml:space="preserve">the </w:t>
      </w:r>
      <w:r w:rsidR="00C9708D">
        <w:rPr>
          <w:rFonts w:ascii="Aptos" w:hAnsi="Aptos" w:cs="Calibri"/>
          <w:bCs/>
          <w:iCs/>
        </w:rPr>
        <w:t xml:space="preserve">NNTT </w:t>
      </w:r>
      <w:hyperlink r:id="rId19" w:history="1">
        <w:r w:rsidRPr="00CD59BD">
          <w:rPr>
            <w:rStyle w:val="Hyperlink"/>
            <w:rFonts w:cs="Calibri"/>
          </w:rPr>
          <w:t>website</w:t>
        </w:r>
      </w:hyperlink>
      <w:r>
        <w:rPr>
          <w:rFonts w:ascii="Aptos" w:hAnsi="Aptos" w:cs="Calibri"/>
          <w:bCs/>
        </w:rPr>
        <w:t>.</w:t>
      </w:r>
      <w:r w:rsidRPr="004C1398">
        <w:rPr>
          <w:rFonts w:ascii="Aptos" w:hAnsi="Aptos" w:cs="Calibri"/>
          <w:bCs/>
        </w:rPr>
        <w:t xml:space="preserve"> </w:t>
      </w:r>
    </w:p>
    <w:p w14:paraId="569D2828" w14:textId="4C338B33" w:rsidR="007F5051" w:rsidRPr="005E2A71" w:rsidRDefault="005E2A71" w:rsidP="005E2A71">
      <w:pPr>
        <w:rPr>
          <w:rFonts w:ascii="Aptos" w:hAnsi="Aptos"/>
          <w:bCs/>
          <w:szCs w:val="20"/>
        </w:rPr>
      </w:pPr>
      <w:r>
        <w:rPr>
          <w:rFonts w:ascii="Aptos" w:hAnsi="Aptos"/>
          <w:bCs/>
          <w:szCs w:val="20"/>
        </w:rPr>
        <w:t>The NNTT</w:t>
      </w:r>
      <w:r w:rsidRPr="007F5051">
        <w:rPr>
          <w:rFonts w:ascii="Aptos" w:hAnsi="Aptos"/>
          <w:bCs/>
          <w:szCs w:val="20"/>
        </w:rPr>
        <w:t xml:space="preserve"> can be contacted </w:t>
      </w:r>
      <w:r>
        <w:rPr>
          <w:rFonts w:ascii="Aptos" w:hAnsi="Aptos"/>
          <w:bCs/>
          <w:szCs w:val="20"/>
        </w:rPr>
        <w:t>by</w:t>
      </w:r>
      <w:r w:rsidRPr="007F5051">
        <w:rPr>
          <w:rFonts w:ascii="Aptos" w:hAnsi="Aptos"/>
          <w:bCs/>
          <w:szCs w:val="20"/>
        </w:rPr>
        <w:t xml:space="preserve"> email at </w:t>
      </w:r>
      <w:hyperlink r:id="rId20" w:history="1">
        <w:r w:rsidRPr="005E2A71">
          <w:rPr>
            <w:rStyle w:val="Hyperlink"/>
          </w:rPr>
          <w:t>enquiries@nntt.gov.au</w:t>
        </w:r>
      </w:hyperlink>
      <w:r w:rsidRPr="007F5051">
        <w:rPr>
          <w:rFonts w:ascii="Aptos" w:hAnsi="Aptos"/>
          <w:szCs w:val="20"/>
        </w:rPr>
        <w:t>.</w:t>
      </w:r>
    </w:p>
    <w:p w14:paraId="661A6371" w14:textId="77777777" w:rsidR="007F5051" w:rsidRPr="00BC6C16" w:rsidRDefault="007F5051" w:rsidP="00BC6C16">
      <w:pPr>
        <w:pStyle w:val="Heading3"/>
      </w:pPr>
      <w:bookmarkStart w:id="3" w:name="_Hlk152160540"/>
      <w:r w:rsidRPr="00BC6C16">
        <w:t>Major Projects Facilitation Agency</w:t>
      </w:r>
    </w:p>
    <w:bookmarkEnd w:id="3"/>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1"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2"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23"/>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12D76A98" w:rsidR="00B400E0" w:rsidRPr="00B400E0" w:rsidRDefault="006119FE"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452387">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6119FE"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3396781"/>
    <w:multiLevelType w:val="hybridMultilevel"/>
    <w:tmpl w:val="FBB4DD2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7"/>
  </w:num>
  <w:num w:numId="2" w16cid:durableId="648444589">
    <w:abstractNumId w:val="9"/>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8"/>
  </w:num>
  <w:num w:numId="9" w16cid:durableId="1919442051">
    <w:abstractNumId w:val="5"/>
  </w:num>
  <w:num w:numId="10" w16cid:durableId="989880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90DDB"/>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323EB"/>
    <w:rsid w:val="0035140F"/>
    <w:rsid w:val="00393784"/>
    <w:rsid w:val="003A0E7F"/>
    <w:rsid w:val="003A5FBD"/>
    <w:rsid w:val="003D38ED"/>
    <w:rsid w:val="003D747D"/>
    <w:rsid w:val="00406032"/>
    <w:rsid w:val="00423B2E"/>
    <w:rsid w:val="00423D13"/>
    <w:rsid w:val="0043720A"/>
    <w:rsid w:val="00452387"/>
    <w:rsid w:val="004632E9"/>
    <w:rsid w:val="0046678C"/>
    <w:rsid w:val="0048236F"/>
    <w:rsid w:val="004A7856"/>
    <w:rsid w:val="004B4254"/>
    <w:rsid w:val="004D3B0F"/>
    <w:rsid w:val="004E23A9"/>
    <w:rsid w:val="004E5181"/>
    <w:rsid w:val="004E75D2"/>
    <w:rsid w:val="004F5BB1"/>
    <w:rsid w:val="00512647"/>
    <w:rsid w:val="005169F1"/>
    <w:rsid w:val="00516B0E"/>
    <w:rsid w:val="00527381"/>
    <w:rsid w:val="005419C2"/>
    <w:rsid w:val="005706FD"/>
    <w:rsid w:val="00572521"/>
    <w:rsid w:val="005777BC"/>
    <w:rsid w:val="00584B74"/>
    <w:rsid w:val="00585C14"/>
    <w:rsid w:val="00590DE9"/>
    <w:rsid w:val="005A1B5C"/>
    <w:rsid w:val="005D27F7"/>
    <w:rsid w:val="005E2A71"/>
    <w:rsid w:val="005E5F5F"/>
    <w:rsid w:val="00603DDF"/>
    <w:rsid w:val="00607188"/>
    <w:rsid w:val="006119FE"/>
    <w:rsid w:val="006337C7"/>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36400"/>
    <w:rsid w:val="007833EE"/>
    <w:rsid w:val="007A5B14"/>
    <w:rsid w:val="007B553F"/>
    <w:rsid w:val="007F5051"/>
    <w:rsid w:val="00806473"/>
    <w:rsid w:val="00813A36"/>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34A4A"/>
    <w:rsid w:val="00960D98"/>
    <w:rsid w:val="009830D1"/>
    <w:rsid w:val="009A549D"/>
    <w:rsid w:val="009A64AF"/>
    <w:rsid w:val="009C60B9"/>
    <w:rsid w:val="009E39E6"/>
    <w:rsid w:val="00A52F3D"/>
    <w:rsid w:val="00A61699"/>
    <w:rsid w:val="00A6365B"/>
    <w:rsid w:val="00A731BB"/>
    <w:rsid w:val="00AA740C"/>
    <w:rsid w:val="00AD22BA"/>
    <w:rsid w:val="00AF4478"/>
    <w:rsid w:val="00B15C01"/>
    <w:rsid w:val="00B17B99"/>
    <w:rsid w:val="00B251DB"/>
    <w:rsid w:val="00B26C25"/>
    <w:rsid w:val="00B35C0C"/>
    <w:rsid w:val="00B400E0"/>
    <w:rsid w:val="00B40A60"/>
    <w:rsid w:val="00B45B98"/>
    <w:rsid w:val="00B5694B"/>
    <w:rsid w:val="00BB350F"/>
    <w:rsid w:val="00BC6C16"/>
    <w:rsid w:val="00BD0F8A"/>
    <w:rsid w:val="00BE1CB4"/>
    <w:rsid w:val="00BE53C7"/>
    <w:rsid w:val="00BE6EEA"/>
    <w:rsid w:val="00C27CB3"/>
    <w:rsid w:val="00C42F09"/>
    <w:rsid w:val="00C43D48"/>
    <w:rsid w:val="00C50A9A"/>
    <w:rsid w:val="00C65E4E"/>
    <w:rsid w:val="00C859DE"/>
    <w:rsid w:val="00C95655"/>
    <w:rsid w:val="00C9708D"/>
    <w:rsid w:val="00CA45E3"/>
    <w:rsid w:val="00CB2DE1"/>
    <w:rsid w:val="00CB7499"/>
    <w:rsid w:val="00CE4789"/>
    <w:rsid w:val="00CE6BBD"/>
    <w:rsid w:val="00CE7F17"/>
    <w:rsid w:val="00CF5B8A"/>
    <w:rsid w:val="00D11576"/>
    <w:rsid w:val="00D220CF"/>
    <w:rsid w:val="00D27B99"/>
    <w:rsid w:val="00D53DCE"/>
    <w:rsid w:val="00D64BFA"/>
    <w:rsid w:val="00D841E9"/>
    <w:rsid w:val="00D9122B"/>
    <w:rsid w:val="00DB270D"/>
    <w:rsid w:val="00DE04A8"/>
    <w:rsid w:val="00DE1060"/>
    <w:rsid w:val="00E01D7D"/>
    <w:rsid w:val="00E03905"/>
    <w:rsid w:val="00E04DA0"/>
    <w:rsid w:val="00E11B00"/>
    <w:rsid w:val="00E3027E"/>
    <w:rsid w:val="00E37443"/>
    <w:rsid w:val="00E51EC5"/>
    <w:rsid w:val="00E95372"/>
    <w:rsid w:val="00EA0739"/>
    <w:rsid w:val="00EB2A69"/>
    <w:rsid w:val="00ED173E"/>
    <w:rsid w:val="00EE1F4B"/>
    <w:rsid w:val="00F033FD"/>
    <w:rsid w:val="00F1441E"/>
    <w:rsid w:val="00F16FE0"/>
    <w:rsid w:val="00F22BB9"/>
    <w:rsid w:val="00F32757"/>
    <w:rsid w:val="00F3409A"/>
    <w:rsid w:val="00F50FA6"/>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6119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Revision">
    <w:name w:val="Revision"/>
    <w:hidden/>
    <w:uiPriority w:val="99"/>
    <w:semiHidden/>
    <w:rsid w:val="00D11576"/>
    <w:pPr>
      <w:spacing w:after="0" w:line="240" w:lineRule="auto"/>
    </w:pPr>
    <w:rPr>
      <w:sz w:val="20"/>
    </w:rPr>
  </w:style>
  <w:style w:type="character" w:customStyle="1" w:styleId="Heading9Char">
    <w:name w:val="Heading 9 Char"/>
    <w:basedOn w:val="DefaultParagraphFont"/>
    <w:link w:val="Heading9"/>
    <w:uiPriority w:val="9"/>
    <w:semiHidden/>
    <w:rsid w:val="006119F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ntt.gov.au/ILUAs/Pages/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usiness.gov.au/expertise-and-advice/major-projects-facilitation-agency/help-t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ntt.gov.au/assistance/Geospatial/Pages/NTV.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C2004A04665/latest/text" TargetMode="External"/><Relationship Id="rId20" Type="http://schemas.openxmlformats.org/officeDocument/2006/relationships/hyperlink" Target="mailto:enquiries@nntt.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nntt.gov.au/Pages/Home-Pag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PFA@industry.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57165883-AF38-4BB5-B99F-D70EA6C3E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4.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5.xml><?xml version="1.0" encoding="utf-8"?>
<ds:datastoreItem xmlns:ds="http://schemas.openxmlformats.org/officeDocument/2006/customXml" ds:itemID="{297BCF5D-ECED-40B9-848C-61973DAC72C5}">
  <ds:schemaRefs>
    <ds:schemaRef ds:uri="http://purl.org/dc/elements/1.1/"/>
    <ds:schemaRef ds:uri="e950eb60-a35e-4b14-88a9-41f408f7449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sharepoint/v4"/>
    <ds:schemaRef ds:uri="a36bd50b-1532-4c22-b385-5c082c960938"/>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2</Pages>
  <Words>686</Words>
  <Characters>3532</Characters>
  <DocSecurity>0</DocSecurity>
  <Lines>91</Lines>
  <Paragraphs>31</Paragraphs>
  <ScaleCrop>false</ScaleCrop>
  <HeadingPairs>
    <vt:vector size="2" baseType="variant">
      <vt:variant>
        <vt:lpstr>Title</vt:lpstr>
      </vt:variant>
      <vt:variant>
        <vt:i4>1</vt:i4>
      </vt:variant>
    </vt:vector>
  </HeadingPairs>
  <TitlesOfParts>
    <vt:vector size="1" baseType="lpstr">
      <vt:lpstr>Native Title Act 1993</vt:lpstr>
    </vt:vector>
  </TitlesOfParts>
  <Manager/>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Title Act 1993</dc:title>
  <dc:subject/>
  <dc:creator>MPFA@industry.gov.au</dc:creator>
  <cp:keywords/>
  <dc:description/>
  <cp:lastPrinted>2025-02-19T07:18:00Z</cp:lastPrinted>
  <dcterms:created xsi:type="dcterms:W3CDTF">2025-02-19T07:18:00Z</dcterms:created>
  <dcterms:modified xsi:type="dcterms:W3CDTF">2025-02-19T07:18:00Z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