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3" w14:textId="77777777" w:rsidR="002007FC" w:rsidRDefault="002007FC" w:rsidP="008E4722">
      <w:pPr>
        <w:pBdr>
          <w:top w:val="single" w:sz="2" w:space="3" w:color="auto"/>
          <w:left w:val="single" w:sz="2" w:space="4" w:color="auto"/>
          <w:bottom w:val="single" w:sz="2" w:space="3" w:color="auto"/>
          <w:right w:val="single" w:sz="2" w:space="4" w:color="auto"/>
        </w:pBdr>
        <w:shd w:val="clear" w:color="auto" w:fill="D9D9D9" w:themeFill="background1" w:themeFillShade="D9"/>
        <w:rPr>
          <w:b/>
        </w:rPr>
        <w:sectPr w:rsidR="002007FC"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bookmarkStart w:id="0" w:name="_Toc394504362"/>
      <w:bookmarkStart w:id="1" w:name="_GoBack"/>
      <w:bookmarkEnd w:id="1"/>
    </w:p>
    <w:bookmarkEnd w:id="0"/>
    <w:p w14:paraId="191EDFD4" w14:textId="7A17E2B3"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A05546">
        <w:t>Recycling and Clean Energy</w:t>
      </w:r>
      <w:r w:rsidR="00FF5AB7">
        <w:t xml:space="preserve"> Priority </w:t>
      </w:r>
      <w:r w:rsidR="006000E6">
        <w:t xml:space="preserve">Round </w:t>
      </w:r>
      <w:r w:rsidR="004930F0">
        <w:t>2</w:t>
      </w:r>
      <w:r w:rsidR="006000E6">
        <w:t xml:space="preserve">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6278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08BFEAF5" w:rsidR="00AA7A87" w:rsidRPr="00E81B78" w:rsidRDefault="00C06DEA" w:rsidP="00E81B78">
            <w:pPr>
              <w:cnfStyle w:val="100000000000" w:firstRow="1" w:lastRow="0" w:firstColumn="0" w:lastColumn="0" w:oddVBand="0" w:evenVBand="0" w:oddHBand="0" w:evenHBand="0" w:firstRowFirstColumn="0" w:firstRowLastColumn="0" w:lastRowFirstColumn="0" w:lastRowLastColumn="0"/>
              <w:rPr>
                <w:b w:val="0"/>
              </w:rPr>
            </w:pPr>
            <w:r w:rsidRPr="00C06DEA">
              <w:rPr>
                <w:b w:val="0"/>
              </w:rPr>
              <w:t>17 December 2021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55C3C37E" w:rsidR="00AA7A87" w:rsidRPr="00E81B78" w:rsidRDefault="00FF3C21" w:rsidP="00F87B20">
            <w:pPr>
              <w:cnfStyle w:val="000000100000" w:firstRow="0" w:lastRow="0" w:firstColumn="0" w:lastColumn="0" w:oddVBand="0" w:evenVBand="0" w:oddHBand="1" w:evenHBand="0" w:firstRowFirstColumn="0" w:firstRowLastColumn="0" w:lastRowFirstColumn="0" w:lastRowLastColumn="0"/>
            </w:pPr>
            <w:r w:rsidRPr="00E81B78">
              <w:t xml:space="preserve">5.00pm </w:t>
            </w:r>
            <w:r w:rsidR="00AA7A87" w:rsidRPr="00E81B78">
              <w:t>A</w:t>
            </w:r>
            <w:r w:rsidR="00977FA4" w:rsidRPr="00E81B78">
              <w:t xml:space="preserve">ustralian Eastern </w:t>
            </w:r>
            <w:r w:rsidR="008575F7">
              <w:t>Daylight</w:t>
            </w:r>
            <w:r w:rsidR="00977FA4" w:rsidRPr="00E81B78">
              <w:t xml:space="preserve"> </w:t>
            </w:r>
            <w:r w:rsidR="00F87B20" w:rsidRPr="00E81B78">
              <w:t>Time</w:t>
            </w:r>
            <w:r w:rsidR="00864063">
              <w:t xml:space="preserve"> on</w:t>
            </w:r>
            <w:r w:rsidR="00F87B20" w:rsidRPr="00E81B78">
              <w:t xml:space="preserve"> </w:t>
            </w:r>
            <w:r w:rsidR="00C06DEA" w:rsidRPr="00C06DEA">
              <w:t>14 January 2022</w:t>
            </w:r>
          </w:p>
          <w:p w14:paraId="191EDFDB" w14:textId="77777777" w:rsidR="005E49EA" w:rsidRPr="00E81B78" w:rsidRDefault="005E49EA" w:rsidP="00F87B20">
            <w:pPr>
              <w:cnfStyle w:val="000000100000" w:firstRow="0" w:lastRow="0" w:firstColumn="0" w:lastColumn="0" w:oddVBand="0" w:evenVBand="0" w:oddHBand="1" w:evenHBand="0" w:firstRowFirstColumn="0" w:firstRowLastColumn="0" w:lastRowFirstColumn="0" w:lastRowLastColumn="0"/>
            </w:pPr>
            <w:r w:rsidRPr="00E81B78">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E81B78" w:rsidRDefault="00FF3C21" w:rsidP="00FF3C21">
            <w:pPr>
              <w:cnfStyle w:val="000000000000" w:firstRow="0" w:lastRow="0" w:firstColumn="0" w:lastColumn="0" w:oddVBand="0" w:evenVBand="0" w:oddHBand="0" w:evenHBand="0" w:firstRowFirstColumn="0" w:firstRowLastColumn="0" w:lastRowFirstColumn="0" w:lastRowLastColumn="0"/>
            </w:pPr>
            <w:r w:rsidRPr="00E81B78">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E81B78" w:rsidRDefault="00FF3C21" w:rsidP="00FF3C21">
            <w:pPr>
              <w:cnfStyle w:val="000000100000" w:firstRow="0" w:lastRow="0" w:firstColumn="0" w:lastColumn="0" w:oddVBand="0" w:evenVBand="0" w:oddHBand="1" w:evenHBand="0" w:firstRowFirstColumn="0" w:firstRowLastColumn="0" w:lastRowFirstColumn="0" w:lastRowLastColumn="0"/>
            </w:pPr>
            <w:r w:rsidRPr="00E81B78">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E81B78" w:rsidRDefault="00FF3C21" w:rsidP="00FF3C21">
            <w:pPr>
              <w:cnfStyle w:val="000000000000" w:firstRow="0" w:lastRow="0" w:firstColumn="0" w:lastColumn="0" w:oddVBand="0" w:evenVBand="0" w:oddHBand="0" w:evenHBand="0" w:firstRowFirstColumn="0" w:firstRowLastColumn="0" w:lastRowFirstColumn="0" w:lastRowLastColumn="0"/>
            </w:pPr>
            <w:r w:rsidRPr="00E81B78">
              <w:t>If you have any questions, contact us on 13 28 46.</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5872578B" w:rsidR="00FF3C21" w:rsidRPr="00E81B78" w:rsidRDefault="00987DD4" w:rsidP="00977FA4">
            <w:pPr>
              <w:cnfStyle w:val="000000100000" w:firstRow="0" w:lastRow="0" w:firstColumn="0" w:lastColumn="0" w:oddVBand="0" w:evenVBand="0" w:oddHBand="1" w:evenHBand="0" w:firstRowFirstColumn="0" w:firstRowLastColumn="0" w:lastRowFirstColumn="0" w:lastRowLastColumn="0"/>
            </w:pPr>
            <w:r>
              <w:t>9</w:t>
            </w:r>
            <w:r w:rsidR="00D917FA">
              <w:t xml:space="preserve"> December 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C" w14:textId="77777777" w:rsidR="00C108BC" w:rsidRDefault="00C108BC" w:rsidP="00077C3D"/>
    <w:p w14:paraId="191EDFED"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2" w:name="_Toc164844258"/>
      <w:bookmarkStart w:id="3" w:name="_Toc383003250"/>
      <w:bookmarkStart w:id="4" w:name="_Toc164844257"/>
      <w:r w:rsidRPr="00007E4B">
        <w:rPr>
          <w:lang w:val="en-AU"/>
        </w:rPr>
        <w:lastRenderedPageBreak/>
        <w:t>Contents</w:t>
      </w:r>
      <w:bookmarkEnd w:id="2"/>
      <w:bookmarkEnd w:id="3"/>
    </w:p>
    <w:p w14:paraId="45169498" w14:textId="77777777" w:rsidR="00FD188A"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FD188A">
        <w:rPr>
          <w:noProof/>
        </w:rPr>
        <w:t>1.</w:t>
      </w:r>
      <w:r w:rsidR="00FD188A">
        <w:rPr>
          <w:rFonts w:asciiTheme="minorHAnsi" w:eastAsiaTheme="minorEastAsia" w:hAnsiTheme="minorHAnsi" w:cstheme="minorBidi"/>
          <w:b w:val="0"/>
          <w:iCs w:val="0"/>
          <w:noProof/>
          <w:sz w:val="22"/>
          <w:lang w:val="en-AU" w:eastAsia="en-AU"/>
        </w:rPr>
        <w:tab/>
      </w:r>
      <w:r w:rsidR="00FD188A">
        <w:rPr>
          <w:noProof/>
        </w:rPr>
        <w:t>Modern Manufacturing Initiative – Manufacturing Integration Stream – Recycling and Clean Energy Priority Round 2 Grant Opportunity processes</w:t>
      </w:r>
      <w:r w:rsidR="00FD188A">
        <w:rPr>
          <w:noProof/>
        </w:rPr>
        <w:tab/>
      </w:r>
      <w:r w:rsidR="00FD188A">
        <w:rPr>
          <w:noProof/>
        </w:rPr>
        <w:fldChar w:fldCharType="begin"/>
      </w:r>
      <w:r w:rsidR="00FD188A">
        <w:rPr>
          <w:noProof/>
        </w:rPr>
        <w:instrText xml:space="preserve"> PAGEREF _Toc77165053 \h </w:instrText>
      </w:r>
      <w:r w:rsidR="00FD188A">
        <w:rPr>
          <w:noProof/>
        </w:rPr>
      </w:r>
      <w:r w:rsidR="00FD188A">
        <w:rPr>
          <w:noProof/>
        </w:rPr>
        <w:fldChar w:fldCharType="separate"/>
      </w:r>
      <w:r w:rsidR="00F43167">
        <w:rPr>
          <w:noProof/>
        </w:rPr>
        <w:t>4</w:t>
      </w:r>
      <w:r w:rsidR="00FD188A">
        <w:rPr>
          <w:noProof/>
        </w:rPr>
        <w:fldChar w:fldCharType="end"/>
      </w:r>
    </w:p>
    <w:p w14:paraId="0E4F595F"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_Toc77165054 \h </w:instrText>
      </w:r>
      <w:r>
        <w:rPr>
          <w:noProof/>
        </w:rPr>
      </w:r>
      <w:r>
        <w:rPr>
          <w:noProof/>
        </w:rPr>
        <w:fldChar w:fldCharType="separate"/>
      </w:r>
      <w:r w:rsidR="00F43167">
        <w:rPr>
          <w:noProof/>
        </w:rPr>
        <w:t>5</w:t>
      </w:r>
      <w:r>
        <w:rPr>
          <w:noProof/>
        </w:rPr>
        <w:fldChar w:fldCharType="end"/>
      </w:r>
    </w:p>
    <w:p w14:paraId="1524564D" w14:textId="77777777" w:rsidR="00FD188A" w:rsidRDefault="00FD188A">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_Toc77165055 \h </w:instrText>
      </w:r>
      <w:r>
        <w:rPr>
          <w:noProof/>
        </w:rPr>
      </w:r>
      <w:r>
        <w:rPr>
          <w:noProof/>
        </w:rPr>
        <w:fldChar w:fldCharType="separate"/>
      </w:r>
      <w:r w:rsidR="00F43167">
        <w:rPr>
          <w:noProof/>
        </w:rPr>
        <w:t>5</w:t>
      </w:r>
      <w:r>
        <w:rPr>
          <w:noProof/>
        </w:rPr>
        <w:fldChar w:fldCharType="end"/>
      </w:r>
    </w:p>
    <w:p w14:paraId="2E0F71B6" w14:textId="77777777" w:rsidR="00FD188A" w:rsidRDefault="00FD188A">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_Toc77165056 \h </w:instrText>
      </w:r>
      <w:r>
        <w:rPr>
          <w:noProof/>
        </w:rPr>
      </w:r>
      <w:r>
        <w:rPr>
          <w:noProof/>
        </w:rPr>
        <w:fldChar w:fldCharType="separate"/>
      </w:r>
      <w:r w:rsidR="00F43167">
        <w:rPr>
          <w:noProof/>
        </w:rPr>
        <w:t>6</w:t>
      </w:r>
      <w:r>
        <w:rPr>
          <w:noProof/>
        </w:rPr>
        <w:fldChar w:fldCharType="end"/>
      </w:r>
    </w:p>
    <w:p w14:paraId="218A0D44" w14:textId="77777777" w:rsidR="00FD188A" w:rsidRDefault="00FD188A">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_Toc77165057 \h </w:instrText>
      </w:r>
      <w:r>
        <w:rPr>
          <w:noProof/>
        </w:rPr>
      </w:r>
      <w:r>
        <w:rPr>
          <w:noProof/>
        </w:rPr>
        <w:fldChar w:fldCharType="separate"/>
      </w:r>
      <w:r w:rsidR="00F43167">
        <w:rPr>
          <w:noProof/>
        </w:rPr>
        <w:t>6</w:t>
      </w:r>
      <w:r>
        <w:rPr>
          <w:noProof/>
        </w:rPr>
        <w:fldChar w:fldCharType="end"/>
      </w:r>
    </w:p>
    <w:p w14:paraId="482B9B61" w14:textId="77777777" w:rsidR="00FD188A" w:rsidRDefault="00FD188A">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Integration Stream – Recycling and Clean Energy Priority Round 2 grant opportunity</w:t>
      </w:r>
      <w:r>
        <w:rPr>
          <w:noProof/>
        </w:rPr>
        <w:tab/>
      </w:r>
      <w:r>
        <w:rPr>
          <w:noProof/>
        </w:rPr>
        <w:fldChar w:fldCharType="begin"/>
      </w:r>
      <w:r>
        <w:rPr>
          <w:noProof/>
        </w:rPr>
        <w:instrText xml:space="preserve"> PAGEREF _Toc77165058 \h </w:instrText>
      </w:r>
      <w:r>
        <w:rPr>
          <w:noProof/>
        </w:rPr>
      </w:r>
      <w:r>
        <w:rPr>
          <w:noProof/>
        </w:rPr>
        <w:fldChar w:fldCharType="separate"/>
      </w:r>
      <w:r w:rsidR="00F43167">
        <w:rPr>
          <w:noProof/>
        </w:rPr>
        <w:t>6</w:t>
      </w:r>
      <w:r>
        <w:rPr>
          <w:noProof/>
        </w:rPr>
        <w:fldChar w:fldCharType="end"/>
      </w:r>
    </w:p>
    <w:p w14:paraId="4BF4C27C"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_Toc77165059 \h </w:instrText>
      </w:r>
      <w:r>
        <w:rPr>
          <w:noProof/>
        </w:rPr>
      </w:r>
      <w:r>
        <w:rPr>
          <w:noProof/>
        </w:rPr>
        <w:fldChar w:fldCharType="separate"/>
      </w:r>
      <w:r w:rsidR="00F43167">
        <w:rPr>
          <w:noProof/>
        </w:rPr>
        <w:t>9</w:t>
      </w:r>
      <w:r>
        <w:rPr>
          <w:noProof/>
        </w:rPr>
        <w:fldChar w:fldCharType="end"/>
      </w:r>
    </w:p>
    <w:p w14:paraId="07D5FE9E" w14:textId="77777777" w:rsidR="00FD188A" w:rsidRDefault="00FD188A">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_Toc77165060 \h </w:instrText>
      </w:r>
      <w:r>
        <w:rPr>
          <w:noProof/>
        </w:rPr>
      </w:r>
      <w:r>
        <w:rPr>
          <w:noProof/>
        </w:rPr>
        <w:fldChar w:fldCharType="separate"/>
      </w:r>
      <w:r w:rsidR="00F43167">
        <w:rPr>
          <w:noProof/>
        </w:rPr>
        <w:t>9</w:t>
      </w:r>
      <w:r>
        <w:rPr>
          <w:noProof/>
        </w:rPr>
        <w:fldChar w:fldCharType="end"/>
      </w:r>
    </w:p>
    <w:p w14:paraId="3795B8A2" w14:textId="77777777" w:rsidR="00FD188A" w:rsidRDefault="00FD188A">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_Toc77165061 \h </w:instrText>
      </w:r>
      <w:r>
        <w:rPr>
          <w:noProof/>
        </w:rPr>
      </w:r>
      <w:r>
        <w:rPr>
          <w:noProof/>
        </w:rPr>
        <w:fldChar w:fldCharType="separate"/>
      </w:r>
      <w:r w:rsidR="00F43167">
        <w:rPr>
          <w:noProof/>
        </w:rPr>
        <w:t>9</w:t>
      </w:r>
      <w:r>
        <w:rPr>
          <w:noProof/>
        </w:rPr>
        <w:fldChar w:fldCharType="end"/>
      </w:r>
    </w:p>
    <w:p w14:paraId="05D8F267"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_Toc77165062 \h </w:instrText>
      </w:r>
      <w:r>
        <w:rPr>
          <w:noProof/>
        </w:rPr>
      </w:r>
      <w:r>
        <w:rPr>
          <w:noProof/>
        </w:rPr>
        <w:fldChar w:fldCharType="separate"/>
      </w:r>
      <w:r w:rsidR="00F43167">
        <w:rPr>
          <w:noProof/>
        </w:rPr>
        <w:t>9</w:t>
      </w:r>
      <w:r>
        <w:rPr>
          <w:noProof/>
        </w:rPr>
        <w:fldChar w:fldCharType="end"/>
      </w:r>
    </w:p>
    <w:p w14:paraId="6ED7FAD5" w14:textId="77777777" w:rsidR="00FD188A" w:rsidRDefault="00FD188A">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_Toc77165063 \h </w:instrText>
      </w:r>
      <w:r>
        <w:rPr>
          <w:noProof/>
        </w:rPr>
      </w:r>
      <w:r>
        <w:rPr>
          <w:noProof/>
        </w:rPr>
        <w:fldChar w:fldCharType="separate"/>
      </w:r>
      <w:r w:rsidR="00F43167">
        <w:rPr>
          <w:noProof/>
        </w:rPr>
        <w:t>9</w:t>
      </w:r>
      <w:r>
        <w:rPr>
          <w:noProof/>
        </w:rPr>
        <w:fldChar w:fldCharType="end"/>
      </w:r>
    </w:p>
    <w:p w14:paraId="6EBEBE07" w14:textId="77777777" w:rsidR="00FD188A" w:rsidRDefault="00FD188A">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_Toc77165064 \h </w:instrText>
      </w:r>
      <w:r>
        <w:rPr>
          <w:noProof/>
        </w:rPr>
      </w:r>
      <w:r>
        <w:rPr>
          <w:noProof/>
        </w:rPr>
        <w:fldChar w:fldCharType="separate"/>
      </w:r>
      <w:r w:rsidR="00F43167">
        <w:rPr>
          <w:noProof/>
        </w:rPr>
        <w:t>10</w:t>
      </w:r>
      <w:r>
        <w:rPr>
          <w:noProof/>
        </w:rPr>
        <w:fldChar w:fldCharType="end"/>
      </w:r>
    </w:p>
    <w:p w14:paraId="268D0E1A" w14:textId="77777777" w:rsidR="00FD188A" w:rsidRDefault="00FD188A">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_Toc77165065 \h </w:instrText>
      </w:r>
      <w:r>
        <w:rPr>
          <w:noProof/>
        </w:rPr>
      </w:r>
      <w:r>
        <w:rPr>
          <w:noProof/>
        </w:rPr>
        <w:fldChar w:fldCharType="separate"/>
      </w:r>
      <w:r w:rsidR="00F43167">
        <w:rPr>
          <w:noProof/>
        </w:rPr>
        <w:t>10</w:t>
      </w:r>
      <w:r>
        <w:rPr>
          <w:noProof/>
        </w:rPr>
        <w:fldChar w:fldCharType="end"/>
      </w:r>
    </w:p>
    <w:p w14:paraId="0C62C328"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_Toc77165066 \h </w:instrText>
      </w:r>
      <w:r>
        <w:rPr>
          <w:noProof/>
        </w:rPr>
      </w:r>
      <w:r>
        <w:rPr>
          <w:noProof/>
        </w:rPr>
        <w:fldChar w:fldCharType="separate"/>
      </w:r>
      <w:r w:rsidR="00F43167">
        <w:rPr>
          <w:noProof/>
        </w:rPr>
        <w:t>11</w:t>
      </w:r>
      <w:r>
        <w:rPr>
          <w:noProof/>
        </w:rPr>
        <w:fldChar w:fldCharType="end"/>
      </w:r>
    </w:p>
    <w:p w14:paraId="43E5827D" w14:textId="77777777" w:rsidR="00FD188A" w:rsidRDefault="00FD188A">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_Toc77165067 \h </w:instrText>
      </w:r>
      <w:r>
        <w:rPr>
          <w:noProof/>
        </w:rPr>
      </w:r>
      <w:r>
        <w:rPr>
          <w:noProof/>
        </w:rPr>
        <w:fldChar w:fldCharType="separate"/>
      </w:r>
      <w:r w:rsidR="00F43167">
        <w:rPr>
          <w:noProof/>
        </w:rPr>
        <w:t>11</w:t>
      </w:r>
      <w:r>
        <w:rPr>
          <w:noProof/>
        </w:rPr>
        <w:fldChar w:fldCharType="end"/>
      </w:r>
    </w:p>
    <w:p w14:paraId="56CBCEA6" w14:textId="77777777" w:rsidR="00FD188A" w:rsidRDefault="00FD188A">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_Toc77165068 \h </w:instrText>
      </w:r>
      <w:r>
        <w:rPr>
          <w:noProof/>
        </w:rPr>
      </w:r>
      <w:r>
        <w:rPr>
          <w:noProof/>
        </w:rPr>
        <w:fldChar w:fldCharType="separate"/>
      </w:r>
      <w:r w:rsidR="00F43167">
        <w:rPr>
          <w:noProof/>
        </w:rPr>
        <w:t>11</w:t>
      </w:r>
      <w:r>
        <w:rPr>
          <w:noProof/>
        </w:rPr>
        <w:fldChar w:fldCharType="end"/>
      </w:r>
    </w:p>
    <w:p w14:paraId="63C39CF4"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_Toc77165069 \h </w:instrText>
      </w:r>
      <w:r>
        <w:rPr>
          <w:noProof/>
        </w:rPr>
      </w:r>
      <w:r>
        <w:rPr>
          <w:noProof/>
        </w:rPr>
        <w:fldChar w:fldCharType="separate"/>
      </w:r>
      <w:r w:rsidR="00F43167">
        <w:rPr>
          <w:noProof/>
        </w:rPr>
        <w:t>12</w:t>
      </w:r>
      <w:r>
        <w:rPr>
          <w:noProof/>
        </w:rPr>
        <w:fldChar w:fldCharType="end"/>
      </w:r>
    </w:p>
    <w:p w14:paraId="626936FF" w14:textId="77777777" w:rsidR="00FD188A" w:rsidRDefault="00FD188A">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_Toc77165070 \h </w:instrText>
      </w:r>
      <w:r>
        <w:rPr>
          <w:noProof/>
        </w:rPr>
      </w:r>
      <w:r>
        <w:rPr>
          <w:noProof/>
        </w:rPr>
        <w:fldChar w:fldCharType="separate"/>
      </w:r>
      <w:r w:rsidR="00F43167">
        <w:rPr>
          <w:noProof/>
        </w:rPr>
        <w:t>12</w:t>
      </w:r>
      <w:r>
        <w:rPr>
          <w:noProof/>
        </w:rPr>
        <w:fldChar w:fldCharType="end"/>
      </w:r>
    </w:p>
    <w:p w14:paraId="796FC63A" w14:textId="77777777" w:rsidR="00FD188A" w:rsidRDefault="00FD188A">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_Toc77165071 \h </w:instrText>
      </w:r>
      <w:r>
        <w:rPr>
          <w:noProof/>
        </w:rPr>
      </w:r>
      <w:r>
        <w:rPr>
          <w:noProof/>
        </w:rPr>
        <w:fldChar w:fldCharType="separate"/>
      </w:r>
      <w:r w:rsidR="00F43167">
        <w:rPr>
          <w:noProof/>
        </w:rPr>
        <w:t>13</w:t>
      </w:r>
      <w:r>
        <w:rPr>
          <w:noProof/>
        </w:rPr>
        <w:fldChar w:fldCharType="end"/>
      </w:r>
    </w:p>
    <w:p w14:paraId="501486FF" w14:textId="77777777" w:rsidR="00FD188A" w:rsidRDefault="00FD188A">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_Toc77165072 \h </w:instrText>
      </w:r>
      <w:r>
        <w:rPr>
          <w:noProof/>
        </w:rPr>
      </w:r>
      <w:r>
        <w:rPr>
          <w:noProof/>
        </w:rPr>
        <w:fldChar w:fldCharType="separate"/>
      </w:r>
      <w:r w:rsidR="00F43167">
        <w:rPr>
          <w:noProof/>
        </w:rPr>
        <w:t>14</w:t>
      </w:r>
      <w:r>
        <w:rPr>
          <w:noProof/>
        </w:rPr>
        <w:fldChar w:fldCharType="end"/>
      </w:r>
    </w:p>
    <w:p w14:paraId="3E8BBC14"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_Toc77165073 \h </w:instrText>
      </w:r>
      <w:r>
        <w:rPr>
          <w:noProof/>
        </w:rPr>
      </w:r>
      <w:r>
        <w:rPr>
          <w:noProof/>
        </w:rPr>
        <w:fldChar w:fldCharType="separate"/>
      </w:r>
      <w:r w:rsidR="00F43167">
        <w:rPr>
          <w:noProof/>
        </w:rPr>
        <w:t>14</w:t>
      </w:r>
      <w:r>
        <w:rPr>
          <w:noProof/>
        </w:rPr>
        <w:fldChar w:fldCharType="end"/>
      </w:r>
    </w:p>
    <w:p w14:paraId="11BB2422" w14:textId="77777777" w:rsidR="00FD188A" w:rsidRDefault="00FD188A">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_Toc77165074 \h </w:instrText>
      </w:r>
      <w:r>
        <w:rPr>
          <w:noProof/>
        </w:rPr>
      </w:r>
      <w:r>
        <w:rPr>
          <w:noProof/>
        </w:rPr>
        <w:fldChar w:fldCharType="separate"/>
      </w:r>
      <w:r w:rsidR="00F43167">
        <w:rPr>
          <w:noProof/>
        </w:rPr>
        <w:t>15</w:t>
      </w:r>
      <w:r>
        <w:rPr>
          <w:noProof/>
        </w:rPr>
        <w:fldChar w:fldCharType="end"/>
      </w:r>
    </w:p>
    <w:p w14:paraId="5365F029" w14:textId="77777777" w:rsidR="00FD188A" w:rsidRDefault="00FD188A">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_Toc77165075 \h </w:instrText>
      </w:r>
      <w:r>
        <w:rPr>
          <w:noProof/>
        </w:rPr>
      </w:r>
      <w:r>
        <w:rPr>
          <w:noProof/>
        </w:rPr>
        <w:fldChar w:fldCharType="separate"/>
      </w:r>
      <w:r w:rsidR="00F43167">
        <w:rPr>
          <w:noProof/>
        </w:rPr>
        <w:t>15</w:t>
      </w:r>
      <w:r>
        <w:rPr>
          <w:noProof/>
        </w:rPr>
        <w:fldChar w:fldCharType="end"/>
      </w:r>
    </w:p>
    <w:p w14:paraId="08BB3D80" w14:textId="77777777" w:rsidR="00FD188A" w:rsidRDefault="00FD188A">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_Toc77165076 \h </w:instrText>
      </w:r>
      <w:r>
        <w:rPr>
          <w:noProof/>
        </w:rPr>
      </w:r>
      <w:r>
        <w:rPr>
          <w:noProof/>
        </w:rPr>
        <w:fldChar w:fldCharType="separate"/>
      </w:r>
      <w:r w:rsidR="00F43167">
        <w:rPr>
          <w:noProof/>
        </w:rPr>
        <w:t>16</w:t>
      </w:r>
      <w:r>
        <w:rPr>
          <w:noProof/>
        </w:rPr>
        <w:fldChar w:fldCharType="end"/>
      </w:r>
    </w:p>
    <w:p w14:paraId="1232FA7F"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_Toc77165077 \h </w:instrText>
      </w:r>
      <w:r>
        <w:rPr>
          <w:noProof/>
        </w:rPr>
      </w:r>
      <w:r>
        <w:rPr>
          <w:noProof/>
        </w:rPr>
        <w:fldChar w:fldCharType="separate"/>
      </w:r>
      <w:r w:rsidR="00F43167">
        <w:rPr>
          <w:noProof/>
        </w:rPr>
        <w:t>16</w:t>
      </w:r>
      <w:r>
        <w:rPr>
          <w:noProof/>
        </w:rPr>
        <w:fldChar w:fldCharType="end"/>
      </w:r>
    </w:p>
    <w:p w14:paraId="48C086F2" w14:textId="77777777" w:rsidR="00FD188A" w:rsidRDefault="00FD188A">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_Toc77165078 \h </w:instrText>
      </w:r>
      <w:r>
        <w:rPr>
          <w:noProof/>
        </w:rPr>
      </w:r>
      <w:r>
        <w:rPr>
          <w:noProof/>
        </w:rPr>
        <w:fldChar w:fldCharType="separate"/>
      </w:r>
      <w:r w:rsidR="00F43167">
        <w:rPr>
          <w:noProof/>
        </w:rPr>
        <w:t>17</w:t>
      </w:r>
      <w:r>
        <w:rPr>
          <w:noProof/>
        </w:rPr>
        <w:fldChar w:fldCharType="end"/>
      </w:r>
    </w:p>
    <w:p w14:paraId="1D05BD38"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_Toc77165079 \h </w:instrText>
      </w:r>
      <w:r>
        <w:rPr>
          <w:noProof/>
        </w:rPr>
      </w:r>
      <w:r>
        <w:rPr>
          <w:noProof/>
        </w:rPr>
        <w:fldChar w:fldCharType="separate"/>
      </w:r>
      <w:r w:rsidR="00F43167">
        <w:rPr>
          <w:noProof/>
        </w:rPr>
        <w:t>17</w:t>
      </w:r>
      <w:r>
        <w:rPr>
          <w:noProof/>
        </w:rPr>
        <w:fldChar w:fldCharType="end"/>
      </w:r>
    </w:p>
    <w:p w14:paraId="0038D5E1"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_Toc77165080 \h </w:instrText>
      </w:r>
      <w:r>
        <w:rPr>
          <w:noProof/>
        </w:rPr>
      </w:r>
      <w:r>
        <w:rPr>
          <w:noProof/>
        </w:rPr>
        <w:fldChar w:fldCharType="separate"/>
      </w:r>
      <w:r w:rsidR="00F43167">
        <w:rPr>
          <w:noProof/>
        </w:rPr>
        <w:t>17</w:t>
      </w:r>
      <w:r>
        <w:rPr>
          <w:noProof/>
        </w:rPr>
        <w:fldChar w:fldCharType="end"/>
      </w:r>
    </w:p>
    <w:p w14:paraId="1F71C59F"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_Toc77165081 \h </w:instrText>
      </w:r>
      <w:r>
        <w:rPr>
          <w:noProof/>
        </w:rPr>
      </w:r>
      <w:r>
        <w:rPr>
          <w:noProof/>
        </w:rPr>
        <w:fldChar w:fldCharType="separate"/>
      </w:r>
      <w:r w:rsidR="00F43167">
        <w:rPr>
          <w:noProof/>
        </w:rPr>
        <w:t>17</w:t>
      </w:r>
      <w:r>
        <w:rPr>
          <w:noProof/>
        </w:rPr>
        <w:fldChar w:fldCharType="end"/>
      </w:r>
    </w:p>
    <w:p w14:paraId="6AB73708"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_Toc77165082 \h </w:instrText>
      </w:r>
      <w:r>
        <w:rPr>
          <w:noProof/>
        </w:rPr>
      </w:r>
      <w:r>
        <w:rPr>
          <w:noProof/>
        </w:rPr>
        <w:fldChar w:fldCharType="separate"/>
      </w:r>
      <w:r w:rsidR="00F43167">
        <w:rPr>
          <w:noProof/>
        </w:rPr>
        <w:t>18</w:t>
      </w:r>
      <w:r>
        <w:rPr>
          <w:noProof/>
        </w:rPr>
        <w:fldChar w:fldCharType="end"/>
      </w:r>
    </w:p>
    <w:p w14:paraId="11C72712"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_Toc77165083 \h </w:instrText>
      </w:r>
      <w:r>
        <w:rPr>
          <w:noProof/>
        </w:rPr>
      </w:r>
      <w:r>
        <w:rPr>
          <w:noProof/>
        </w:rPr>
        <w:fldChar w:fldCharType="separate"/>
      </w:r>
      <w:r w:rsidR="00F43167">
        <w:rPr>
          <w:noProof/>
        </w:rPr>
        <w:t>18</w:t>
      </w:r>
      <w:r>
        <w:rPr>
          <w:noProof/>
        </w:rPr>
        <w:fldChar w:fldCharType="end"/>
      </w:r>
    </w:p>
    <w:p w14:paraId="20328601"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_Toc77165084 \h </w:instrText>
      </w:r>
      <w:r>
        <w:rPr>
          <w:noProof/>
        </w:rPr>
      </w:r>
      <w:r>
        <w:rPr>
          <w:noProof/>
        </w:rPr>
        <w:fldChar w:fldCharType="separate"/>
      </w:r>
      <w:r w:rsidR="00F43167">
        <w:rPr>
          <w:noProof/>
        </w:rPr>
        <w:t>18</w:t>
      </w:r>
      <w:r>
        <w:rPr>
          <w:noProof/>
        </w:rPr>
        <w:fldChar w:fldCharType="end"/>
      </w:r>
    </w:p>
    <w:p w14:paraId="4D4B8B23"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_Toc77165085 \h </w:instrText>
      </w:r>
      <w:r>
        <w:rPr>
          <w:noProof/>
        </w:rPr>
      </w:r>
      <w:r>
        <w:rPr>
          <w:noProof/>
        </w:rPr>
        <w:fldChar w:fldCharType="separate"/>
      </w:r>
      <w:r w:rsidR="00F43167">
        <w:rPr>
          <w:noProof/>
        </w:rPr>
        <w:t>19</w:t>
      </w:r>
      <w:r>
        <w:rPr>
          <w:noProof/>
        </w:rPr>
        <w:fldChar w:fldCharType="end"/>
      </w:r>
    </w:p>
    <w:p w14:paraId="66258F16"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_Toc77165086 \h </w:instrText>
      </w:r>
      <w:r>
        <w:rPr>
          <w:noProof/>
        </w:rPr>
      </w:r>
      <w:r>
        <w:rPr>
          <w:noProof/>
        </w:rPr>
        <w:fldChar w:fldCharType="separate"/>
      </w:r>
      <w:r w:rsidR="00F43167">
        <w:rPr>
          <w:noProof/>
        </w:rPr>
        <w:t>19</w:t>
      </w:r>
      <w:r>
        <w:rPr>
          <w:noProof/>
        </w:rPr>
        <w:fldChar w:fldCharType="end"/>
      </w:r>
    </w:p>
    <w:p w14:paraId="49EF22DF"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_Toc77165087 \h </w:instrText>
      </w:r>
      <w:r>
        <w:rPr>
          <w:noProof/>
        </w:rPr>
      </w:r>
      <w:r>
        <w:rPr>
          <w:noProof/>
        </w:rPr>
        <w:fldChar w:fldCharType="separate"/>
      </w:r>
      <w:r w:rsidR="00F43167">
        <w:rPr>
          <w:noProof/>
        </w:rPr>
        <w:t>19</w:t>
      </w:r>
      <w:r>
        <w:rPr>
          <w:noProof/>
        </w:rPr>
        <w:fldChar w:fldCharType="end"/>
      </w:r>
    </w:p>
    <w:p w14:paraId="7619A3B8"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_Toc77165088 \h </w:instrText>
      </w:r>
      <w:r>
        <w:rPr>
          <w:noProof/>
        </w:rPr>
      </w:r>
      <w:r>
        <w:rPr>
          <w:noProof/>
        </w:rPr>
        <w:fldChar w:fldCharType="separate"/>
      </w:r>
      <w:r w:rsidR="00F43167">
        <w:rPr>
          <w:noProof/>
        </w:rPr>
        <w:t>19</w:t>
      </w:r>
      <w:r>
        <w:rPr>
          <w:noProof/>
        </w:rPr>
        <w:fldChar w:fldCharType="end"/>
      </w:r>
    </w:p>
    <w:p w14:paraId="50AABA76" w14:textId="77777777" w:rsidR="00FD188A" w:rsidRDefault="00FD188A">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_Toc77165089 \h </w:instrText>
      </w:r>
      <w:r>
        <w:fldChar w:fldCharType="separate"/>
      </w:r>
      <w:r w:rsidR="00F43167">
        <w:t>20</w:t>
      </w:r>
      <w:r>
        <w:fldChar w:fldCharType="end"/>
      </w:r>
    </w:p>
    <w:p w14:paraId="40C01B02" w14:textId="77777777" w:rsidR="00FD188A" w:rsidRDefault="00FD188A">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_Toc77165090 \h </w:instrText>
      </w:r>
      <w:r>
        <w:fldChar w:fldCharType="separate"/>
      </w:r>
      <w:r w:rsidR="00F43167">
        <w:t>20</w:t>
      </w:r>
      <w:r>
        <w:fldChar w:fldCharType="end"/>
      </w:r>
    </w:p>
    <w:p w14:paraId="24D8E2E9" w14:textId="77777777" w:rsidR="00FD188A" w:rsidRDefault="00FD188A">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_Toc77165091 \h </w:instrText>
      </w:r>
      <w:r>
        <w:fldChar w:fldCharType="separate"/>
      </w:r>
      <w:r w:rsidR="00F43167">
        <w:t>20</w:t>
      </w:r>
      <w:r>
        <w:fldChar w:fldCharType="end"/>
      </w:r>
    </w:p>
    <w:p w14:paraId="2F85CD8D" w14:textId="77777777" w:rsidR="00FD188A" w:rsidRDefault="00FD188A">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_Toc77165092 \h </w:instrText>
      </w:r>
      <w:r>
        <w:fldChar w:fldCharType="separate"/>
      </w:r>
      <w:r w:rsidR="00F43167">
        <w:t>20</w:t>
      </w:r>
      <w:r>
        <w:fldChar w:fldCharType="end"/>
      </w:r>
    </w:p>
    <w:p w14:paraId="3B2B69F2"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_Toc77165093 \h </w:instrText>
      </w:r>
      <w:r>
        <w:rPr>
          <w:noProof/>
        </w:rPr>
      </w:r>
      <w:r>
        <w:rPr>
          <w:noProof/>
        </w:rPr>
        <w:fldChar w:fldCharType="separate"/>
      </w:r>
      <w:r w:rsidR="00F43167">
        <w:rPr>
          <w:noProof/>
        </w:rPr>
        <w:t>20</w:t>
      </w:r>
      <w:r>
        <w:rPr>
          <w:noProof/>
        </w:rPr>
        <w:fldChar w:fldCharType="end"/>
      </w:r>
    </w:p>
    <w:p w14:paraId="0B8C4CF2"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_Toc77165094 \h </w:instrText>
      </w:r>
      <w:r>
        <w:rPr>
          <w:noProof/>
        </w:rPr>
      </w:r>
      <w:r>
        <w:rPr>
          <w:noProof/>
        </w:rPr>
        <w:fldChar w:fldCharType="separate"/>
      </w:r>
      <w:r w:rsidR="00F43167">
        <w:rPr>
          <w:noProof/>
        </w:rPr>
        <w:t>21</w:t>
      </w:r>
      <w:r>
        <w:rPr>
          <w:noProof/>
        </w:rPr>
        <w:fldChar w:fldCharType="end"/>
      </w:r>
    </w:p>
    <w:p w14:paraId="2070A633"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_Toc77165095 \h </w:instrText>
      </w:r>
      <w:r>
        <w:rPr>
          <w:noProof/>
        </w:rPr>
      </w:r>
      <w:r>
        <w:rPr>
          <w:noProof/>
        </w:rPr>
        <w:fldChar w:fldCharType="separate"/>
      </w:r>
      <w:r w:rsidR="00F43167">
        <w:rPr>
          <w:noProof/>
        </w:rPr>
        <w:t>21</w:t>
      </w:r>
      <w:r>
        <w:rPr>
          <w:noProof/>
        </w:rPr>
        <w:fldChar w:fldCharType="end"/>
      </w:r>
    </w:p>
    <w:p w14:paraId="1CA4B48B"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_Toc77165096 \h </w:instrText>
      </w:r>
      <w:r>
        <w:rPr>
          <w:noProof/>
        </w:rPr>
      </w:r>
      <w:r>
        <w:rPr>
          <w:noProof/>
        </w:rPr>
        <w:fldChar w:fldCharType="separate"/>
      </w:r>
      <w:r w:rsidR="00F43167">
        <w:rPr>
          <w:noProof/>
        </w:rPr>
        <w:t>21</w:t>
      </w:r>
      <w:r>
        <w:rPr>
          <w:noProof/>
        </w:rPr>
        <w:fldChar w:fldCharType="end"/>
      </w:r>
    </w:p>
    <w:p w14:paraId="75AEECF1"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_Toc77165097 \h </w:instrText>
      </w:r>
      <w:r>
        <w:rPr>
          <w:noProof/>
        </w:rPr>
      </w:r>
      <w:r>
        <w:rPr>
          <w:noProof/>
        </w:rPr>
        <w:fldChar w:fldCharType="separate"/>
      </w:r>
      <w:r w:rsidR="00F43167">
        <w:rPr>
          <w:noProof/>
        </w:rPr>
        <w:t>21</w:t>
      </w:r>
      <w:r>
        <w:rPr>
          <w:noProof/>
        </w:rPr>
        <w:fldChar w:fldCharType="end"/>
      </w:r>
    </w:p>
    <w:p w14:paraId="52C4DF72"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_Toc77165098 \h </w:instrText>
      </w:r>
      <w:r>
        <w:rPr>
          <w:noProof/>
        </w:rPr>
      </w:r>
      <w:r>
        <w:rPr>
          <w:noProof/>
        </w:rPr>
        <w:fldChar w:fldCharType="separate"/>
      </w:r>
      <w:r w:rsidR="00F43167">
        <w:rPr>
          <w:noProof/>
        </w:rPr>
        <w:t>22</w:t>
      </w:r>
      <w:r>
        <w:rPr>
          <w:noProof/>
        </w:rPr>
        <w:fldChar w:fldCharType="end"/>
      </w:r>
    </w:p>
    <w:p w14:paraId="65BD0908"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_Toc77165099 \h </w:instrText>
      </w:r>
      <w:r>
        <w:rPr>
          <w:noProof/>
        </w:rPr>
      </w:r>
      <w:r>
        <w:rPr>
          <w:noProof/>
        </w:rPr>
        <w:fldChar w:fldCharType="separate"/>
      </w:r>
      <w:r w:rsidR="00F43167">
        <w:rPr>
          <w:noProof/>
        </w:rPr>
        <w:t>22</w:t>
      </w:r>
      <w:r>
        <w:rPr>
          <w:noProof/>
        </w:rPr>
        <w:fldChar w:fldCharType="end"/>
      </w:r>
    </w:p>
    <w:p w14:paraId="201051F9"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_Toc77165100 \h </w:instrText>
      </w:r>
      <w:r>
        <w:rPr>
          <w:noProof/>
        </w:rPr>
      </w:r>
      <w:r>
        <w:rPr>
          <w:noProof/>
        </w:rPr>
        <w:fldChar w:fldCharType="separate"/>
      </w:r>
      <w:r w:rsidR="00F43167">
        <w:rPr>
          <w:noProof/>
        </w:rPr>
        <w:t>22</w:t>
      </w:r>
      <w:r>
        <w:rPr>
          <w:noProof/>
        </w:rPr>
        <w:fldChar w:fldCharType="end"/>
      </w:r>
    </w:p>
    <w:p w14:paraId="2D257DAC" w14:textId="77777777" w:rsidR="00FD188A" w:rsidRDefault="00FD188A">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_Toc77165101 \h </w:instrText>
      </w:r>
      <w:r>
        <w:fldChar w:fldCharType="separate"/>
      </w:r>
      <w:r w:rsidR="00F43167">
        <w:t>23</w:t>
      </w:r>
      <w:r>
        <w:fldChar w:fldCharType="end"/>
      </w:r>
    </w:p>
    <w:p w14:paraId="1252FC84" w14:textId="77777777" w:rsidR="00FD188A" w:rsidRDefault="00FD188A">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_Toc77165102 \h </w:instrText>
      </w:r>
      <w:r>
        <w:fldChar w:fldCharType="separate"/>
      </w:r>
      <w:r w:rsidR="00F43167">
        <w:t>23</w:t>
      </w:r>
      <w:r>
        <w:fldChar w:fldCharType="end"/>
      </w:r>
    </w:p>
    <w:p w14:paraId="14ADFCF1" w14:textId="77777777" w:rsidR="00FD188A" w:rsidRDefault="00FD188A">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_Toc77165103 \h </w:instrText>
      </w:r>
      <w:r>
        <w:fldChar w:fldCharType="separate"/>
      </w:r>
      <w:r w:rsidR="00F43167">
        <w:t>23</w:t>
      </w:r>
      <w:r>
        <w:fldChar w:fldCharType="end"/>
      </w:r>
    </w:p>
    <w:p w14:paraId="71CD6ABC" w14:textId="77777777" w:rsidR="00FD188A" w:rsidRDefault="00FD188A">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_Toc77165104 \h </w:instrText>
      </w:r>
      <w:r>
        <w:fldChar w:fldCharType="separate"/>
      </w:r>
      <w:r w:rsidR="00F43167">
        <w:t>24</w:t>
      </w:r>
      <w:r>
        <w:fldChar w:fldCharType="end"/>
      </w:r>
    </w:p>
    <w:p w14:paraId="7084AF8C" w14:textId="77777777" w:rsidR="00FD188A" w:rsidRDefault="00FD188A">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_Toc77165105 \h </w:instrText>
      </w:r>
      <w:r>
        <w:fldChar w:fldCharType="separate"/>
      </w:r>
      <w:r w:rsidR="00F43167">
        <w:t>24</w:t>
      </w:r>
      <w:r>
        <w:fldChar w:fldCharType="end"/>
      </w:r>
    </w:p>
    <w:p w14:paraId="2D4F7470" w14:textId="77777777" w:rsidR="00FD188A" w:rsidRDefault="00FD188A">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_Toc77165106 \h </w:instrText>
      </w:r>
      <w:r>
        <w:fldChar w:fldCharType="separate"/>
      </w:r>
      <w:r w:rsidR="00F43167">
        <w:t>24</w:t>
      </w:r>
      <w:r>
        <w:fldChar w:fldCharType="end"/>
      </w:r>
    </w:p>
    <w:p w14:paraId="5C32B9CA" w14:textId="77777777" w:rsidR="00FD188A" w:rsidRDefault="00FD188A">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_Toc77165107 \h </w:instrText>
      </w:r>
      <w:r>
        <w:rPr>
          <w:noProof/>
        </w:rPr>
      </w:r>
      <w:r>
        <w:rPr>
          <w:noProof/>
        </w:rPr>
        <w:fldChar w:fldCharType="separate"/>
      </w:r>
      <w:r w:rsidR="00F43167">
        <w:rPr>
          <w:noProof/>
        </w:rPr>
        <w:t>24</w:t>
      </w:r>
      <w:r>
        <w:rPr>
          <w:noProof/>
        </w:rPr>
        <w:fldChar w:fldCharType="end"/>
      </w:r>
    </w:p>
    <w:p w14:paraId="210E50B4" w14:textId="77777777" w:rsidR="00FD188A" w:rsidRDefault="00FD188A">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_Toc77165108 \h </w:instrText>
      </w:r>
      <w:r>
        <w:rPr>
          <w:noProof/>
        </w:rPr>
      </w:r>
      <w:r>
        <w:rPr>
          <w:noProof/>
        </w:rPr>
        <w:fldChar w:fldCharType="separate"/>
      </w:r>
      <w:r w:rsidR="00F43167">
        <w:rPr>
          <w:noProof/>
        </w:rPr>
        <w:t>25</w:t>
      </w:r>
      <w:r>
        <w:rPr>
          <w:noProof/>
        </w:rPr>
        <w:fldChar w:fldCharType="end"/>
      </w:r>
    </w:p>
    <w:p w14:paraId="3D3AC675" w14:textId="77777777" w:rsidR="00FD188A" w:rsidRDefault="00FD188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_Toc77165109 \h </w:instrText>
      </w:r>
      <w:r>
        <w:rPr>
          <w:noProof/>
        </w:rPr>
      </w:r>
      <w:r>
        <w:rPr>
          <w:noProof/>
        </w:rPr>
        <w:fldChar w:fldCharType="separate"/>
      </w:r>
      <w:r w:rsidR="00F43167">
        <w:rPr>
          <w:noProof/>
        </w:rPr>
        <w:t>27</w:t>
      </w:r>
      <w:r>
        <w:rPr>
          <w:noProof/>
        </w:rPr>
        <w:fldChar w:fldCharType="end"/>
      </w:r>
    </w:p>
    <w:p w14:paraId="12DC51C5" w14:textId="77777777" w:rsidR="00FD188A" w:rsidRDefault="00FD188A">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_Toc77165110 \h </w:instrText>
      </w:r>
      <w:r>
        <w:rPr>
          <w:noProof/>
        </w:rPr>
      </w:r>
      <w:r>
        <w:rPr>
          <w:noProof/>
        </w:rPr>
        <w:fldChar w:fldCharType="separate"/>
      </w:r>
      <w:r w:rsidR="00F43167">
        <w:rPr>
          <w:noProof/>
        </w:rPr>
        <w:t>27</w:t>
      </w:r>
      <w:r>
        <w:rPr>
          <w:noProof/>
        </w:rPr>
        <w:fldChar w:fldCharType="end"/>
      </w:r>
    </w:p>
    <w:p w14:paraId="2939AF2F" w14:textId="77777777" w:rsidR="00FD188A" w:rsidRDefault="00FD188A">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_Toc77165111 \h </w:instrText>
      </w:r>
      <w:r>
        <w:rPr>
          <w:noProof/>
        </w:rPr>
      </w:r>
      <w:r>
        <w:rPr>
          <w:noProof/>
        </w:rPr>
        <w:fldChar w:fldCharType="separate"/>
      </w:r>
      <w:r w:rsidR="00F43167">
        <w:rPr>
          <w:noProof/>
        </w:rPr>
        <w:t>27</w:t>
      </w:r>
      <w:r>
        <w:rPr>
          <w:noProof/>
        </w:rPr>
        <w:fldChar w:fldCharType="end"/>
      </w:r>
    </w:p>
    <w:p w14:paraId="250275E4" w14:textId="77777777" w:rsidR="00FD188A" w:rsidRDefault="00FD188A">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_Toc77165112 \h </w:instrText>
      </w:r>
      <w:r>
        <w:rPr>
          <w:noProof/>
        </w:rPr>
      </w:r>
      <w:r>
        <w:rPr>
          <w:noProof/>
        </w:rPr>
        <w:fldChar w:fldCharType="separate"/>
      </w:r>
      <w:r w:rsidR="00F43167">
        <w:rPr>
          <w:noProof/>
        </w:rPr>
        <w:t>28</w:t>
      </w:r>
      <w:r>
        <w:rPr>
          <w:noProof/>
        </w:rPr>
        <w:fldChar w:fldCharType="end"/>
      </w:r>
    </w:p>
    <w:p w14:paraId="6A71812B" w14:textId="77777777" w:rsidR="00FD188A" w:rsidRDefault="00FD188A">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_Toc77165113 \h </w:instrText>
      </w:r>
      <w:r>
        <w:rPr>
          <w:noProof/>
        </w:rPr>
      </w:r>
      <w:r>
        <w:rPr>
          <w:noProof/>
        </w:rPr>
        <w:fldChar w:fldCharType="separate"/>
      </w:r>
      <w:r w:rsidR="00F43167">
        <w:rPr>
          <w:noProof/>
        </w:rPr>
        <w:t>29</w:t>
      </w:r>
      <w:r>
        <w:rPr>
          <w:noProof/>
        </w:rPr>
        <w:fldChar w:fldCharType="end"/>
      </w:r>
    </w:p>
    <w:p w14:paraId="1F754A8E" w14:textId="77777777" w:rsidR="00FD188A" w:rsidRDefault="00FD188A">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_Toc77165114 \h </w:instrText>
      </w:r>
      <w:r>
        <w:rPr>
          <w:noProof/>
        </w:rPr>
      </w:r>
      <w:r>
        <w:rPr>
          <w:noProof/>
        </w:rPr>
        <w:fldChar w:fldCharType="separate"/>
      </w:r>
      <w:r w:rsidR="00F43167">
        <w:rPr>
          <w:noProof/>
        </w:rPr>
        <w:t>29</w:t>
      </w:r>
      <w:r>
        <w:rPr>
          <w:noProof/>
        </w:rPr>
        <w:fldChar w:fldCharType="end"/>
      </w:r>
    </w:p>
    <w:p w14:paraId="71B9EDB1" w14:textId="77777777" w:rsidR="00FD188A" w:rsidRDefault="00FD188A">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_Toc77165115 \h </w:instrText>
      </w:r>
      <w:r>
        <w:rPr>
          <w:noProof/>
        </w:rPr>
      </w:r>
      <w:r>
        <w:rPr>
          <w:noProof/>
        </w:rPr>
        <w:fldChar w:fldCharType="separate"/>
      </w:r>
      <w:r w:rsidR="00F43167">
        <w:rPr>
          <w:noProof/>
        </w:rPr>
        <w:t>30</w:t>
      </w:r>
      <w:r>
        <w:rPr>
          <w:noProof/>
        </w:rPr>
        <w:fldChar w:fldCharType="end"/>
      </w:r>
    </w:p>
    <w:p w14:paraId="04E0A3C7" w14:textId="77777777" w:rsidR="00FD188A" w:rsidRDefault="00FD188A">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_Toc77165116 \h </w:instrText>
      </w:r>
      <w:r>
        <w:rPr>
          <w:noProof/>
        </w:rPr>
      </w:r>
      <w:r>
        <w:rPr>
          <w:noProof/>
        </w:rPr>
        <w:fldChar w:fldCharType="separate"/>
      </w:r>
      <w:r w:rsidR="00F43167">
        <w:rPr>
          <w:noProof/>
        </w:rPr>
        <w:t>30</w:t>
      </w:r>
      <w:r>
        <w:rPr>
          <w:noProof/>
        </w:rPr>
        <w:fldChar w:fldCharType="end"/>
      </w:r>
    </w:p>
    <w:p w14:paraId="38F7C22A" w14:textId="77777777" w:rsidR="00FD188A" w:rsidRDefault="00FD188A">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_Toc77165117 \h </w:instrText>
      </w:r>
      <w:r>
        <w:rPr>
          <w:noProof/>
        </w:rPr>
      </w:r>
      <w:r>
        <w:rPr>
          <w:noProof/>
        </w:rPr>
        <w:fldChar w:fldCharType="separate"/>
      </w:r>
      <w:r w:rsidR="00F43167">
        <w:rPr>
          <w:noProof/>
        </w:rPr>
        <w:t>31</w:t>
      </w:r>
      <w:r>
        <w:rPr>
          <w:noProof/>
        </w:rPr>
        <w:fldChar w:fldCharType="end"/>
      </w:r>
    </w:p>
    <w:p w14:paraId="13E099EE" w14:textId="77777777" w:rsidR="00FD188A" w:rsidRDefault="00FD188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_Toc77165118 \h </w:instrText>
      </w:r>
      <w:r>
        <w:rPr>
          <w:noProof/>
        </w:rPr>
      </w:r>
      <w:r>
        <w:rPr>
          <w:noProof/>
        </w:rPr>
        <w:fldChar w:fldCharType="separate"/>
      </w:r>
      <w:r w:rsidR="00F43167">
        <w:rPr>
          <w:noProof/>
        </w:rPr>
        <w:t>33</w:t>
      </w:r>
      <w:r>
        <w:rPr>
          <w:noProof/>
        </w:rPr>
        <w:fldChar w:fldCharType="end"/>
      </w:r>
    </w:p>
    <w:p w14:paraId="191EE02D"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1EE02E" w14:textId="1B2C51B9" w:rsidR="00CE6D9D" w:rsidRPr="00F40BDA" w:rsidRDefault="00934C1D" w:rsidP="007F5688">
      <w:pPr>
        <w:pStyle w:val="Heading2"/>
      </w:pPr>
      <w:bookmarkStart w:id="5" w:name="_Toc458420391"/>
      <w:bookmarkStart w:id="6" w:name="_Toc462824846"/>
      <w:bookmarkStart w:id="7" w:name="_Toc496536648"/>
      <w:bookmarkStart w:id="8" w:name="_Toc531277475"/>
      <w:bookmarkStart w:id="9" w:name="_Toc955285"/>
      <w:bookmarkStart w:id="10" w:name="_Toc52953252"/>
      <w:bookmarkStart w:id="11" w:name="_Toc53049360"/>
      <w:bookmarkStart w:id="12" w:name="_Toc53052982"/>
      <w:bookmarkStart w:id="13" w:name="_Toc53064281"/>
      <w:bookmarkStart w:id="14" w:name="_Toc53146313"/>
      <w:bookmarkStart w:id="15" w:name="_Toc54090085"/>
      <w:bookmarkStart w:id="16" w:name="_Toc55813046"/>
      <w:bookmarkStart w:id="17" w:name="_Toc55813965"/>
      <w:bookmarkStart w:id="18" w:name="_Toc77165053"/>
      <w:r>
        <w:lastRenderedPageBreak/>
        <w:t xml:space="preserve">Modern </w:t>
      </w:r>
      <w:r w:rsidR="00FF3C21">
        <w:t xml:space="preserve">Manufacturing </w:t>
      </w:r>
      <w:r w:rsidR="00E75010">
        <w:t xml:space="preserve">Initiative </w:t>
      </w:r>
      <w:r w:rsidR="00643DFF">
        <w:t>–</w:t>
      </w:r>
      <w:r w:rsidR="00E75010">
        <w:t xml:space="preserve"> </w:t>
      </w:r>
      <w:bookmarkEnd w:id="5"/>
      <w:bookmarkEnd w:id="6"/>
      <w:r w:rsidR="00643DFF">
        <w:t xml:space="preserve">Manufacturing </w:t>
      </w:r>
      <w:r w:rsidR="00E24D45">
        <w:t xml:space="preserve">Integration </w:t>
      </w:r>
      <w:r w:rsidR="00643DFF">
        <w:t xml:space="preserve">Stream </w:t>
      </w:r>
      <w:r w:rsidR="00FF5AB7">
        <w:t>–</w:t>
      </w:r>
      <w:r w:rsidR="00643DFF">
        <w:t xml:space="preserve"> </w:t>
      </w:r>
      <w:r w:rsidR="00A05546">
        <w:t>Recycling and Clean Energy</w:t>
      </w:r>
      <w:r w:rsidR="00FF5AB7">
        <w:t xml:space="preserve"> Priority Round </w:t>
      </w:r>
      <w:r w:rsidR="00FD188A">
        <w:t>2</w:t>
      </w:r>
      <w:r w:rsidR="00FF5AB7">
        <w:t xml:space="preserve"> </w:t>
      </w:r>
      <w:r w:rsidR="000737CE">
        <w:t xml:space="preserve">Grant Opportunity </w:t>
      </w:r>
      <w:r w:rsidR="00F7040C">
        <w:t>p</w:t>
      </w:r>
      <w:r w:rsidR="00CE6D9D">
        <w:t>rocess</w:t>
      </w:r>
      <w:r w:rsidR="009F5A19">
        <w:t>es</w:t>
      </w:r>
      <w:bookmarkEnd w:id="7"/>
      <w:bookmarkEnd w:id="8"/>
      <w:bookmarkEnd w:id="9"/>
      <w:bookmarkEnd w:id="10"/>
      <w:bookmarkEnd w:id="11"/>
      <w:bookmarkEnd w:id="12"/>
      <w:bookmarkEnd w:id="13"/>
      <w:bookmarkEnd w:id="14"/>
      <w:bookmarkEnd w:id="15"/>
      <w:bookmarkEnd w:id="16"/>
      <w:bookmarkEnd w:id="17"/>
      <w:bookmarkEnd w:id="18"/>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9" w:name="_Toc52953253"/>
      <w:bookmarkStart w:id="20" w:name="_Toc53049361"/>
      <w:bookmarkStart w:id="21" w:name="_Toc53052983"/>
      <w:bookmarkStart w:id="22" w:name="_Toc53064282"/>
      <w:bookmarkStart w:id="23" w:name="_Toc53146314"/>
      <w:bookmarkStart w:id="24" w:name="_Toc54090086"/>
      <w:bookmarkStart w:id="25" w:name="_Toc55813047"/>
      <w:bookmarkStart w:id="26" w:name="_Toc55813966"/>
      <w:bookmarkStart w:id="27" w:name="_Toc77165054"/>
      <w:bookmarkStart w:id="28" w:name="_Toc496536649"/>
      <w:bookmarkStart w:id="29" w:name="_Toc531277476"/>
      <w:bookmarkStart w:id="30" w:name="_Toc955286"/>
      <w:r>
        <w:t>About the Modern Manufacturing Strategy</w:t>
      </w:r>
      <w:bookmarkEnd w:id="19"/>
      <w:bookmarkEnd w:id="20"/>
      <w:bookmarkEnd w:id="21"/>
      <w:bookmarkEnd w:id="22"/>
      <w:bookmarkEnd w:id="23"/>
      <w:bookmarkEnd w:id="24"/>
      <w:bookmarkEnd w:id="25"/>
      <w:bookmarkEnd w:id="26"/>
      <w:bookmarkEnd w:id="27"/>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31" w:name="_Toc52953254"/>
      <w:bookmarkStart w:id="32" w:name="_Toc53049362"/>
      <w:bookmarkStart w:id="33" w:name="_Toc53052984"/>
      <w:bookmarkStart w:id="34" w:name="_Toc53064283"/>
      <w:bookmarkStart w:id="35" w:name="_Toc53146315"/>
      <w:bookmarkStart w:id="36" w:name="_Toc54090087"/>
      <w:bookmarkStart w:id="37" w:name="_Toc55813048"/>
      <w:bookmarkStart w:id="38" w:name="_Toc55813967"/>
      <w:bookmarkStart w:id="39" w:name="_Toc77165055"/>
      <w:r>
        <w:t xml:space="preserve">About the </w:t>
      </w:r>
      <w:bookmarkEnd w:id="28"/>
      <w:bookmarkEnd w:id="29"/>
      <w:bookmarkEnd w:id="30"/>
      <w:r w:rsidR="00934C1D">
        <w:t xml:space="preserve">Modern </w:t>
      </w:r>
      <w:r w:rsidR="00B80862">
        <w:t>Manufacturing Initiative</w:t>
      </w:r>
      <w:bookmarkEnd w:id="31"/>
      <w:bookmarkEnd w:id="32"/>
      <w:bookmarkEnd w:id="33"/>
      <w:bookmarkEnd w:id="34"/>
      <w:bookmarkEnd w:id="35"/>
      <w:bookmarkEnd w:id="36"/>
      <w:bookmarkEnd w:id="37"/>
      <w:bookmarkEnd w:id="38"/>
      <w:bookmarkEnd w:id="39"/>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7648B6CD"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 new supply chains and integrate</w:t>
      </w:r>
      <w:r w:rsidR="005E1E56">
        <w:t xml:space="preserve"> and expand</w:t>
      </w:r>
      <w:r>
        <w:t xml:space="preserve"> into existing value chains and markets, including global markets.</w:t>
      </w:r>
    </w:p>
    <w:p w14:paraId="2889E029" w14:textId="5E99DC4B" w:rsidR="00B872CB" w:rsidRDefault="00B872CB" w:rsidP="00B872CB">
      <w:p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industry-led proposals</w:t>
      </w:r>
      <w:r>
        <w:rPr>
          <w:lang w:val="en"/>
        </w:rPr>
        <w:t xml:space="preserve"> </w:t>
      </w:r>
      <w:r w:rsidR="00573A20">
        <w:rPr>
          <w:lang w:val="en"/>
        </w:rPr>
        <w:t xml:space="preserve">that contribute to transformational change in the manufacturing sector, </w:t>
      </w:r>
      <w:r>
        <w:rPr>
          <w:lang w:val="en"/>
        </w:rPr>
        <w:t>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r w:rsidR="00BB3488">
        <w:rPr>
          <w:lang w:val="en"/>
        </w:rPr>
        <w:t>boost</w:t>
      </w:r>
      <w:r>
        <w:rPr>
          <w:lang w:val="en"/>
        </w:rPr>
        <w:t xml:space="preserve"> </w:t>
      </w:r>
      <w:r w:rsidR="00BB3488">
        <w:rPr>
          <w:lang w:val="en"/>
        </w:rPr>
        <w:t xml:space="preserve"> </w:t>
      </w:r>
      <w:r>
        <w:rPr>
          <w:lang w:val="en"/>
        </w:rPr>
        <w:t>competitive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40" w:name="_Toc77165056"/>
      <w:r>
        <w:t>National Manufacturing Priority Road Maps</w:t>
      </w:r>
      <w:bookmarkEnd w:id="40"/>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41" w:name="_Toc77165057"/>
      <w:bookmarkStart w:id="42" w:name="_Toc52953255"/>
      <w:bookmarkStart w:id="43" w:name="_Toc53049363"/>
      <w:bookmarkStart w:id="44" w:name="_Toc53052985"/>
      <w:bookmarkStart w:id="45" w:name="_Toc53064284"/>
      <w:bookmarkStart w:id="46" w:name="_Toc53146316"/>
      <w:bookmarkStart w:id="47" w:name="_Toc54090088"/>
      <w:bookmarkStart w:id="48" w:name="_Toc55813049"/>
      <w:bookmarkStart w:id="49" w:name="_Toc55813968"/>
      <w:r>
        <w:t>Modern Manufacturing Initiative funding streams</w:t>
      </w:r>
      <w:bookmarkEnd w:id="41"/>
    </w:p>
    <w:bookmarkEnd w:id="42"/>
    <w:bookmarkEnd w:id="43"/>
    <w:bookmarkEnd w:id="44"/>
    <w:bookmarkEnd w:id="45"/>
    <w:bookmarkEnd w:id="46"/>
    <w:bookmarkEnd w:id="47"/>
    <w:bookmarkEnd w:id="48"/>
    <w:bookmarkEnd w:id="49"/>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8D1D17" w:rsidRDefault="00D17F69" w:rsidP="001F3B47">
      <w:pPr>
        <w:pStyle w:val="ListBullet"/>
        <w:numPr>
          <w:ilvl w:val="0"/>
          <w:numId w:val="7"/>
        </w:numPr>
      </w:pPr>
      <w:r w:rsidRPr="008D1D17">
        <w:t xml:space="preserve">Manufacturing Translation Stream – will support projects </w:t>
      </w:r>
      <w:r w:rsidR="007E060D" w:rsidRPr="008D1D17">
        <w:rPr>
          <w:rFonts w:cs="Arial"/>
          <w:szCs w:val="20"/>
        </w:rPr>
        <w:t>to translate good ideas</w:t>
      </w:r>
      <w:r w:rsidRPr="008D1D17">
        <w:t xml:space="preserve"> into </w:t>
      </w:r>
      <w:r w:rsidR="007E060D" w:rsidRPr="008D1D17">
        <w:rPr>
          <w:rFonts w:cs="Arial"/>
          <w:szCs w:val="20"/>
        </w:rPr>
        <w:t xml:space="preserve">new or enhanced </w:t>
      </w:r>
      <w:r w:rsidRPr="008D1D17">
        <w:t xml:space="preserve">commercial </w:t>
      </w:r>
      <w:r w:rsidR="007E060D" w:rsidRPr="008D1D17">
        <w:rPr>
          <w:rFonts w:cs="Arial"/>
          <w:szCs w:val="20"/>
        </w:rPr>
        <w:t>outcomes</w:t>
      </w:r>
      <w:r w:rsidR="007E060D" w:rsidRPr="008D1D17">
        <w:rPr>
          <w:szCs w:val="20"/>
        </w:rPr>
        <w:t>.</w:t>
      </w:r>
    </w:p>
    <w:p w14:paraId="1C0589F2" w14:textId="1D23E605" w:rsidR="00D17F69" w:rsidRPr="008D1D17" w:rsidRDefault="00D17F69" w:rsidP="000C1FC5">
      <w:pPr>
        <w:pStyle w:val="ListBullet"/>
        <w:numPr>
          <w:ilvl w:val="0"/>
          <w:numId w:val="7"/>
        </w:numPr>
      </w:pPr>
      <w:r w:rsidRPr="008D1D17">
        <w:t xml:space="preserve">Manufacturing Collaboration Stream – will bring together businesses, researchers and investors to build economies of scale and allow them to compete in international markets. </w:t>
      </w:r>
    </w:p>
    <w:p w14:paraId="1ED7DC8F" w14:textId="6B076089" w:rsidR="008E08E6" w:rsidRPr="008D1D17" w:rsidRDefault="008E08E6" w:rsidP="008E08E6">
      <w:pPr>
        <w:pStyle w:val="Heading3"/>
        <w:ind w:left="851" w:hanging="851"/>
      </w:pPr>
      <w:bookmarkStart w:id="50" w:name="_Toc77165058"/>
      <w:r w:rsidRPr="008D1D17">
        <w:t xml:space="preserve">About the Manufacturing </w:t>
      </w:r>
      <w:r w:rsidR="001C464F" w:rsidRPr="008D1D17">
        <w:t>I</w:t>
      </w:r>
      <w:r w:rsidRPr="008D1D17">
        <w:t>ntegration Stream</w:t>
      </w:r>
      <w:r w:rsidR="00FF5AB7" w:rsidRPr="008D1D17">
        <w:t xml:space="preserve"> – </w:t>
      </w:r>
      <w:r w:rsidR="00A05546" w:rsidRPr="008D1D17">
        <w:t>Recycling and Clean Energy</w:t>
      </w:r>
      <w:r w:rsidR="00FF5AB7" w:rsidRPr="008D1D17">
        <w:t xml:space="preserve"> Priority Round </w:t>
      </w:r>
      <w:r w:rsidR="00FD188A">
        <w:t>2</w:t>
      </w:r>
      <w:r w:rsidR="00FD188A" w:rsidRPr="008D1D17">
        <w:t xml:space="preserve"> </w:t>
      </w:r>
      <w:r w:rsidRPr="008D1D17">
        <w:t>grant opportunity</w:t>
      </w:r>
      <w:bookmarkEnd w:id="50"/>
    </w:p>
    <w:p w14:paraId="10998F34" w14:textId="77777777" w:rsidR="00977FA4" w:rsidRPr="008D1D17" w:rsidRDefault="00977FA4" w:rsidP="00977FA4">
      <w:pPr>
        <w:rPr>
          <w:rFonts w:cstheme="minorHAnsi"/>
        </w:rPr>
      </w:pPr>
      <w:r w:rsidRPr="008D1D17">
        <w:rPr>
          <w:rFonts w:cstheme="minorHAnsi"/>
        </w:rPr>
        <w:t xml:space="preserve">Materials and energy are at the heart of manufacturing. Modernising how we use them is central to building an advanced manufacturing economy that realises more potential from our resources and supports our national resilience, economic recovery and environmental sustainability. </w:t>
      </w:r>
    </w:p>
    <w:p w14:paraId="6E1766B9" w14:textId="13369EB2" w:rsidR="00977FA4" w:rsidRDefault="00977FA4" w:rsidP="00977FA4">
      <w:r w:rsidRPr="008D1D17">
        <w:t>The move to more sustainable solutions for materials and energy is happening around the world. Global demand megatrends are reshaping the landscape for manufacturing, accelerated by market and policy pressure to reduce emissions and waste, the scale of public and private green investment, and the falling cost of technology. Australian manufacturers are well positioned to use our unique</w:t>
      </w:r>
      <w:r w:rsidR="0030238C" w:rsidRPr="008D1D17">
        <w:t xml:space="preserve"> natural,</w:t>
      </w:r>
      <w:r w:rsidRPr="008D1D17">
        <w:t xml:space="preserve"> industrial </w:t>
      </w:r>
      <w:r w:rsidR="0030238C" w:rsidRPr="008D1D17">
        <w:t xml:space="preserve">and competitive </w:t>
      </w:r>
      <w:r w:rsidRPr="008D1D17">
        <w:t>advantages— combining innovation, abundant clean energy, material resources, and onshore industrial base</w:t>
      </w:r>
      <w:r w:rsidRPr="008D1D17">
        <w:rPr>
          <w:color w:val="373737"/>
          <w:szCs w:val="20"/>
        </w:rPr>
        <w:t>—</w:t>
      </w:r>
      <w:r w:rsidRPr="008D1D17">
        <w:t xml:space="preserve">to take advantage of this opportunity and become </w:t>
      </w:r>
      <w:r w:rsidR="0030238C" w:rsidRPr="008D1D17">
        <w:t xml:space="preserve">increasingly </w:t>
      </w:r>
      <w:r w:rsidRPr="008D1D17">
        <w:t xml:space="preserve">global players. </w:t>
      </w:r>
    </w:p>
    <w:p w14:paraId="29B55C9E" w14:textId="28D4EB11" w:rsidR="008E08E6" w:rsidRDefault="008E08E6" w:rsidP="008E08E6">
      <w:r>
        <w:lastRenderedPageBreak/>
        <w:t xml:space="preserve">The Australian Government, with the support of industry, is manufacturing a new future for our nation. </w:t>
      </w:r>
      <w:r w:rsidR="00FF5AB7">
        <w:t xml:space="preserve">The objectives and outcomes are consistent across each priority area in the Manufacturing </w:t>
      </w:r>
      <w:r w:rsidR="00B45DED">
        <w:t>Integration</w:t>
      </w:r>
      <w:r w:rsidR="00FF5AB7">
        <w:t xml:space="preserve"> Stream.</w:t>
      </w:r>
    </w:p>
    <w:p w14:paraId="191EE05E" w14:textId="057DC02E" w:rsidR="00946414" w:rsidRPr="003B7897" w:rsidRDefault="00946414" w:rsidP="00946414">
      <w:r w:rsidRPr="003B7897">
        <w:t>The</w:t>
      </w:r>
      <w:r w:rsidR="007A6F8E">
        <w:t xml:space="preserve"> </w:t>
      </w:r>
      <w:r w:rsidR="005E1E56">
        <w:t xml:space="preserve">primary objective of the </w:t>
      </w:r>
      <w:r w:rsidR="007A6F8E" w:rsidRPr="00853BFC">
        <w:rPr>
          <w:b/>
          <w:i/>
        </w:rPr>
        <w:t>Manufacturing Integration Stream</w:t>
      </w:r>
      <w:r w:rsidR="006F0DA8">
        <w:t xml:space="preserve"> </w:t>
      </w:r>
      <w:r w:rsidR="005E1E56">
        <w:t xml:space="preserve">is to integrate existing products and services into new markets. The stream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3F5C14">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3446A136" w14:textId="77777777" w:rsidR="00573A20" w:rsidRPr="00FD7C2A" w:rsidRDefault="00573A20" w:rsidP="00573A20">
      <w:pPr>
        <w:pStyle w:val="ListBullet"/>
        <w:numPr>
          <w:ilvl w:val="0"/>
          <w:numId w:val="7"/>
        </w:numPr>
      </w:pPr>
      <w:r w:rsidRPr="00FD7C2A">
        <w:t xml:space="preserve">support </w:t>
      </w:r>
      <w:r>
        <w:t xml:space="preserve">and increase the capability of </w:t>
      </w:r>
      <w:r w:rsidRPr="00FD7C2A">
        <w:t xml:space="preserve">Australian manufacturing businesses and entrepreneurs to </w:t>
      </w:r>
      <w:r>
        <w:t xml:space="preserve">identify and </w:t>
      </w:r>
      <w:r w:rsidRPr="00FD7C2A">
        <w:t>participate in local and global value chains</w:t>
      </w:r>
    </w:p>
    <w:p w14:paraId="14A369E3" w14:textId="77777777" w:rsidR="00573A20" w:rsidRPr="00FD7C2A" w:rsidRDefault="00573A20" w:rsidP="00573A20">
      <w:pPr>
        <w:pStyle w:val="ListBullet"/>
        <w:numPr>
          <w:ilvl w:val="0"/>
          <w:numId w:val="7"/>
        </w:numPr>
      </w:pPr>
      <w:r w:rsidRPr="00FD7C2A">
        <w:t>encourage manufacturers to adopt new technologies to support entry into new markets with innovative solutions to build scale and capability</w:t>
      </w:r>
    </w:p>
    <w:p w14:paraId="5C21F810" w14:textId="77777777" w:rsidR="00573A20" w:rsidRPr="00FD7C2A" w:rsidRDefault="00573A20" w:rsidP="00573A20">
      <w:pPr>
        <w:pStyle w:val="ListBullet"/>
        <w:numPr>
          <w:ilvl w:val="0"/>
          <w:numId w:val="7"/>
        </w:numPr>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hyperlink r:id="rId18" w:history="1">
        <w:r w:rsidRPr="00AC7F10">
          <w:rPr>
            <w:rStyle w:val="Hyperlink"/>
          </w:rPr>
          <w:t>National Manufacturing Priority road map</w:t>
        </w:r>
      </w:hyperlink>
      <w:r>
        <w:rPr>
          <w:rStyle w:val="FootnoteReference"/>
        </w:rPr>
        <w:footnoteReference w:id="2"/>
      </w:r>
      <w:r w:rsidRPr="00FD7C2A">
        <w:t>)</w:t>
      </w:r>
    </w:p>
    <w:p w14:paraId="1E366C69" w14:textId="77777777" w:rsidR="00573A20" w:rsidRDefault="00573A20" w:rsidP="00573A20">
      <w:pPr>
        <w:pStyle w:val="ListBullet"/>
        <w:numPr>
          <w:ilvl w:val="0"/>
          <w:numId w:val="7"/>
        </w:numPr>
      </w:pPr>
      <w:r w:rsidRPr="00FD7C2A">
        <w:t xml:space="preserve">create new jobs in the manufacturing sector, by integrating into new local and global value chains. </w:t>
      </w:r>
    </w:p>
    <w:p w14:paraId="28E9AF85" w14:textId="77777777" w:rsidR="00573A20" w:rsidRPr="00FD7C2A" w:rsidRDefault="00573A20" w:rsidP="00573A20">
      <w:pPr>
        <w:pStyle w:val="ListBullet"/>
        <w:numPr>
          <w:ilvl w:val="0"/>
          <w:numId w:val="7"/>
        </w:numPr>
      </w:pPr>
      <w:r>
        <w:t>support Australian manufacturers to pivot to high value-added activities at either end of the ‘manufacturing smile curve’</w:t>
      </w:r>
      <w:r>
        <w:rPr>
          <w:rStyle w:val="FootnoteReference"/>
        </w:rPr>
        <w:footnoteReference w:id="3"/>
      </w:r>
    </w:p>
    <w:p w14:paraId="27FF3DB6" w14:textId="77777777" w:rsidR="00573A20" w:rsidRPr="00FD7C2A" w:rsidRDefault="00573A20" w:rsidP="00573A20">
      <w:pPr>
        <w:pStyle w:val="ListBullet"/>
        <w:numPr>
          <w:ilvl w:val="0"/>
          <w:numId w:val="7"/>
        </w:numPr>
      </w:pPr>
      <w:r w:rsidRPr="00FD7C2A">
        <w:t>identify opportunities for Australian manufacturing businesses, particularly in the National Manufacturing Priorities, to connect and network with local and global customers</w:t>
      </w:r>
    </w:p>
    <w:p w14:paraId="05EF3208" w14:textId="77777777" w:rsidR="00573A20" w:rsidRDefault="00573A20" w:rsidP="00573A20">
      <w:pPr>
        <w:pStyle w:val="ListBullet"/>
        <w:numPr>
          <w:ilvl w:val="0"/>
          <w:numId w:val="7"/>
        </w:numPr>
      </w:pPr>
      <w:r w:rsidDel="00C17602">
        <w:t>increase investment in Australian manufacturing</w:t>
      </w:r>
      <w:r>
        <w:t>, targeting the National Manufacturing Priorities</w:t>
      </w:r>
    </w:p>
    <w:p w14:paraId="445F1840" w14:textId="77777777" w:rsidR="00573A20" w:rsidDel="00C17602" w:rsidRDefault="00573A20" w:rsidP="00573A20">
      <w:pPr>
        <w:pStyle w:val="ListBullet"/>
        <w:numPr>
          <w:ilvl w:val="0"/>
          <w:numId w:val="7"/>
        </w:numPr>
      </w:pPr>
      <w:r>
        <w:t xml:space="preserve">Increase Australian exports through greater participation in global value chains, contributing to Gross Domestic Product </w:t>
      </w:r>
    </w:p>
    <w:p w14:paraId="11903258" w14:textId="77777777" w:rsidR="00573A20" w:rsidRPr="003B0DF7" w:rsidDel="00C17602" w:rsidRDefault="00573A20" w:rsidP="00573A20">
      <w:pPr>
        <w:pStyle w:val="ListBullet"/>
        <w:numPr>
          <w:ilvl w:val="0"/>
          <w:numId w:val="7"/>
        </w:numPr>
        <w:spacing w:after="120"/>
        <w:ind w:left="357" w:hanging="357"/>
      </w:pPr>
      <w:r>
        <w:t>grow and support</w:t>
      </w:r>
      <w:r w:rsidRPr="003B0DF7" w:rsidDel="00C17602">
        <w:t xml:space="preserve"> manufacturing networks and ecosystems and increase collaboration</w:t>
      </w:r>
      <w:r>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48C6B629" w:rsidR="00BC15A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p>
    <w:p w14:paraId="4BDB60A4" w14:textId="77777777" w:rsidR="00EE1C23" w:rsidRPr="00CF71C7" w:rsidRDefault="00EE1C23" w:rsidP="00EE1C23">
      <w:pPr>
        <w:pStyle w:val="ListBullet"/>
      </w:pPr>
      <w:r w:rsidRPr="00CF71C7">
        <w:lastRenderedPageBreak/>
        <w:t>increased number of businesses undertaking activities and/or projects within the National Manufacturing Priority areas that would not otherwise be undertaken without government support</w:t>
      </w:r>
    </w:p>
    <w:p w14:paraId="22ACAC43" w14:textId="56A735B1" w:rsidR="00EE1C23" w:rsidRPr="00CF71C7" w:rsidRDefault="00EE1C23" w:rsidP="00CF71C7">
      <w:pPr>
        <w:pStyle w:val="ListBullet"/>
      </w:pPr>
      <w:r w:rsidRPr="00CF71C7">
        <w:t>increased spill over benefits within the National Manufacturing Priority areas and the broader economy.</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5756EF34" w14:textId="0B4504D7" w:rsidR="00573A20" w:rsidRDefault="00573A20" w:rsidP="00573A20">
      <w:r>
        <w:t xml:space="preserve">As a guide, we anticipate </w:t>
      </w:r>
      <w:r w:rsidR="005E1E56">
        <w:t>the most meritorious projects undertaken through</w:t>
      </w:r>
      <w:r>
        <w:t xml:space="preserve"> this stream </w:t>
      </w:r>
      <w:r w:rsidR="005E1E56">
        <w:t>would</w:t>
      </w:r>
      <w:r>
        <w:t xml:space="preserve"> advance the</w:t>
      </w:r>
      <w:r w:rsidR="005E1E56">
        <w:t xml:space="preserve"> business’</w:t>
      </w:r>
      <w:r>
        <w:t xml:space="preserve"> position and </w:t>
      </w:r>
      <w:r w:rsidR="005E1E56">
        <w:t>market presence</w:t>
      </w:r>
      <w:r>
        <w:t xml:space="preserve"> to enter</w:t>
      </w:r>
      <w:r w:rsidR="005E1E56">
        <w:t>, expand</w:t>
      </w:r>
      <w:r>
        <w:t xml:space="preserve"> and operate in new and existing local and global value chains</w:t>
      </w:r>
      <w:r w:rsidR="005E1E56">
        <w:t>, and secure new cusotmers</w:t>
      </w:r>
      <w:r>
        <w:t>.</w:t>
      </w:r>
      <w:r w:rsidR="005E1E56">
        <w:t xml:space="preserve"> This could be supported by:</w:t>
      </w:r>
    </w:p>
    <w:p w14:paraId="559228A7" w14:textId="2A91BA8C" w:rsidR="005E1E56" w:rsidRDefault="005E1E56" w:rsidP="00CF71C7">
      <w:pPr>
        <w:pStyle w:val="ListParagraph"/>
        <w:numPr>
          <w:ilvl w:val="0"/>
          <w:numId w:val="22"/>
        </w:numPr>
      </w:pPr>
      <w:r>
        <w:t>diversifying offerings into high value add services that complement production,</w:t>
      </w:r>
    </w:p>
    <w:p w14:paraId="0619E5CE" w14:textId="503DBF44" w:rsidR="005E1E56" w:rsidRDefault="005E1E56" w:rsidP="00CF71C7">
      <w:pPr>
        <w:pStyle w:val="ListParagraph"/>
        <w:numPr>
          <w:ilvl w:val="0"/>
          <w:numId w:val="22"/>
        </w:numPr>
      </w:pPr>
      <w:r>
        <w:t>adopting new and novel technology, processes and solutions,</w:t>
      </w:r>
    </w:p>
    <w:p w14:paraId="24DD1365" w14:textId="2FCF832C" w:rsidR="005E1E56" w:rsidRDefault="005E1E56" w:rsidP="00CF71C7">
      <w:pPr>
        <w:pStyle w:val="ListParagraph"/>
        <w:numPr>
          <w:ilvl w:val="0"/>
          <w:numId w:val="22"/>
        </w:numPr>
      </w:pPr>
      <w:r>
        <w:t>increasing management capability, expertise and business acumen,</w:t>
      </w:r>
    </w:p>
    <w:p w14:paraId="4AA8263B" w14:textId="03D85513" w:rsidR="005E1E56" w:rsidRDefault="005E1E56" w:rsidP="00CF71C7">
      <w:pPr>
        <w:pStyle w:val="ListParagraph"/>
        <w:numPr>
          <w:ilvl w:val="0"/>
          <w:numId w:val="22"/>
        </w:numPr>
      </w:pPr>
      <w:r>
        <w:t xml:space="preserve">collaborating with other businesses to transfer knowledge and scale up industry capabilities to meet international standards. </w:t>
      </w:r>
    </w:p>
    <w:p w14:paraId="191EE06A" w14:textId="58F227ED" w:rsidR="00A16F1B" w:rsidRPr="003B7897" w:rsidRDefault="00B71A00" w:rsidP="00ED5559">
      <w:r w:rsidRPr="00B71A00">
        <w:t xml:space="preserve">We would expect projects in this stream to be centred around well-developed </w:t>
      </w:r>
      <w:r w:rsidR="00D551E2">
        <w:t>domestic and</w:t>
      </w:r>
      <w:r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4F9C0BF2" w14:textId="2EE735C0" w:rsidR="009A1E73" w:rsidRPr="009D0EBC" w:rsidRDefault="009A1E73" w:rsidP="009A1E73">
      <w:pPr>
        <w:pStyle w:val="ListBullet"/>
        <w:numPr>
          <w:ilvl w:val="0"/>
          <w:numId w:val="0"/>
        </w:numPr>
      </w:pPr>
      <w:r w:rsidRPr="00CF71C7">
        <w:t>You may choose to</w:t>
      </w:r>
      <w:r w:rsidRPr="00CF71C7" w:rsidDel="009C77A0">
        <w:t xml:space="preserve"> </w:t>
      </w:r>
      <w:r w:rsidRPr="00CF71C7">
        <w:t>submit more than one application</w:t>
      </w:r>
      <w:r w:rsidRPr="00CF71C7" w:rsidDel="00B334E4">
        <w:t xml:space="preserve"> </w:t>
      </w:r>
      <w:r w:rsidRPr="00CF71C7">
        <w:t xml:space="preserve">under </w:t>
      </w:r>
      <w:r w:rsidRPr="00CF71C7" w:rsidDel="00B334E4">
        <w:t>t</w:t>
      </w:r>
      <w:r w:rsidRPr="00CF71C7">
        <w:t>he Manufacturing Translation stream,</w:t>
      </w:r>
      <w:r w:rsidRPr="00CF71C7" w:rsidDel="004042A7">
        <w:t xml:space="preserve"> </w:t>
      </w:r>
      <w:r w:rsidRPr="00CF71C7">
        <w:t>the Manufacturing Integration stream, or both provided project activities in submitted applications are not substantively the same.We</w:t>
      </w:r>
      <w:r>
        <w:t xml:space="preserve"> will publish </w:t>
      </w:r>
      <w:r w:rsidRPr="004F5B86">
        <w:t xml:space="preserve">the opening and closing dates and any other relevant information on </w:t>
      </w:r>
      <w:hyperlink r:id="rId19" w:history="1">
        <w:r w:rsidRPr="00337087">
          <w:rPr>
            <w:rStyle w:val="Hyperlink"/>
          </w:rPr>
          <w:t>business.gov.au</w:t>
        </w:r>
      </w:hyperlink>
      <w:r w:rsidRPr="004F5B86">
        <w:t xml:space="preserve"> and </w:t>
      </w:r>
      <w:r w:rsidRPr="004F5B86">
        <w:rPr>
          <w:rStyle w:val="Hyperlink"/>
        </w:rPr>
        <w:t>GrantConnect</w:t>
      </w:r>
      <w:r>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4"/>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F43167">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51" w:name="_Toc496536651"/>
      <w:bookmarkStart w:id="52" w:name="_Toc531277478"/>
      <w:bookmarkStart w:id="53" w:name="_Toc955288"/>
      <w:bookmarkStart w:id="54" w:name="_Toc52953257"/>
      <w:bookmarkStart w:id="55" w:name="_Toc53049365"/>
      <w:bookmarkStart w:id="56" w:name="_Toc53052987"/>
      <w:bookmarkStart w:id="57" w:name="_Toc53064286"/>
      <w:bookmarkStart w:id="58" w:name="_Toc53146320"/>
      <w:bookmarkStart w:id="59" w:name="_Toc54090089"/>
      <w:bookmarkStart w:id="60" w:name="_Toc55813050"/>
      <w:bookmarkStart w:id="61" w:name="_Toc55813969"/>
      <w:bookmarkStart w:id="62" w:name="_Toc77165059"/>
      <w:bookmarkStart w:id="63" w:name="_Toc164844263"/>
      <w:bookmarkStart w:id="64" w:name="_Toc383003256"/>
      <w:bookmarkEnd w:id="4"/>
      <w:r>
        <w:lastRenderedPageBreak/>
        <w:t xml:space="preserve">Grant </w:t>
      </w:r>
      <w:r w:rsidR="00D26B94">
        <w:t>amount</w:t>
      </w:r>
      <w:r w:rsidR="00A439FB">
        <w:t xml:space="preserve"> and </w:t>
      </w:r>
      <w:r>
        <w:t xml:space="preserve">grant </w:t>
      </w:r>
      <w:r w:rsidR="00A439FB">
        <w:t>period</w:t>
      </w:r>
      <w:bookmarkEnd w:id="51"/>
      <w:bookmarkEnd w:id="52"/>
      <w:bookmarkEnd w:id="53"/>
      <w:bookmarkEnd w:id="54"/>
      <w:bookmarkEnd w:id="55"/>
      <w:bookmarkEnd w:id="56"/>
      <w:bookmarkEnd w:id="57"/>
      <w:bookmarkEnd w:id="58"/>
      <w:bookmarkEnd w:id="59"/>
      <w:bookmarkEnd w:id="60"/>
      <w:bookmarkEnd w:id="61"/>
      <w:bookmarkEnd w:id="62"/>
    </w:p>
    <w:p w14:paraId="73FA55F0" w14:textId="2DF22AA4" w:rsidR="00D260BE" w:rsidRDefault="00686CC6" w:rsidP="00D260BE">
      <w:bookmarkStart w:id="65" w:name="_Toc496536653"/>
      <w:bookmarkStart w:id="66" w:name="_Toc531277480"/>
      <w:bookmarkStart w:id="67"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w:t>
      </w:r>
      <w:r w:rsidR="00524B0B">
        <w:t>280</w:t>
      </w:r>
      <w:r w:rsidR="00524B0B" w:rsidRPr="005D2157">
        <w:t xml:space="preserve"> </w:t>
      </w:r>
      <w:r w:rsidRPr="005D2157">
        <w:t>million is available from 202</w:t>
      </w:r>
      <w:r w:rsidR="00FD188A">
        <w:t>1</w:t>
      </w:r>
      <w:r w:rsidRPr="005D2157">
        <w:t>-2</w:t>
      </w:r>
      <w:r w:rsidR="00FD188A">
        <w:t>2</w:t>
      </w:r>
      <w:r w:rsidRPr="005D2157">
        <w:t xml:space="preserve"> to 2023-24</w:t>
      </w:r>
      <w:r w:rsidR="00F75E2E">
        <w:t xml:space="preserve"> across all the National Manufacturing Priorities</w:t>
      </w:r>
      <w:r w:rsidRPr="005D2157">
        <w:t>.</w:t>
      </w:r>
      <w:r w:rsidR="00DC4909">
        <w:t xml:space="preserve"> </w:t>
      </w:r>
    </w:p>
    <w:p w14:paraId="65BFD564" w14:textId="506C2436" w:rsidR="00D260BE" w:rsidRDefault="00D260BE" w:rsidP="00D260BE">
      <w:r>
        <w:t xml:space="preserve">Funding </w:t>
      </w:r>
      <w:r w:rsidR="00FF5AB7">
        <w:t xml:space="preserve">under this grant opportunity </w:t>
      </w:r>
      <w:r>
        <w:t xml:space="preserve">will support projects </w:t>
      </w:r>
      <w:r w:rsidR="00FF5AB7">
        <w:t xml:space="preserve"> in the</w:t>
      </w:r>
      <w:r w:rsidR="00950794">
        <w:t xml:space="preserve"> </w:t>
      </w:r>
      <w:r w:rsidR="00A05546">
        <w:t>Recycling and Clean Energy</w:t>
      </w:r>
      <w:r w:rsidR="0067007B">
        <w:t xml:space="preserve"> </w:t>
      </w:r>
      <w:r>
        <w:t xml:space="preserve">National Manufacturing </w:t>
      </w:r>
      <w:r w:rsidR="00FF5AB7">
        <w:t>Priority</w:t>
      </w:r>
      <w:r w:rsidR="0067007B">
        <w:t>.</w:t>
      </w:r>
    </w:p>
    <w:p w14:paraId="191EE07A" w14:textId="77777777" w:rsidR="005F7674" w:rsidRDefault="005F7674" w:rsidP="005F7674">
      <w:pPr>
        <w:pStyle w:val="Heading3"/>
        <w:ind w:left="794" w:hanging="794"/>
      </w:pPr>
      <w:bookmarkStart w:id="68" w:name="_Toc77165060"/>
      <w:r>
        <w:t>Grants available</w:t>
      </w:r>
      <w:bookmarkEnd w:id="68"/>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For example, for a project with total eligible project expenditure of $4 million, where the Commonwealth grant amount is 50 per cent ($2 million), your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4FAD99" w:rsidR="003131F9" w:rsidRDefault="003D18BF" w:rsidP="00D260BE">
      <w:r>
        <w:t xml:space="preserve">Commonwealth Government funding sources, including </w:t>
      </w:r>
      <w:r w:rsidR="003131F9">
        <w:t>Concessional loans cannot be used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9" w:name="_Toc52953258"/>
      <w:bookmarkStart w:id="70" w:name="_Toc53049366"/>
      <w:bookmarkStart w:id="71" w:name="_Toc53052988"/>
      <w:bookmarkStart w:id="72" w:name="_Toc53064287"/>
      <w:bookmarkStart w:id="73" w:name="_Toc53146321"/>
      <w:bookmarkStart w:id="74" w:name="_Toc54090090"/>
      <w:bookmarkStart w:id="75" w:name="_Toc55813051"/>
      <w:bookmarkStart w:id="76" w:name="_Toc55813970"/>
      <w:bookmarkStart w:id="77" w:name="_Toc77165061"/>
      <w:r>
        <w:t xml:space="preserve">Project </w:t>
      </w:r>
      <w:r w:rsidR="00476A36" w:rsidRPr="005A61FE">
        <w:t>period</w:t>
      </w:r>
      <w:bookmarkEnd w:id="65"/>
      <w:bookmarkEnd w:id="66"/>
      <w:bookmarkEnd w:id="67"/>
      <w:bookmarkEnd w:id="69"/>
      <w:bookmarkEnd w:id="70"/>
      <w:bookmarkEnd w:id="71"/>
      <w:bookmarkEnd w:id="72"/>
      <w:bookmarkEnd w:id="73"/>
      <w:bookmarkEnd w:id="74"/>
      <w:bookmarkEnd w:id="75"/>
      <w:bookmarkEnd w:id="76"/>
      <w:bookmarkEnd w:id="77"/>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7F5688">
      <w:pPr>
        <w:pStyle w:val="Heading2"/>
      </w:pPr>
      <w:bookmarkStart w:id="78" w:name="_Toc530072971"/>
      <w:bookmarkStart w:id="79" w:name="_Toc496536654"/>
      <w:bookmarkStart w:id="80" w:name="_Toc531277481"/>
      <w:bookmarkStart w:id="81" w:name="_Toc955291"/>
      <w:bookmarkStart w:id="82" w:name="_Toc52953259"/>
      <w:bookmarkStart w:id="83" w:name="_Toc53049367"/>
      <w:bookmarkStart w:id="84" w:name="_Toc53052989"/>
      <w:bookmarkStart w:id="85" w:name="_Toc53064288"/>
      <w:bookmarkStart w:id="86" w:name="_Toc53146322"/>
      <w:bookmarkStart w:id="87" w:name="_Toc54090091"/>
      <w:bookmarkStart w:id="88" w:name="_Toc55813052"/>
      <w:bookmarkStart w:id="89" w:name="_Toc55813971"/>
      <w:bookmarkStart w:id="90" w:name="_Toc63706382"/>
      <w:bookmarkStart w:id="91" w:name="_Toc77165062"/>
      <w:bookmarkEnd w:id="63"/>
      <w:bookmarkEnd w:id="64"/>
      <w:bookmarkEnd w:id="78"/>
      <w:r w:rsidDel="004C264D">
        <w:t>Eligibility criteria</w:t>
      </w:r>
      <w:bookmarkEnd w:id="79"/>
      <w:bookmarkEnd w:id="80"/>
      <w:bookmarkEnd w:id="81"/>
      <w:bookmarkEnd w:id="82"/>
      <w:bookmarkEnd w:id="83"/>
      <w:bookmarkEnd w:id="84"/>
      <w:bookmarkEnd w:id="85"/>
      <w:bookmarkEnd w:id="86"/>
      <w:bookmarkEnd w:id="87"/>
      <w:bookmarkEnd w:id="88"/>
      <w:bookmarkEnd w:id="89"/>
      <w:bookmarkEnd w:id="90"/>
      <w:bookmarkEnd w:id="91"/>
    </w:p>
    <w:p w14:paraId="191EE086" w14:textId="35ED747B" w:rsidR="00C84E84" w:rsidDel="004C264D" w:rsidRDefault="009D33F3" w:rsidP="00C84E84">
      <w:bookmarkStart w:id="92" w:name="_Ref437348317"/>
      <w:bookmarkStart w:id="93" w:name="_Ref437348323"/>
      <w:bookmarkStart w:id="94"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5" w:name="_Toc496536655"/>
      <w:bookmarkStart w:id="96" w:name="_Ref530054835"/>
      <w:bookmarkStart w:id="97" w:name="_Toc531277482"/>
      <w:bookmarkStart w:id="98" w:name="_Toc955292"/>
      <w:bookmarkStart w:id="99" w:name="_Toc52953260"/>
      <w:bookmarkStart w:id="100" w:name="_Toc53049368"/>
      <w:bookmarkStart w:id="101" w:name="_Toc53052990"/>
      <w:bookmarkStart w:id="102" w:name="_Toc53064289"/>
      <w:bookmarkStart w:id="103" w:name="_Toc53146323"/>
      <w:bookmarkStart w:id="104" w:name="_Toc54090092"/>
      <w:bookmarkStart w:id="105" w:name="_Toc55813053"/>
      <w:bookmarkStart w:id="106" w:name="_Toc55813972"/>
      <w:bookmarkStart w:id="107" w:name="_Toc63706383"/>
      <w:bookmarkStart w:id="108" w:name="_Toc77165063"/>
      <w:r w:rsidDel="004C264D">
        <w:t xml:space="preserve">Who </w:t>
      </w:r>
      <w:r w:rsidR="009F7B46" w:rsidDel="004C264D">
        <w:t>is eligible?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lastRenderedPageBreak/>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977FA4">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977FA4">
      <w:pPr>
        <w:pStyle w:val="ListBullet"/>
        <w:numPr>
          <w:ilvl w:val="1"/>
          <w:numId w:val="9"/>
        </w:numPr>
      </w:pPr>
      <w:r w:rsidDel="004C264D">
        <w:t>are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9" w:name="_Toc496536656"/>
      <w:bookmarkStart w:id="110" w:name="_Toc531277483"/>
      <w:bookmarkStart w:id="111" w:name="_Toc955293"/>
      <w:bookmarkStart w:id="112" w:name="_Toc52953261"/>
      <w:bookmarkStart w:id="113" w:name="_Toc53049369"/>
      <w:bookmarkStart w:id="114" w:name="_Toc53052991"/>
      <w:bookmarkStart w:id="115" w:name="_Toc53064290"/>
      <w:bookmarkStart w:id="116" w:name="_Toc53146324"/>
      <w:bookmarkStart w:id="117" w:name="_Toc54090093"/>
      <w:bookmarkStart w:id="118" w:name="_Toc55813054"/>
      <w:bookmarkStart w:id="119" w:name="_Toc55813973"/>
      <w:bookmarkStart w:id="120" w:name="_Toc63706384"/>
      <w:bookmarkStart w:id="121" w:name="_Toc77165064"/>
      <w:r w:rsidDel="004C264D">
        <w:t>Additional eligibility requirements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65582709" w:rsidR="00986F1C" w:rsidDel="004C264D" w:rsidRDefault="00986F1C" w:rsidP="00986F1C">
      <w:pPr>
        <w:pStyle w:val="ListBullet"/>
      </w:pPr>
      <w:r w:rsidDel="004C264D">
        <w:t>where your project aligns with</w:t>
      </w:r>
      <w:r w:rsidR="00FF5AB7">
        <w:t xml:space="preserve"> the</w:t>
      </w:r>
      <w:r w:rsidR="00B03179">
        <w:t xml:space="preserve"> </w:t>
      </w:r>
      <w:r w:rsidR="00A05546">
        <w:t>Recycling and Clean Energy</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4C94E5FF"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hyperlink r:id="rId21" w:anchor="key-documents" w:history="1">
        <w:r w:rsidRPr="00B624AE" w:rsidDel="004C264D">
          <w:rPr>
            <w:rStyle w:val="Hyperlink"/>
          </w:rPr>
          <w:t xml:space="preserve"> business.gov.au</w:t>
        </w:r>
      </w:hyperlink>
      <w:r w:rsidDel="004C264D">
        <w:t xml:space="preserve"> and </w:t>
      </w:r>
      <w:hyperlink r:id="rId22" w:history="1">
        <w:r w:rsidRPr="005A61FE" w:rsidDel="004C264D">
          <w:rPr>
            <w:rStyle w:val="Hyperlink"/>
          </w:rPr>
          <w:t>GrantConnect</w:t>
        </w:r>
      </w:hyperlink>
    </w:p>
    <w:p w14:paraId="191EE096" w14:textId="381CB1C3"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3" w:anchor="key-documents" w:history="1">
        <w:r w:rsidRPr="00ED7DE8" w:rsidDel="004C264D">
          <w:rPr>
            <w:rStyle w:val="Hyperlink"/>
          </w:rPr>
          <w:t>business.gov.au</w:t>
        </w:r>
      </w:hyperlink>
      <w:r w:rsidDel="004C264D">
        <w:t xml:space="preserve"> and </w:t>
      </w:r>
      <w:hyperlink r:id="rId24"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2" w:name="_Toc496536657"/>
      <w:bookmarkStart w:id="123" w:name="_Toc531277484"/>
      <w:bookmarkStart w:id="124" w:name="_Toc955294"/>
      <w:bookmarkStart w:id="125" w:name="_Toc52953262"/>
      <w:bookmarkStart w:id="126" w:name="_Toc53049370"/>
      <w:bookmarkStart w:id="127" w:name="_Toc53052992"/>
      <w:bookmarkStart w:id="128" w:name="_Toc53064291"/>
      <w:bookmarkStart w:id="129" w:name="_Toc53146325"/>
      <w:bookmarkStart w:id="130" w:name="_Toc54090094"/>
      <w:bookmarkStart w:id="131" w:name="_Toc55813055"/>
      <w:bookmarkStart w:id="132" w:name="_Toc55813974"/>
      <w:bookmarkStart w:id="133" w:name="_Toc63706385"/>
      <w:bookmarkStart w:id="134" w:name="_Toc77165065"/>
      <w:bookmarkStart w:id="135" w:name="_Toc164844264"/>
      <w:bookmarkStart w:id="136" w:name="_Toc383003257"/>
      <w:r w:rsidDel="004C264D">
        <w:t>Who is not eligible?</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5" w:history="1">
        <w:r w:rsidDel="004C264D">
          <w:rPr>
            <w:rStyle w:val="Hyperlink"/>
            <w:color w:val="3399FF"/>
          </w:rPr>
          <w:t>www.nationalredress.gov.au</w:t>
        </w:r>
      </w:hyperlink>
      <w:r w:rsidDel="004C264D">
        <w:t>)</w:t>
      </w:r>
    </w:p>
    <w:p w14:paraId="0DB7FE76" w14:textId="77777777" w:rsidR="0065436E" w:rsidRDefault="0065436E" w:rsidP="0065436E">
      <w:pPr>
        <w:pStyle w:val="ListBullet"/>
      </w:pPr>
      <w:r w:rsidRPr="00A94E60">
        <w:t xml:space="preserve">an employer of 100 or more employees that has </w:t>
      </w:r>
      <w:hyperlink r:id="rId26" w:history="1">
        <w:r w:rsidRPr="00A94E60">
          <w:rPr>
            <w:rStyle w:val="Hyperlink"/>
          </w:rPr>
          <w:t>not complied</w:t>
        </w:r>
      </w:hyperlink>
      <w:r>
        <w:rPr>
          <w:rStyle w:val="FootnoteReference"/>
        </w:rPr>
        <w:footnoteReference w:id="5"/>
      </w:r>
      <w:r w:rsidRPr="00A94E60">
        <w:t xml:space="preserve"> with the </w:t>
      </w:r>
      <w:r w:rsidRPr="00A94E60">
        <w:rPr>
          <w:i/>
        </w:rPr>
        <w:t>Workplace Gender Equality Act</w:t>
      </w:r>
      <w:r>
        <w:t xml:space="preserve"> (2012)</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7F5688">
      <w:pPr>
        <w:pStyle w:val="Heading2"/>
      </w:pPr>
      <w:bookmarkStart w:id="137" w:name="_Toc531277486"/>
      <w:bookmarkStart w:id="138" w:name="_Toc489952676"/>
      <w:bookmarkStart w:id="139" w:name="_Toc496536659"/>
      <w:bookmarkStart w:id="140" w:name="_Toc955296"/>
      <w:bookmarkStart w:id="141" w:name="_Toc52953263"/>
      <w:bookmarkStart w:id="142" w:name="_Toc53049371"/>
      <w:bookmarkStart w:id="143" w:name="_Toc53052993"/>
      <w:bookmarkStart w:id="144" w:name="_Toc53064292"/>
      <w:bookmarkStart w:id="145" w:name="_Toc53146326"/>
      <w:bookmarkStart w:id="146" w:name="_Toc54090095"/>
      <w:bookmarkStart w:id="147" w:name="_Toc55813056"/>
      <w:bookmarkStart w:id="148" w:name="_Toc55813975"/>
      <w:bookmarkStart w:id="149" w:name="_Toc77165066"/>
      <w:r w:rsidRPr="005A61FE">
        <w:lastRenderedPageBreak/>
        <w:t xml:space="preserve">What </w:t>
      </w:r>
      <w:r w:rsidR="00082460">
        <w:t xml:space="preserve">the </w:t>
      </w:r>
      <w:r w:rsidR="00E27755">
        <w:t xml:space="preserve">grant </w:t>
      </w:r>
      <w:r w:rsidR="00082460">
        <w:t xml:space="preserve">money can be used </w:t>
      </w:r>
      <w:r w:rsidRPr="005A61FE">
        <w:t>for</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191EE0A2" w14:textId="77777777" w:rsidR="00E95540" w:rsidRPr="00C330AE" w:rsidRDefault="00E95540" w:rsidP="005C3CCB">
      <w:pPr>
        <w:pStyle w:val="Heading3"/>
        <w:ind w:left="851" w:hanging="851"/>
      </w:pPr>
      <w:bookmarkStart w:id="150" w:name="_Toc530072978"/>
      <w:bookmarkStart w:id="151" w:name="_Toc530072979"/>
      <w:bookmarkStart w:id="152" w:name="_Toc530072980"/>
      <w:bookmarkStart w:id="153" w:name="_Toc530072981"/>
      <w:bookmarkStart w:id="154" w:name="_Toc530072982"/>
      <w:bookmarkStart w:id="155" w:name="_Toc530072983"/>
      <w:bookmarkStart w:id="156" w:name="_Toc530072984"/>
      <w:bookmarkStart w:id="157" w:name="_Toc530072985"/>
      <w:bookmarkStart w:id="158" w:name="_Toc530072986"/>
      <w:bookmarkStart w:id="159" w:name="_Toc530072987"/>
      <w:bookmarkStart w:id="160" w:name="_Toc530072988"/>
      <w:bookmarkStart w:id="161" w:name="_Ref468355814"/>
      <w:bookmarkStart w:id="162" w:name="_Toc496536661"/>
      <w:bookmarkStart w:id="163" w:name="_Toc531277487"/>
      <w:bookmarkStart w:id="164" w:name="_Toc955297"/>
      <w:bookmarkStart w:id="165" w:name="_Toc52953264"/>
      <w:bookmarkStart w:id="166" w:name="_Toc53049372"/>
      <w:bookmarkStart w:id="167" w:name="_Toc53052994"/>
      <w:bookmarkStart w:id="168" w:name="_Toc53064293"/>
      <w:bookmarkStart w:id="169" w:name="_Toc53146327"/>
      <w:bookmarkStart w:id="170" w:name="_Toc54090096"/>
      <w:bookmarkStart w:id="171" w:name="_Toc55813057"/>
      <w:bookmarkStart w:id="172" w:name="_Toc55813976"/>
      <w:bookmarkStart w:id="173" w:name="_Toc77165067"/>
      <w:bookmarkStart w:id="174" w:name="_Toc383003258"/>
      <w:bookmarkStart w:id="175" w:name="_Toc164844265"/>
      <w:bookmarkEnd w:id="135"/>
      <w:bookmarkEnd w:id="136"/>
      <w:bookmarkEnd w:id="150"/>
      <w:bookmarkEnd w:id="151"/>
      <w:bookmarkEnd w:id="152"/>
      <w:bookmarkEnd w:id="153"/>
      <w:bookmarkEnd w:id="154"/>
      <w:bookmarkEnd w:id="155"/>
      <w:bookmarkEnd w:id="156"/>
      <w:bookmarkEnd w:id="157"/>
      <w:bookmarkEnd w:id="158"/>
      <w:bookmarkEnd w:id="159"/>
      <w:bookmarkEnd w:id="160"/>
      <w:r w:rsidRPr="00C330AE">
        <w:t xml:space="preserve">Eligible </w:t>
      </w:r>
      <w:r w:rsidR="008A5CD2" w:rsidRPr="00C330AE">
        <w:t>a</w:t>
      </w:r>
      <w:r w:rsidRPr="00C330AE">
        <w:t>ctivities</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0A7DC143" w14:textId="0017FD6D" w:rsidR="00293275" w:rsidRDefault="00293275" w:rsidP="00293275">
      <w:r>
        <w:t>The Initiative is all about government backing manufacturing businesses to:</w:t>
      </w:r>
    </w:p>
    <w:p w14:paraId="29C6636B" w14:textId="77777777" w:rsidR="00573A20" w:rsidRDefault="00573A20" w:rsidP="00573A20">
      <w:pPr>
        <w:pStyle w:val="ListBullet"/>
        <w:numPr>
          <w:ilvl w:val="0"/>
          <w:numId w:val="18"/>
        </w:numPr>
      </w:pPr>
      <w:r>
        <w:t xml:space="preserve">invest in strategic projects that will increase participation in new and existing local and global value chains, embrace technology, innovation and automation </w:t>
      </w:r>
    </w:p>
    <w:p w14:paraId="68D291C6" w14:textId="1D134F2A" w:rsidR="00293275" w:rsidRDefault="00293275" w:rsidP="00977FA4">
      <w:pPr>
        <w:pStyle w:val="ListBullet"/>
        <w:numPr>
          <w:ilvl w:val="0"/>
          <w:numId w:val="18"/>
        </w:numPr>
      </w:pPr>
      <w:r>
        <w:t xml:space="preserve">grow production </w:t>
      </w:r>
      <w:r w:rsidR="006C7F27">
        <w:t>and manufacturing activities</w:t>
      </w:r>
      <w:r>
        <w:t xml:space="preserve"> </w:t>
      </w:r>
    </w:p>
    <w:p w14:paraId="712F3BAF" w14:textId="05F1FEBE" w:rsidR="00293275" w:rsidRDefault="00293275" w:rsidP="00977FA4">
      <w:pPr>
        <w:pStyle w:val="ListBullet"/>
        <w:numPr>
          <w:ilvl w:val="0"/>
          <w:numId w:val="18"/>
        </w:numPr>
      </w:pPr>
      <w:r>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6" w:name="_Toc53051016"/>
      <w:bookmarkStart w:id="177" w:name="_Toc53054566"/>
      <w:bookmarkStart w:id="178" w:name="_Toc530072991"/>
      <w:bookmarkStart w:id="179" w:name="_Toc530072992"/>
      <w:bookmarkStart w:id="180" w:name="_Toc530072993"/>
      <w:bookmarkStart w:id="181" w:name="_Toc530072995"/>
      <w:bookmarkStart w:id="182" w:name="_Ref468355804"/>
      <w:bookmarkStart w:id="183" w:name="_Toc496536662"/>
      <w:bookmarkStart w:id="184" w:name="_Toc531277489"/>
      <w:bookmarkStart w:id="185" w:name="_Toc955299"/>
      <w:bookmarkStart w:id="186" w:name="_Toc52953265"/>
      <w:bookmarkStart w:id="187" w:name="_Toc53049373"/>
      <w:bookmarkStart w:id="188" w:name="_Toc53052995"/>
      <w:bookmarkStart w:id="189" w:name="_Toc53064294"/>
      <w:bookmarkStart w:id="190" w:name="_Toc53146328"/>
      <w:bookmarkStart w:id="191" w:name="_Toc54090097"/>
      <w:bookmarkStart w:id="192" w:name="_Toc55813058"/>
      <w:bookmarkStart w:id="193" w:name="_Toc55813977"/>
      <w:bookmarkStart w:id="194" w:name="_Toc77165068"/>
      <w:bookmarkEnd w:id="176"/>
      <w:bookmarkEnd w:id="177"/>
      <w:bookmarkEnd w:id="178"/>
      <w:bookmarkEnd w:id="179"/>
      <w:bookmarkEnd w:id="180"/>
      <w:bookmarkEnd w:id="181"/>
      <w:r>
        <w:t xml:space="preserve">Eligible </w:t>
      </w:r>
      <w:r w:rsidR="001F215C">
        <w:t>e</w:t>
      </w:r>
      <w:r w:rsidR="00490C48">
        <w:t>xpenditure</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lastRenderedPageBreak/>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1EEC572B"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5" w:name="_Toc496536663"/>
      <w:bookmarkStart w:id="196" w:name="_Toc955301"/>
      <w:bookmarkStart w:id="197" w:name="_Toc496536664"/>
      <w:bookmarkStart w:id="198" w:name="_Toc531277491"/>
      <w:bookmarkStart w:id="199" w:name="_Toc52953266"/>
      <w:bookmarkStart w:id="200" w:name="_Toc53049374"/>
      <w:bookmarkStart w:id="201" w:name="_Toc53052996"/>
      <w:bookmarkStart w:id="202" w:name="_Toc53064295"/>
      <w:bookmarkStart w:id="203" w:name="_Toc53146329"/>
      <w:bookmarkStart w:id="204"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5" w:name="_Toc55813059"/>
      <w:bookmarkStart w:id="206" w:name="_Toc55813978"/>
      <w:bookmarkStart w:id="207" w:name="_Toc77165069"/>
      <w:bookmarkEnd w:id="195"/>
      <w:r>
        <w:t xml:space="preserve">The </w:t>
      </w:r>
      <w:r w:rsidR="00E93B21">
        <w:t>assessment</w:t>
      </w:r>
      <w:r w:rsidR="0053412C">
        <w:t xml:space="preserve"> </w:t>
      </w:r>
      <w:r>
        <w:t>criteria</w:t>
      </w:r>
      <w:bookmarkEnd w:id="196"/>
      <w:bookmarkEnd w:id="197"/>
      <w:bookmarkEnd w:id="198"/>
      <w:bookmarkEnd w:id="199"/>
      <w:bookmarkEnd w:id="200"/>
      <w:bookmarkEnd w:id="201"/>
      <w:bookmarkEnd w:id="202"/>
      <w:bookmarkEnd w:id="203"/>
      <w:bookmarkEnd w:id="204"/>
      <w:bookmarkEnd w:id="205"/>
      <w:bookmarkEnd w:id="206"/>
      <w:bookmarkEnd w:id="207"/>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8" w:name="_Toc77165070"/>
      <w:r>
        <w:t>Assessment criterion 1</w:t>
      </w:r>
      <w:bookmarkEnd w:id="208"/>
    </w:p>
    <w:p w14:paraId="55EEB15B" w14:textId="77777777" w:rsidR="00B52364" w:rsidRDefault="00B52364" w:rsidP="00B52364">
      <w:pPr>
        <w:rPr>
          <w:b/>
        </w:rPr>
      </w:pPr>
      <w:r>
        <w:rPr>
          <w:b/>
        </w:rPr>
        <w:t>Alignment of your project with the program objectives (50 points)</w:t>
      </w:r>
    </w:p>
    <w:p w14:paraId="67B3B30F" w14:textId="77777777" w:rsidR="006659A4" w:rsidRDefault="006659A4" w:rsidP="005E1E56">
      <w:pPr>
        <w:pStyle w:val="ListNumber2"/>
        <w:numPr>
          <w:ilvl w:val="0"/>
          <w:numId w:val="0"/>
        </w:numPr>
      </w:pPr>
      <w:r>
        <w:t xml:space="preserve">You should address all three sections in your response, using sub-headings to demonstrate alignment of your project against sections a, b and c. </w:t>
      </w:r>
    </w:p>
    <w:p w14:paraId="301DB1DA" w14:textId="20A1D7B2" w:rsidR="006659A4" w:rsidRDefault="006659A4" w:rsidP="00977FA4">
      <w:pPr>
        <w:pStyle w:val="ListNumber2"/>
        <w:numPr>
          <w:ilvl w:val="0"/>
          <w:numId w:val="19"/>
        </w:numPr>
      </w:pPr>
      <w:r>
        <w:t>H</w:t>
      </w:r>
      <w:r w:rsidRPr="00B250BF">
        <w:t>ow</w:t>
      </w:r>
      <w:r>
        <w:t xml:space="preserve"> does</w:t>
      </w:r>
      <w:r w:rsidRPr="00B250BF">
        <w:t xml:space="preserve"> your project and</w:t>
      </w:r>
      <w:r>
        <w:t xml:space="preserve"> the grant</w:t>
      </w:r>
      <w:r w:rsidRPr="00B250BF">
        <w:t xml:space="preserve"> funding help to achieve the objectives and outcomes of the Manufacturing Integration Stream</w:t>
      </w:r>
      <w:r w:rsidR="00B52364" w:rsidRPr="008D1D17">
        <w:t xml:space="preserve"> set out in Section 2.4, for the </w:t>
      </w:r>
      <w:r w:rsidR="00977FA4" w:rsidRPr="008D1D17">
        <w:t xml:space="preserve">Recycling &amp; Clean Energy </w:t>
      </w:r>
      <w:r w:rsidR="00B52364" w:rsidRPr="008D1D17">
        <w:t>National Manufacturing Priority</w:t>
      </w:r>
      <w:r>
        <w:t>?</w:t>
      </w:r>
    </w:p>
    <w:p w14:paraId="6E2BBB69" w14:textId="6DF91CA7" w:rsidR="006659A4" w:rsidRDefault="006659A4" w:rsidP="00977FA4">
      <w:pPr>
        <w:pStyle w:val="ListNumber2"/>
        <w:numPr>
          <w:ilvl w:val="0"/>
          <w:numId w:val="19"/>
        </w:numPr>
      </w:pPr>
      <w:r>
        <w:lastRenderedPageBreak/>
        <w:t>H</w:t>
      </w:r>
      <w:r w:rsidRPr="00E34383">
        <w:t xml:space="preserve">ow </w:t>
      </w:r>
      <w:r>
        <w:t>does your project align</w:t>
      </w:r>
      <w:r w:rsidRPr="00E34383">
        <w:t xml:space="preserve"> with</w:t>
      </w:r>
      <w:r>
        <w:t xml:space="preserve"> and support the implementation </w:t>
      </w:r>
      <w:r w:rsidR="00977FA4" w:rsidRPr="008D1D17">
        <w:t xml:space="preserve">of the </w:t>
      </w:r>
      <w:hyperlink r:id="rId27" w:history="1">
        <w:r w:rsidR="00977FA4" w:rsidRPr="0004666C">
          <w:rPr>
            <w:rStyle w:val="Hyperlink"/>
          </w:rPr>
          <w:t>Recycling &amp; Clean Energy National Manufacturing Priority road map</w:t>
        </w:r>
      </w:hyperlink>
      <w:r w:rsidR="0004666C">
        <w:rPr>
          <w:rStyle w:val="FootnoteReference"/>
        </w:rPr>
        <w:footnoteReference w:id="6"/>
      </w:r>
      <w:r w:rsidR="00977FA4" w:rsidRPr="008D1D17">
        <w:t>, and the growth opportunities and goals set out in the road map</w:t>
      </w:r>
      <w:r>
        <w:t>?</w:t>
      </w:r>
    </w:p>
    <w:p w14:paraId="0616AFAC" w14:textId="08CD3054" w:rsidR="006659A4" w:rsidRPr="00700B8D" w:rsidRDefault="006659A4" w:rsidP="005E1E56">
      <w:pPr>
        <w:pStyle w:val="ListNumber2"/>
        <w:numPr>
          <w:ilvl w:val="0"/>
          <w:numId w:val="0"/>
        </w:numPr>
        <w:ind w:left="360"/>
      </w:pPr>
      <w:r>
        <w:t xml:space="preserve">Below are examples of issues you may choose to address in your application. </w:t>
      </w:r>
    </w:p>
    <w:p w14:paraId="692E3877" w14:textId="4351ED9A" w:rsidR="00977FA4" w:rsidRPr="008D1D17" w:rsidRDefault="006659A4" w:rsidP="005E1E56">
      <w:pPr>
        <w:pStyle w:val="ListNumber2"/>
        <w:numPr>
          <w:ilvl w:val="0"/>
          <w:numId w:val="0"/>
        </w:numPr>
        <w:ind w:left="360"/>
      </w:pPr>
      <w:r>
        <w:t xml:space="preserve">How does your project: </w:t>
      </w:r>
      <w:r w:rsidR="00977FA4" w:rsidRPr="008D1D17">
        <w:t xml:space="preserve"> </w:t>
      </w:r>
    </w:p>
    <w:p w14:paraId="2D391096" w14:textId="42C3AB28" w:rsidR="00977FA4" w:rsidRPr="008D1D17" w:rsidRDefault="00977FA4" w:rsidP="00977FA4">
      <w:pPr>
        <w:pStyle w:val="ListNumber2"/>
        <w:numPr>
          <w:ilvl w:val="1"/>
          <w:numId w:val="8"/>
        </w:numPr>
      </w:pPr>
      <w:r w:rsidRPr="008D1D17">
        <w:t>support manufacturers to provide more inputs into the supply chains of clean energy or infrastructure projects</w:t>
      </w:r>
      <w:r w:rsidR="0004666C">
        <w:t xml:space="preserve"> </w:t>
      </w:r>
    </w:p>
    <w:p w14:paraId="013E1ECA" w14:textId="6789F08D" w:rsidR="00977FA4" w:rsidRPr="008D1D17" w:rsidRDefault="00977FA4" w:rsidP="0030238C">
      <w:pPr>
        <w:pStyle w:val="ListNumber2"/>
        <w:numPr>
          <w:ilvl w:val="1"/>
          <w:numId w:val="8"/>
        </w:numPr>
      </w:pPr>
      <w:r w:rsidRPr="008D1D17">
        <w:t xml:space="preserve">support manufacturers to scale-up or gain access to domestic or global markets for products that </w:t>
      </w:r>
      <w:r w:rsidR="0030238C" w:rsidRPr="008D1D17">
        <w:t xml:space="preserve">are made from recycled and/or sustainable processes or products or that </w:t>
      </w:r>
      <w:r w:rsidRPr="008D1D17">
        <w:t>enable environmentally sustainable energy and material systems</w:t>
      </w:r>
    </w:p>
    <w:p w14:paraId="7D901953" w14:textId="31DE34F4" w:rsidR="00EE1C23" w:rsidRDefault="00977FA4" w:rsidP="00CF71C7">
      <w:pPr>
        <w:pStyle w:val="ListNumber2"/>
        <w:numPr>
          <w:ilvl w:val="1"/>
          <w:numId w:val="8"/>
        </w:numPr>
      </w:pPr>
      <w:r w:rsidRPr="008D1D17">
        <w:t>attract global suppliers of manufacturing inputs to Australia, like electronics contract manufacturers</w:t>
      </w:r>
    </w:p>
    <w:p w14:paraId="12A5B3C1" w14:textId="6AD196EA" w:rsidR="00EE1C23" w:rsidRPr="00CF71C7" w:rsidRDefault="00EE1C23">
      <w:pPr>
        <w:pStyle w:val="ListNumber2"/>
        <w:numPr>
          <w:ilvl w:val="1"/>
          <w:numId w:val="8"/>
        </w:numPr>
      </w:pPr>
      <w:r w:rsidRPr="00CF71C7">
        <w:t>support the creation of new skilled jobs</w:t>
      </w:r>
    </w:p>
    <w:p w14:paraId="148238B5" w14:textId="34A2456A" w:rsidR="00977FA4" w:rsidRPr="008D1D17" w:rsidRDefault="00602DF6" w:rsidP="00977FA4">
      <w:pPr>
        <w:pStyle w:val="ListNumber2"/>
        <w:numPr>
          <w:ilvl w:val="1"/>
          <w:numId w:val="8"/>
        </w:numPr>
      </w:pPr>
      <w:r w:rsidRPr="008D1D17">
        <w:t>enabl</w:t>
      </w:r>
      <w:r>
        <w:t>e</w:t>
      </w:r>
      <w:r w:rsidRPr="008D1D17">
        <w:t xml:space="preserve"> </w:t>
      </w:r>
      <w:r w:rsidR="00977FA4" w:rsidRPr="008D1D17">
        <w:t xml:space="preserve">manufacturers to alter production processes to meet procurement requirements of their clients (for example, substituting clean energy or recycled material into manufacturing processes often requires new capital equipment) </w:t>
      </w:r>
    </w:p>
    <w:p w14:paraId="62C635B8" w14:textId="52B1EDAD" w:rsidR="00977FA4" w:rsidRPr="008D1D17" w:rsidRDefault="00602DF6" w:rsidP="00977FA4">
      <w:pPr>
        <w:pStyle w:val="ListNumber2"/>
        <w:numPr>
          <w:ilvl w:val="1"/>
          <w:numId w:val="8"/>
        </w:numPr>
      </w:pPr>
      <w:r w:rsidRPr="008D1D17">
        <w:t>manufactur</w:t>
      </w:r>
      <w:r>
        <w:t>e</w:t>
      </w:r>
      <w:r w:rsidRPr="008D1D17">
        <w:t xml:space="preserve"> </w:t>
      </w:r>
      <w:r w:rsidR="00977FA4" w:rsidRPr="008D1D17">
        <w:t>products or adopt manufacturing processes that enable greater use of recycled materials in supply chains, such as improved product design, smart sorting and automation technologies, feedstock recycling or e-waste processing technologies.</w:t>
      </w:r>
    </w:p>
    <w:p w14:paraId="6907B5FF" w14:textId="59441277" w:rsidR="00977FA4" w:rsidRPr="008D1D17" w:rsidRDefault="00602DF6" w:rsidP="00977FA4">
      <w:pPr>
        <w:pStyle w:val="ListNumber2"/>
        <w:numPr>
          <w:ilvl w:val="1"/>
          <w:numId w:val="8"/>
        </w:numPr>
      </w:pPr>
      <w:r w:rsidRPr="008D1D17">
        <w:t>manufactur</w:t>
      </w:r>
      <w:r>
        <w:t>e</w:t>
      </w:r>
      <w:r w:rsidRPr="008D1D17">
        <w:t xml:space="preserve"> </w:t>
      </w:r>
      <w:r w:rsidR="00977FA4" w:rsidRPr="008D1D17">
        <w:t>products or adopt manufacturing processes that enable greater use of clean energy, such as in large industrial systems or in distributed clean energy systems, by large domestic customers or global value chains</w:t>
      </w:r>
    </w:p>
    <w:p w14:paraId="67DDF5E4" w14:textId="23855133" w:rsidR="00977FA4" w:rsidRPr="008D1D17" w:rsidRDefault="009335AF" w:rsidP="00977FA4">
      <w:pPr>
        <w:pStyle w:val="ListNumber2"/>
        <w:numPr>
          <w:ilvl w:val="1"/>
          <w:numId w:val="8"/>
        </w:numPr>
      </w:pPr>
      <w:r w:rsidRPr="008D1D17">
        <w:t>manufactur</w:t>
      </w:r>
      <w:r>
        <w:t>e</w:t>
      </w:r>
      <w:r w:rsidRPr="008D1D17">
        <w:t xml:space="preserve"> </w:t>
      </w:r>
      <w:r w:rsidR="00977FA4" w:rsidRPr="008D1D17">
        <w:t xml:space="preserve">products that use recycled feedstocks or clean energy as inputs, for large domestic customers or global value chains </w:t>
      </w:r>
    </w:p>
    <w:p w14:paraId="492F0824" w14:textId="4C88CF91" w:rsidR="00977FA4" w:rsidRPr="008D1D17" w:rsidRDefault="00602DF6" w:rsidP="00977FA4">
      <w:pPr>
        <w:pStyle w:val="ListNumber2"/>
        <w:numPr>
          <w:ilvl w:val="1"/>
          <w:numId w:val="8"/>
        </w:numPr>
      </w:pPr>
      <w:r w:rsidRPr="008D1D17">
        <w:t>mov</w:t>
      </w:r>
      <w:r>
        <w:t>e</w:t>
      </w:r>
      <w:r w:rsidRPr="008D1D17">
        <w:t xml:space="preserve"> </w:t>
      </w:r>
      <w:r w:rsidR="00977FA4" w:rsidRPr="008D1D17">
        <w:t>up the battery value chain from unprocessed resources to higher value products, such as battery precursors or other advanced engineered products and materials</w:t>
      </w:r>
    </w:p>
    <w:p w14:paraId="2C581E87" w14:textId="378FD6CD" w:rsidR="00977FA4" w:rsidRPr="008D1D17" w:rsidRDefault="009335AF" w:rsidP="00977FA4">
      <w:pPr>
        <w:pStyle w:val="ListNumber2"/>
        <w:numPr>
          <w:ilvl w:val="1"/>
          <w:numId w:val="8"/>
        </w:numPr>
      </w:pPr>
      <w:r w:rsidRPr="008D1D17">
        <w:t>provid</w:t>
      </w:r>
      <w:r>
        <w:t>e</w:t>
      </w:r>
      <w:r w:rsidRPr="008D1D17">
        <w:t xml:space="preserve"> </w:t>
      </w:r>
      <w:r w:rsidR="00977FA4" w:rsidRPr="008D1D17">
        <w:t>recycling services for end-of-life clean energy equipment such as solar modules, wind turbines or batteries</w:t>
      </w:r>
    </w:p>
    <w:p w14:paraId="4B97E587" w14:textId="24304A3F" w:rsidR="00977FA4" w:rsidRPr="008D1D17" w:rsidRDefault="00602DF6" w:rsidP="00977FA4">
      <w:pPr>
        <w:pStyle w:val="ListNumber2"/>
        <w:numPr>
          <w:ilvl w:val="1"/>
          <w:numId w:val="8"/>
        </w:numPr>
      </w:pPr>
      <w:r w:rsidRPr="008D1D17">
        <w:t>manufactur</w:t>
      </w:r>
      <w:r>
        <w:t>e</w:t>
      </w:r>
      <w:r w:rsidRPr="008D1D17">
        <w:t xml:space="preserve"> </w:t>
      </w:r>
      <w:r w:rsidR="00977FA4" w:rsidRPr="008D1D17">
        <w:t>products using advanced materials to facilitate clean energy transition (such as graphene and carbon fibre) or facilitate recycling or circular economy principles (such as biopolymers).</w:t>
      </w:r>
    </w:p>
    <w:p w14:paraId="7822648A" w14:textId="30A7ECBD" w:rsidR="00602DF6" w:rsidRPr="00700B8D" w:rsidRDefault="00602DF6" w:rsidP="00602DF6">
      <w:pPr>
        <w:pStyle w:val="ListNumber2"/>
        <w:rPr>
          <w:rFonts w:ascii="Calibri" w:hAnsi="Calibri"/>
          <w:szCs w:val="22"/>
        </w:rPr>
      </w:pPr>
      <w:r>
        <w:t>H</w:t>
      </w:r>
      <w:r w:rsidRPr="00700B8D">
        <w:t xml:space="preserve">ow </w:t>
      </w:r>
      <w:r>
        <w:t xml:space="preserve">does </w:t>
      </w:r>
      <w:r w:rsidRPr="00700B8D">
        <w:t>your project create opportunities to expand, strengthen and grow the Australian manufacturing sector</w:t>
      </w:r>
      <w:r>
        <w:t xml:space="preserve">? This may include details of </w:t>
      </w:r>
      <w:r w:rsidRPr="00700B8D">
        <w:t>how your project aligns with the Australian Government’s broader policy objectives</w:t>
      </w:r>
      <w:r>
        <w:t>, particularly those relevant to the National Manufacturing Priority area(s) your project aligns with.</w:t>
      </w:r>
      <w:r w:rsidRPr="00700B8D">
        <w:rPr>
          <w:rFonts w:ascii="Segoe UI" w:hAnsi="Segoe UI" w:cs="Segoe UI"/>
          <w:color w:val="000000"/>
          <w:szCs w:val="20"/>
        </w:rPr>
        <w:t xml:space="preserve"> </w:t>
      </w:r>
    </w:p>
    <w:p w14:paraId="71D768F3" w14:textId="77777777" w:rsidR="00B52364" w:rsidRPr="008D1D17" w:rsidRDefault="00B52364" w:rsidP="00D601AC">
      <w:pPr>
        <w:pStyle w:val="Heading3"/>
        <w:ind w:left="851" w:hanging="851"/>
      </w:pPr>
      <w:bookmarkStart w:id="209" w:name="_Toc77165071"/>
      <w:r w:rsidRPr="008D1D17">
        <w:t>Assessment criterion 2</w:t>
      </w:r>
      <w:bookmarkEnd w:id="209"/>
    </w:p>
    <w:p w14:paraId="6FE22537" w14:textId="4F203F5D" w:rsidR="00B52364" w:rsidRPr="008D1D17" w:rsidRDefault="00B52364" w:rsidP="00B52364">
      <w:pPr>
        <w:pStyle w:val="Normalbold"/>
      </w:pPr>
      <w:r w:rsidRPr="008D1D17">
        <w:t>Capacity, capability and resources to deliver the project (</w:t>
      </w:r>
      <w:r w:rsidR="00EE1C23">
        <w:t>25</w:t>
      </w:r>
      <w:r w:rsidR="00602DF6" w:rsidRPr="008D1D17">
        <w:t xml:space="preserve"> </w:t>
      </w:r>
      <w:r w:rsidRPr="008D1D17">
        <w:t>points).</w:t>
      </w:r>
    </w:p>
    <w:p w14:paraId="40CDA5A8" w14:textId="78FAD01C" w:rsidR="00602DF6" w:rsidRDefault="00602DF6" w:rsidP="00CF71C7">
      <w:pPr>
        <w:pStyle w:val="ListNumber2"/>
        <w:numPr>
          <w:ilvl w:val="0"/>
          <w:numId w:val="0"/>
        </w:numPr>
      </w:pPr>
      <w:r>
        <w:t xml:space="preserve">You should address all three sections in your response, using sub-headings to demonstrate alignment of your project against sections a, b and c. </w:t>
      </w:r>
    </w:p>
    <w:p w14:paraId="0D05C2B9" w14:textId="2EB8A96C" w:rsidR="00602DF6" w:rsidRDefault="00602DF6">
      <w:pPr>
        <w:pStyle w:val="ListNumber2"/>
        <w:numPr>
          <w:ilvl w:val="0"/>
          <w:numId w:val="15"/>
        </w:numPr>
      </w:pPr>
      <w:r>
        <w:lastRenderedPageBreak/>
        <w:t xml:space="preserve">Provide an overview of </w:t>
      </w:r>
      <w:r w:rsidRPr="00700B8D">
        <w:t>your track record and experience in managing similar p</w:t>
      </w:r>
      <w:r w:rsidRPr="00EB134E">
        <w:t xml:space="preserve">rojects </w:t>
      </w:r>
      <w:r>
        <w:t>as well as</w:t>
      </w:r>
      <w:r w:rsidRPr="00EB134E">
        <w:t xml:space="preserve"> your plan specific to this project to utilise and manage personnel with the right skills and experience, including strong governance, management and technical expertise</w:t>
      </w:r>
      <w:r>
        <w:t>.</w:t>
      </w:r>
    </w:p>
    <w:p w14:paraId="310BFDE9" w14:textId="77777777" w:rsidR="00602DF6" w:rsidRDefault="00602DF6" w:rsidP="00602DF6">
      <w:pPr>
        <w:pStyle w:val="ListNumber2"/>
      </w:pPr>
      <w:r>
        <w:t>Provide an overview of your plan to manage the project including scope, implementation methodology, timeframes, delivery risks and budget and, if applicable, describe your partnership arrangements and benefits.</w:t>
      </w:r>
    </w:p>
    <w:p w14:paraId="3418B128" w14:textId="77777777" w:rsidR="00602DF6" w:rsidRPr="00E162FF" w:rsidRDefault="00602DF6" w:rsidP="00602DF6">
      <w:pPr>
        <w:pStyle w:val="ListNumber2"/>
      </w:pPr>
      <w:r>
        <w:t xml:space="preserve">Provide details of </w:t>
      </w:r>
      <w:r w:rsidRPr="00AC0A73">
        <w:t>your access, or future access</w:t>
      </w:r>
      <w:r>
        <w:t>,</w:t>
      </w:r>
      <w:r w:rsidRPr="00AC0A73">
        <w:t xml:space="preserve"> to any</w:t>
      </w:r>
      <w:r>
        <w:t xml:space="preserve"> required</w:t>
      </w:r>
      <w:r w:rsidRPr="00AC0A73">
        <w:t xml:space="preserve"> </w:t>
      </w:r>
      <w:r>
        <w:t xml:space="preserve">resources for the successful delivery of your project. Include your plans for access to </w:t>
      </w:r>
      <w:r w:rsidRPr="00AC0A73">
        <w:t xml:space="preserve">infrastructure, </w:t>
      </w:r>
      <w:r>
        <w:t xml:space="preserve">finance, </w:t>
      </w:r>
      <w:r w:rsidRPr="00AC0A73">
        <w:t>capital equipment, technology, intellectual property and regulatory or other approvals</w:t>
      </w:r>
      <w:r>
        <w:t>.</w:t>
      </w:r>
    </w:p>
    <w:p w14:paraId="1B50811F" w14:textId="77777777" w:rsidR="00B52364" w:rsidRPr="008D1D17" w:rsidRDefault="00B52364" w:rsidP="00D601AC">
      <w:pPr>
        <w:pStyle w:val="Heading3"/>
        <w:ind w:left="851" w:hanging="851"/>
      </w:pPr>
      <w:bookmarkStart w:id="210" w:name="_Toc77165072"/>
      <w:r w:rsidRPr="008D1D17">
        <w:t>Assessment criterion 3</w:t>
      </w:r>
      <w:bookmarkEnd w:id="210"/>
    </w:p>
    <w:p w14:paraId="7A763C07" w14:textId="4B21CF72" w:rsidR="00B52364" w:rsidRPr="008D1D17" w:rsidRDefault="00B52364" w:rsidP="00B52364">
      <w:pPr>
        <w:pStyle w:val="Normalbold"/>
      </w:pPr>
      <w:r w:rsidRPr="008D1D17">
        <w:t>Impact of the grant funding on your project (</w:t>
      </w:r>
      <w:r w:rsidR="00EE1C23">
        <w:t>25</w:t>
      </w:r>
      <w:r w:rsidR="00602DF6" w:rsidRPr="008D1D17">
        <w:t xml:space="preserve"> </w:t>
      </w:r>
      <w:r w:rsidRPr="008D1D17">
        <w:t>points)</w:t>
      </w:r>
    </w:p>
    <w:p w14:paraId="12D88116" w14:textId="10B12221" w:rsidR="00602DF6" w:rsidRDefault="00602DF6" w:rsidP="00602DF6">
      <w:r w:rsidRPr="003D7B9B">
        <w:t xml:space="preserve">You should address </w:t>
      </w:r>
      <w:r w:rsidR="00F75938">
        <w:t>all four</w:t>
      </w:r>
      <w:r w:rsidRPr="003D7B9B">
        <w:t xml:space="preserve"> sections in your response, using sub-headings to demonstrate alignment of your project against sections a</w:t>
      </w:r>
      <w:r w:rsidR="00F75938">
        <w:t>,</w:t>
      </w:r>
      <w:r w:rsidRPr="003D7B9B">
        <w:t xml:space="preserve"> b</w:t>
      </w:r>
      <w:r w:rsidR="00F75938">
        <w:t>, c and d</w:t>
      </w:r>
      <w:r w:rsidRPr="003D7B9B">
        <w:t>.</w:t>
      </w:r>
      <w:r>
        <w:t xml:space="preserve"> </w:t>
      </w:r>
    </w:p>
    <w:p w14:paraId="7321EEFB" w14:textId="77777777" w:rsidR="00EE1C23" w:rsidRPr="00CF71C7" w:rsidRDefault="00602DF6" w:rsidP="00CF71C7">
      <w:pPr>
        <w:pStyle w:val="ListNumber2"/>
        <w:numPr>
          <w:ilvl w:val="0"/>
          <w:numId w:val="21"/>
        </w:numPr>
      </w:pPr>
      <w:r w:rsidRPr="000111F5">
        <w:rPr>
          <w:rFonts w:cstheme="minorHAnsi"/>
        </w:rPr>
        <w:t xml:space="preserve">What is the total additional investment the grant will leverage? </w:t>
      </w:r>
    </w:p>
    <w:p w14:paraId="242C0A32" w14:textId="77777777" w:rsidR="00EE1C23" w:rsidRPr="00CF71C7" w:rsidRDefault="00EE1C23" w:rsidP="00EE1C23">
      <w:pPr>
        <w:pStyle w:val="ListNumber2"/>
        <w:numPr>
          <w:ilvl w:val="0"/>
          <w:numId w:val="21"/>
        </w:numPr>
      </w:pPr>
      <w:r w:rsidRPr="00CF71C7">
        <w:t>What are the additional activities this grant would enable you to undertake?</w:t>
      </w:r>
    </w:p>
    <w:p w14:paraId="488FF55B" w14:textId="77777777" w:rsidR="00EE1C23" w:rsidRPr="00CF71C7" w:rsidRDefault="00EE1C23" w:rsidP="00EE1C23">
      <w:pPr>
        <w:pStyle w:val="ListNumber2"/>
        <w:numPr>
          <w:ilvl w:val="0"/>
          <w:numId w:val="21"/>
        </w:numPr>
      </w:pPr>
      <w:r w:rsidRPr="00CF71C7">
        <w:t>Describe how your project will generate spill over effects within one or more of the National Manufacturing Priorities, and any broader benefits your project will unlock for Australia</w:t>
      </w:r>
    </w:p>
    <w:p w14:paraId="327B73D6" w14:textId="4214276E" w:rsidR="00602DF6" w:rsidRPr="00B51AE1" w:rsidRDefault="00602DF6" w:rsidP="00CF71C7">
      <w:pPr>
        <w:pStyle w:val="ListNumber2"/>
        <w:numPr>
          <w:ilvl w:val="0"/>
          <w:numId w:val="21"/>
        </w:numPr>
      </w:pPr>
      <w:r w:rsidRPr="00EE1C23">
        <w:rPr>
          <w:rFonts w:cstheme="minorHAnsi"/>
        </w:rPr>
        <w:t>Why do you believe the Australian Government should invest in your project? Consider:</w:t>
      </w:r>
    </w:p>
    <w:p w14:paraId="45179E80" w14:textId="77777777" w:rsidR="00602DF6" w:rsidRPr="00495388" w:rsidRDefault="00602DF6" w:rsidP="00602DF6">
      <w:pPr>
        <w:pStyle w:val="ListBullet2"/>
        <w:numPr>
          <w:ilvl w:val="0"/>
          <w:numId w:val="17"/>
        </w:numPr>
      </w:pPr>
      <w:r w:rsidRPr="00495388">
        <w:t>how the grant will benefit the project in terms of scale and timing</w:t>
      </w:r>
    </w:p>
    <w:p w14:paraId="36287276" w14:textId="77777777" w:rsidR="00602DF6" w:rsidRDefault="00602DF6" w:rsidP="00602DF6">
      <w:pPr>
        <w:pStyle w:val="ListBullet2"/>
        <w:numPr>
          <w:ilvl w:val="0"/>
          <w:numId w:val="17"/>
        </w:numPr>
      </w:pPr>
      <w:r w:rsidRPr="00495388">
        <w:t>how this investment will impact your business and its ability to be self-sustaining and competitive into the future.</w:t>
      </w:r>
    </w:p>
    <w:p w14:paraId="191EE0C7" w14:textId="77777777" w:rsidR="00A71134" w:rsidRPr="00F77C1C" w:rsidRDefault="00A71134" w:rsidP="007F5688">
      <w:pPr>
        <w:pStyle w:val="Heading2"/>
      </w:pPr>
      <w:bookmarkStart w:id="211" w:name="_Toc496536669"/>
      <w:bookmarkStart w:id="212" w:name="_Toc531277496"/>
      <w:bookmarkStart w:id="213" w:name="_Toc955306"/>
      <w:bookmarkStart w:id="214" w:name="_Toc52953270"/>
      <w:bookmarkStart w:id="215" w:name="_Toc53049378"/>
      <w:bookmarkStart w:id="216" w:name="_Toc53053000"/>
      <w:bookmarkStart w:id="217" w:name="_Toc53064299"/>
      <w:bookmarkStart w:id="218" w:name="_Toc53146333"/>
      <w:bookmarkStart w:id="219" w:name="_Toc54090102"/>
      <w:bookmarkStart w:id="220" w:name="_Toc55813063"/>
      <w:bookmarkStart w:id="221" w:name="_Toc55813982"/>
      <w:bookmarkStart w:id="222" w:name="_Toc77165073"/>
      <w:bookmarkStart w:id="223" w:name="_Toc164844283"/>
      <w:bookmarkStart w:id="224" w:name="_Toc383003272"/>
      <w:bookmarkEnd w:id="174"/>
      <w:bookmarkEnd w:id="175"/>
      <w:r>
        <w:t>How to apply</w:t>
      </w:r>
      <w:bookmarkEnd w:id="211"/>
      <w:bookmarkEnd w:id="212"/>
      <w:bookmarkEnd w:id="213"/>
      <w:bookmarkEnd w:id="214"/>
      <w:bookmarkEnd w:id="215"/>
      <w:bookmarkEnd w:id="216"/>
      <w:bookmarkEnd w:id="217"/>
      <w:bookmarkEnd w:id="218"/>
      <w:bookmarkEnd w:id="219"/>
      <w:bookmarkEnd w:id="220"/>
      <w:bookmarkEnd w:id="221"/>
      <w:bookmarkEnd w:id="222"/>
    </w:p>
    <w:p w14:paraId="191EE0C8" w14:textId="46EDF5E1"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8" w:anchor="key-documents" w:history="1">
        <w:r w:rsidRPr="00B624AE">
          <w:rPr>
            <w:rStyle w:val="Hyperlink"/>
          </w:rPr>
          <w:t>application form</w:t>
        </w:r>
      </w:hyperlink>
      <w:r w:rsidR="0038437E">
        <w:t xml:space="preserve"> and </w:t>
      </w:r>
      <w:r>
        <w:t xml:space="preserve">the </w:t>
      </w:r>
      <w:r w:rsidR="00F27C1B">
        <w:t xml:space="preserve">sample </w:t>
      </w:r>
      <w:hyperlink r:id="rId29" w:anchor="key-documents" w:history="1">
        <w:r w:rsidRPr="00B624AE">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37F5A794" w:rsidR="00A71134" w:rsidRDefault="00A71134" w:rsidP="00A71134">
      <w:pPr>
        <w:pStyle w:val="ListBullet"/>
      </w:pPr>
      <w:r>
        <w:t>complete</w:t>
      </w:r>
      <w:r w:rsidRPr="00E162FF">
        <w:t xml:space="preserve"> the </w:t>
      </w:r>
      <w:r>
        <w:t xml:space="preserve">online </w:t>
      </w:r>
      <w:hyperlink r:id="rId30" w:anchor="key-documents"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lastRenderedPageBreak/>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5" w:name="_Toc496536670"/>
      <w:bookmarkStart w:id="226" w:name="_Toc531277497"/>
      <w:bookmarkStart w:id="227" w:name="_Toc955307"/>
      <w:bookmarkStart w:id="228" w:name="_Toc52953271"/>
      <w:bookmarkStart w:id="229" w:name="_Toc53049379"/>
      <w:bookmarkStart w:id="230" w:name="_Toc53053001"/>
      <w:bookmarkStart w:id="231" w:name="_Toc53064300"/>
      <w:bookmarkStart w:id="232" w:name="_Toc53146334"/>
      <w:bookmarkStart w:id="233" w:name="_Toc54090103"/>
      <w:bookmarkStart w:id="234" w:name="_Toc55813064"/>
      <w:bookmarkStart w:id="235" w:name="_Toc55813983"/>
      <w:bookmarkStart w:id="236" w:name="_Toc77165074"/>
      <w:r>
        <w:t>Attachments to the application</w:t>
      </w:r>
      <w:bookmarkEnd w:id="225"/>
      <w:bookmarkEnd w:id="226"/>
      <w:bookmarkEnd w:id="227"/>
      <w:bookmarkEnd w:id="228"/>
      <w:bookmarkEnd w:id="229"/>
      <w:bookmarkEnd w:id="230"/>
      <w:bookmarkEnd w:id="231"/>
      <w:bookmarkEnd w:id="232"/>
      <w:bookmarkEnd w:id="233"/>
      <w:bookmarkEnd w:id="234"/>
      <w:bookmarkEnd w:id="235"/>
      <w:bookmarkEnd w:id="236"/>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3C25817D"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r w:rsidR="00602DF6">
        <w:t xml:space="preserve"> that relates to the project seeking the grant</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3CDD3DF2" w:rsidR="00592DAD" w:rsidRPr="00FE024C" w:rsidRDefault="00592DAD" w:rsidP="00592DAD">
      <w:pPr>
        <w:pStyle w:val="ListBullet"/>
      </w:pPr>
      <w:r>
        <w:t>accountant declaration (</w:t>
      </w:r>
      <w:r w:rsidRPr="00FE024C">
        <w:t xml:space="preserve">mandatory template provided on </w:t>
      </w:r>
      <w:hyperlink r:id="rId32" w:anchor="key-documents" w:history="1">
        <w:r w:rsidRPr="00B624AE">
          <w:rPr>
            <w:rStyle w:val="Hyperlink"/>
          </w:rPr>
          <w:t>business.gov.au</w:t>
        </w:r>
      </w:hyperlink>
      <w:r w:rsidRPr="00FE024C">
        <w:t xml:space="preserve"> and </w:t>
      </w:r>
      <w:hyperlink r:id="rId33" w:history="1">
        <w:r w:rsidRPr="00FE024C">
          <w:t>GrantConnect</w:t>
        </w:r>
      </w:hyperlink>
      <w:r w:rsidRPr="00FE024C">
        <w:t>)</w:t>
      </w:r>
    </w:p>
    <w:p w14:paraId="191EE0DB" w14:textId="15AA9038" w:rsidR="00592DAD" w:rsidRDefault="00592DAD" w:rsidP="00592DAD">
      <w:pPr>
        <w:pStyle w:val="ListBullet"/>
      </w:pPr>
      <w:r w:rsidRPr="00FE024C">
        <w:t>evidence of support from the board, CEO or equivalent (mandatory template provided on</w:t>
      </w:r>
      <w:r>
        <w:t xml:space="preserve"> </w:t>
      </w:r>
      <w:hyperlink r:id="rId34" w:anchor="key-documents" w:history="1">
        <w:r w:rsidRPr="00B624AE">
          <w:rPr>
            <w:rStyle w:val="Hyperlink"/>
          </w:rPr>
          <w:t>business.gov.au</w:t>
        </w:r>
      </w:hyperlink>
      <w:r>
        <w:t xml:space="preserve"> and </w:t>
      </w:r>
      <w:hyperlink r:id="rId35"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3E885F57" w14:textId="77777777" w:rsidR="00311461" w:rsidRDefault="00311461" w:rsidP="00CF71C7">
      <w:pPr>
        <w:pStyle w:val="ListBullet"/>
        <w:numPr>
          <w:ilvl w:val="0"/>
          <w:numId w:val="0"/>
        </w:numPr>
      </w:pPr>
      <w:r>
        <w:t>You may also submit letters of support, including project partners, supply contractors and other businesses (but only where these are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7" w:name="_Toc52953272"/>
      <w:bookmarkStart w:id="238" w:name="_Toc53053002"/>
      <w:bookmarkStart w:id="239" w:name="_Toc53064301"/>
      <w:bookmarkStart w:id="240" w:name="_Toc53146335"/>
      <w:bookmarkStart w:id="241" w:name="_Toc54090104"/>
      <w:bookmarkStart w:id="242" w:name="_Toc55813065"/>
      <w:bookmarkStart w:id="243" w:name="_Toc55813984"/>
      <w:bookmarkStart w:id="244" w:name="_Toc77165075"/>
      <w:bookmarkStart w:id="245" w:name="_Toc53049380"/>
      <w:bookmarkStart w:id="246" w:name="_Toc489952689"/>
      <w:bookmarkStart w:id="247" w:name="_Toc496536671"/>
      <w:bookmarkStart w:id="248" w:name="_Toc531277499"/>
      <w:bookmarkStart w:id="249" w:name="_Toc955309"/>
      <w:bookmarkStart w:id="250" w:name="_Ref482605332"/>
      <w:r>
        <w:t>Joint applications</w:t>
      </w:r>
      <w:bookmarkEnd w:id="237"/>
      <w:bookmarkEnd w:id="238"/>
      <w:bookmarkEnd w:id="239"/>
      <w:bookmarkEnd w:id="240"/>
      <w:bookmarkEnd w:id="241"/>
      <w:bookmarkEnd w:id="242"/>
      <w:bookmarkEnd w:id="243"/>
      <w:bookmarkEnd w:id="244"/>
    </w:p>
    <w:bookmarkEnd w:id="245"/>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1" w:name="_Toc52953273"/>
      <w:bookmarkStart w:id="252" w:name="_Toc53049381"/>
      <w:bookmarkStart w:id="253" w:name="_Toc53053003"/>
      <w:bookmarkStart w:id="254" w:name="_Toc53064302"/>
      <w:bookmarkStart w:id="255" w:name="_Toc53146336"/>
      <w:bookmarkStart w:id="256" w:name="_Toc54090105"/>
      <w:bookmarkStart w:id="257" w:name="_Toc55813066"/>
      <w:bookmarkStart w:id="258" w:name="_Toc55813985"/>
      <w:bookmarkStart w:id="259" w:name="_Toc77165076"/>
      <w:r>
        <w:lastRenderedPageBreak/>
        <w:t>Timing of grant opportunity</w:t>
      </w:r>
      <w:bookmarkEnd w:id="246"/>
      <w:bookmarkEnd w:id="247"/>
      <w:bookmarkEnd w:id="248"/>
      <w:bookmarkEnd w:id="249"/>
      <w:bookmarkEnd w:id="251"/>
      <w:bookmarkEnd w:id="252"/>
      <w:bookmarkEnd w:id="253"/>
      <w:bookmarkEnd w:id="254"/>
      <w:bookmarkEnd w:id="255"/>
      <w:bookmarkEnd w:id="256"/>
      <w:bookmarkEnd w:id="257"/>
      <w:bookmarkEnd w:id="258"/>
      <w:bookmarkEnd w:id="259"/>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60" w:name="_Toc467773968"/>
      <w:r w:rsidRPr="0054078D">
        <w:rPr>
          <w:bCs/>
        </w:rPr>
        <w:t>Table 1: Expected timing for this grant opportunity</w:t>
      </w:r>
      <w:bookmarkEnd w:id="26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6A600F46" w:rsidR="00247D27" w:rsidRPr="00610AC1" w:rsidRDefault="00592DAD" w:rsidP="00FE125A">
            <w:pPr>
              <w:pStyle w:val="TableText"/>
              <w:keepNext/>
            </w:pPr>
            <w:r w:rsidRPr="0094649E">
              <w:t xml:space="preserve">Up to </w:t>
            </w:r>
            <w:r w:rsidR="00F75938">
              <w:t>10</w:t>
            </w:r>
            <w:r w:rsidR="005B40A5">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68E443E3" w:rsidR="00247D27" w:rsidRPr="00610AC1" w:rsidRDefault="00B77E45" w:rsidP="00680B92">
            <w:pPr>
              <w:pStyle w:val="TableText"/>
              <w:keepNext/>
            </w:pPr>
            <w:r w:rsidRPr="00610AC1">
              <w:t>2</w:t>
            </w:r>
            <w:r w:rsidR="000B2A0E">
              <w:t>-4</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0C509B5A" w:rsidR="00247D27" w:rsidRPr="00610AC1" w:rsidRDefault="00311461">
            <w:pPr>
              <w:pStyle w:val="TableText"/>
              <w:keepNext/>
            </w:pPr>
            <w:r>
              <w:t>6</w:t>
            </w:r>
            <w:r w:rsidR="0044497F" w:rsidRPr="0094649E">
              <w:t>-</w:t>
            </w:r>
            <w:r>
              <w:t>8</w:t>
            </w:r>
            <w:r w:rsidRPr="0094649E">
              <w:t xml:space="preserve">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1" w:name="_Toc496536673"/>
      <w:bookmarkStart w:id="262" w:name="_Toc531277500"/>
      <w:bookmarkStart w:id="263" w:name="_Toc955310"/>
      <w:bookmarkStart w:id="264" w:name="_Toc52953274"/>
      <w:bookmarkStart w:id="265" w:name="_Toc53049382"/>
      <w:bookmarkStart w:id="266" w:name="_Toc53053004"/>
      <w:bookmarkStart w:id="267" w:name="_Toc53064303"/>
      <w:bookmarkStart w:id="268" w:name="_Toc53146337"/>
      <w:bookmarkStart w:id="269" w:name="_Toc54090106"/>
      <w:bookmarkStart w:id="270" w:name="_Toc55813067"/>
      <w:bookmarkStart w:id="271" w:name="_Toc55813986"/>
      <w:bookmarkStart w:id="272" w:name="_Toc77165077"/>
      <w:bookmarkEnd w:id="250"/>
      <w:r>
        <w:t xml:space="preserve">The </w:t>
      </w:r>
      <w:r w:rsidR="00E93B21">
        <w:t xml:space="preserve">grant </w:t>
      </w:r>
      <w:r>
        <w:t>selection process</w:t>
      </w:r>
      <w:bookmarkEnd w:id="261"/>
      <w:bookmarkEnd w:id="262"/>
      <w:bookmarkEnd w:id="263"/>
      <w:bookmarkEnd w:id="264"/>
      <w:bookmarkEnd w:id="265"/>
      <w:bookmarkEnd w:id="266"/>
      <w:bookmarkEnd w:id="267"/>
      <w:bookmarkEnd w:id="268"/>
      <w:bookmarkEnd w:id="269"/>
      <w:bookmarkEnd w:id="270"/>
      <w:bookmarkEnd w:id="271"/>
      <w:bookmarkEnd w:id="272"/>
    </w:p>
    <w:p w14:paraId="7A85A2E0" w14:textId="54C1C95B" w:rsidR="00311461" w:rsidRDefault="00311461" w:rsidP="00311461">
      <w:r>
        <w:t xml:space="preserve">Your </w:t>
      </w:r>
      <w:r w:rsidRPr="00E162FF">
        <w:t xml:space="preserve">application </w:t>
      </w:r>
      <w:r>
        <w:t xml:space="preserve">is reviewed </w:t>
      </w:r>
      <w:r w:rsidRPr="00E162FF">
        <w:t xml:space="preserve">against the eligibility </w:t>
      </w:r>
      <w:r w:rsidRPr="006126D0">
        <w:t>criteria</w:t>
      </w:r>
      <w:r>
        <w:t xml:space="preserve">. </w:t>
      </w:r>
      <w:r w:rsidRPr="005A61FE">
        <w:t xml:space="preserve">If eligible, </w:t>
      </w:r>
      <w:r>
        <w:t xml:space="preserve">it </w:t>
      </w:r>
      <w:r w:rsidRPr="005A61FE">
        <w:t>will</w:t>
      </w:r>
      <w:r>
        <w:t xml:space="preserve"> then be </w:t>
      </w:r>
      <w:r w:rsidRPr="005A61FE">
        <w:t>assess</w:t>
      </w:r>
      <w:r>
        <w:t>ed</w:t>
      </w:r>
      <w:r w:rsidRPr="005A61FE">
        <w:t xml:space="preserve"> </w:t>
      </w:r>
      <w:r>
        <w:t>against the assessment criteria. Only eligible applications will proceed to the assessment stage.</w:t>
      </w:r>
    </w:p>
    <w:p w14:paraId="73C66F65" w14:textId="7585F473" w:rsidR="00311461" w:rsidRPr="005A61FE" w:rsidRDefault="00311461" w:rsidP="00311461">
      <w:r>
        <w:t>Y</w:t>
      </w:r>
      <w:r w:rsidRPr="005A61FE">
        <w:t xml:space="preserve">our application </w:t>
      </w:r>
      <w:r>
        <w:t xml:space="preserve">is assessed </w:t>
      </w:r>
      <w:r w:rsidRPr="005A61FE">
        <w:t>on its merits, based on:</w:t>
      </w:r>
    </w:p>
    <w:p w14:paraId="1EAC77FE" w14:textId="77777777" w:rsidR="00311461" w:rsidRPr="005A61FE" w:rsidRDefault="00311461" w:rsidP="00311461">
      <w:pPr>
        <w:pStyle w:val="ListBullet"/>
        <w:numPr>
          <w:ilvl w:val="0"/>
          <w:numId w:val="7"/>
        </w:numPr>
      </w:pPr>
      <w:r w:rsidRPr="005A61FE">
        <w:t xml:space="preserve">how well it meets the criteria </w:t>
      </w:r>
    </w:p>
    <w:p w14:paraId="59842051" w14:textId="77777777" w:rsidR="00311461" w:rsidRPr="005A61FE" w:rsidRDefault="00311461" w:rsidP="00311461">
      <w:pPr>
        <w:pStyle w:val="ListBullet"/>
        <w:numPr>
          <w:ilvl w:val="0"/>
          <w:numId w:val="7"/>
        </w:numPr>
      </w:pPr>
      <w:r w:rsidRPr="005A61FE">
        <w:t>how it compares to other applications</w:t>
      </w:r>
    </w:p>
    <w:p w14:paraId="3CD8A37C" w14:textId="77777777" w:rsidR="00311461" w:rsidRPr="005A61FE" w:rsidRDefault="00311461" w:rsidP="00311461">
      <w:pPr>
        <w:pStyle w:val="ListBullet"/>
        <w:numPr>
          <w:ilvl w:val="0"/>
          <w:numId w:val="7"/>
        </w:numPr>
        <w:spacing w:after="120"/>
      </w:pPr>
      <w:r w:rsidRPr="005A61FE">
        <w:t>whether it provides value with relevant money.</w:t>
      </w:r>
    </w:p>
    <w:p w14:paraId="5E04A0A4" w14:textId="2EFFD87D" w:rsidR="00311461" w:rsidRPr="005A61FE" w:rsidRDefault="00311461" w:rsidP="00311461">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t>
      </w:r>
      <w:r>
        <w:rPr>
          <w:rFonts w:cs="Arial"/>
        </w:rPr>
        <w:t xml:space="preserve">there is </w:t>
      </w:r>
      <w:r w:rsidRPr="005A61FE" w:rsidDel="00E27987">
        <w:rPr>
          <w:rFonts w:cs="Arial"/>
        </w:rPr>
        <w:t>regard to</w:t>
      </w:r>
      <w:r w:rsidRPr="005A61FE">
        <w:rPr>
          <w:rFonts w:cs="Arial"/>
        </w:rPr>
        <w:t xml:space="preserve">: </w:t>
      </w:r>
    </w:p>
    <w:p w14:paraId="72939030" w14:textId="77777777" w:rsidR="00311461" w:rsidRPr="005A61FE" w:rsidRDefault="00311461" w:rsidP="00311461">
      <w:pPr>
        <w:pStyle w:val="ListBullet"/>
        <w:numPr>
          <w:ilvl w:val="0"/>
          <w:numId w:val="7"/>
        </w:numPr>
      </w:pPr>
      <w:r w:rsidRPr="005A61FE">
        <w:t>the overall objectives of the grant opportunity</w:t>
      </w:r>
    </w:p>
    <w:p w14:paraId="220F6EC3" w14:textId="77777777" w:rsidR="00311461" w:rsidRPr="005A61FE" w:rsidRDefault="00311461" w:rsidP="00311461">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4518E2EA" w14:textId="2820FEDD" w:rsidR="00311461" w:rsidRDefault="00311461" w:rsidP="00311461">
      <w:pPr>
        <w:pStyle w:val="ListBullet"/>
        <w:numPr>
          <w:ilvl w:val="0"/>
          <w:numId w:val="7"/>
        </w:numPr>
        <w:spacing w:after="120"/>
      </w:pPr>
      <w:r w:rsidRPr="005A61FE">
        <w:t>the relative value of the</w:t>
      </w:r>
      <w:r>
        <w:t xml:space="preserve"> grant sought</w:t>
      </w:r>
    </w:p>
    <w:p w14:paraId="66C60E10" w14:textId="77777777" w:rsidR="00311461" w:rsidRDefault="00311461" w:rsidP="00311461">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57165A99" w14:textId="2C80C91E" w:rsidR="00311461" w:rsidRDefault="00311461" w:rsidP="00311461">
      <w:pPr>
        <w:pStyle w:val="ListBullet"/>
        <w:numPr>
          <w:ilvl w:val="0"/>
          <w:numId w:val="0"/>
        </w:numPr>
      </w:pPr>
      <w:r>
        <w:lastRenderedPageBreak/>
        <w:t xml:space="preserve">Applications are referred to an independent committee of experts. </w:t>
      </w:r>
      <w:r>
        <w:rPr>
          <w:szCs w:val="20"/>
        </w:rPr>
        <w:t xml:space="preserve">The committee may seek additional advice from independent technical experts. </w:t>
      </w:r>
      <w:r>
        <w:t>Committee membership may also include CSIRO who will provide expert advice on the related NMP, technology</w:t>
      </w:r>
      <w:r w:rsidRPr="007861A1">
        <w:t xml:space="preserve"> and the </w:t>
      </w:r>
      <w:r>
        <w:t>engineering elements of applications.</w:t>
      </w:r>
    </w:p>
    <w:p w14:paraId="0F9E70CF" w14:textId="048135FE" w:rsidR="00311461" w:rsidRDefault="00311461" w:rsidP="00311461">
      <w:pPr>
        <w:pStyle w:val="ListBullet"/>
        <w:numPr>
          <w:ilvl w:val="0"/>
          <w:numId w:val="0"/>
        </w:numPr>
      </w:pPr>
      <w:r w:rsidRPr="005D2157">
        <w:t>The committee will assess your application against the assessment criteria and compare it to other eligible</w:t>
      </w:r>
      <w:r>
        <w:t xml:space="preserve"> applications. </w:t>
      </w:r>
      <w:r w:rsidR="00AB17AC" w:rsidRPr="00CF71C7">
        <w:rPr>
          <w:rFonts w:cs="Arial"/>
          <w:szCs w:val="20"/>
        </w:rPr>
        <w:t>The committee will be required to perform their duties in accordance with the CGRGs.</w:t>
      </w:r>
      <w:r w:rsidR="00AB17AC">
        <w:rPr>
          <w:rFonts w:cs="Arial"/>
          <w:szCs w:val="20"/>
        </w:rPr>
        <w:t xml:space="preserve"> </w:t>
      </w:r>
      <w:r>
        <w:t xml:space="preserve">Assessment information is provided to the decision maker.  </w:t>
      </w:r>
    </w:p>
    <w:p w14:paraId="4C5A64C7" w14:textId="77777777" w:rsidR="00311461" w:rsidRDefault="00311461" w:rsidP="00311461">
      <w:r>
        <w:t>If the selection process identifies unintentional errors in your application, we may contact you to correct or clarify the errors, but you cannot make any material alteration or addition.</w:t>
      </w:r>
    </w:p>
    <w:p w14:paraId="42D90D3F" w14:textId="00229447" w:rsidR="00311461" w:rsidRDefault="00311461" w:rsidP="00311461">
      <w:r>
        <w:t xml:space="preserve">Industry Innovation Science Australia (IISA) will provide advice to the </w:t>
      </w:r>
      <w:r w:rsidR="00E663FF">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191EE10C" w14:textId="77777777" w:rsidR="00247D27" w:rsidRDefault="00F67DBB" w:rsidP="005C3CCB">
      <w:pPr>
        <w:pStyle w:val="Heading3"/>
        <w:ind w:left="851" w:hanging="851"/>
      </w:pPr>
      <w:bookmarkStart w:id="273" w:name="_Toc531277501"/>
      <w:bookmarkStart w:id="274" w:name="_Toc164844279"/>
      <w:bookmarkStart w:id="275" w:name="_Toc383003268"/>
      <w:bookmarkStart w:id="276" w:name="_Toc496536674"/>
      <w:bookmarkStart w:id="277" w:name="_Toc955311"/>
      <w:bookmarkStart w:id="278" w:name="_Toc52953275"/>
      <w:bookmarkStart w:id="279" w:name="_Toc53049383"/>
      <w:bookmarkStart w:id="280" w:name="_Toc53053005"/>
      <w:bookmarkStart w:id="281" w:name="_Toc53064304"/>
      <w:bookmarkStart w:id="282" w:name="_Toc53146338"/>
      <w:bookmarkStart w:id="283" w:name="_Toc54090107"/>
      <w:bookmarkStart w:id="284" w:name="_Toc55813068"/>
      <w:bookmarkStart w:id="285" w:name="_Toc55813987"/>
      <w:bookmarkStart w:id="286" w:name="_Toc77165078"/>
      <w:r w:rsidRPr="005A61FE">
        <w:t>Who will approve grants?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56D055AD" w14:textId="575033AE" w:rsidR="00311461" w:rsidRPr="00BE07DC" w:rsidRDefault="00311461" w:rsidP="00311461">
      <w:r w:rsidRPr="00BE07DC">
        <w:t>The Minister decides which grants to approve taking into account the findings of the committee, the advice from IISA and the availability of grant funds.</w:t>
      </w:r>
    </w:p>
    <w:p w14:paraId="191EE10E" w14:textId="77777777" w:rsidR="00564DF1" w:rsidRDefault="00564DF1" w:rsidP="00564DF1">
      <w:pPr>
        <w:spacing w:after="80"/>
      </w:pPr>
      <w:bookmarkStart w:id="287"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8" w:name="_Toc496536675"/>
      <w:bookmarkStart w:id="289" w:name="_Toc531277502"/>
      <w:bookmarkStart w:id="290" w:name="_Toc955312"/>
      <w:bookmarkStart w:id="291" w:name="_Toc52953276"/>
      <w:bookmarkStart w:id="292" w:name="_Toc53049384"/>
      <w:bookmarkStart w:id="293" w:name="_Toc53053006"/>
      <w:bookmarkStart w:id="294" w:name="_Toc53064305"/>
      <w:bookmarkStart w:id="295" w:name="_Toc53146339"/>
      <w:bookmarkStart w:id="296" w:name="_Toc54090108"/>
      <w:bookmarkStart w:id="297" w:name="_Toc55813069"/>
      <w:bookmarkStart w:id="298" w:name="_Toc55813988"/>
      <w:bookmarkStart w:id="299" w:name="_Toc77165079"/>
      <w:r>
        <w:t>Notification of application outcomes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300" w:name="_Toc955313"/>
      <w:bookmarkStart w:id="301" w:name="_Toc496536676"/>
      <w:bookmarkStart w:id="302" w:name="_Toc531277503"/>
      <w:bookmarkStart w:id="303" w:name="_Toc52953277"/>
      <w:bookmarkStart w:id="304" w:name="_Toc53049385"/>
      <w:bookmarkStart w:id="305" w:name="_Toc53053007"/>
      <w:bookmarkStart w:id="306" w:name="_Toc53064306"/>
      <w:bookmarkStart w:id="307" w:name="_Toc53146340"/>
      <w:bookmarkStart w:id="308" w:name="_Toc54090109"/>
      <w:bookmarkStart w:id="309" w:name="_Toc55813070"/>
      <w:bookmarkStart w:id="310" w:name="_Toc55813989"/>
      <w:bookmarkStart w:id="311" w:name="_Toc77165080"/>
      <w:r w:rsidRPr="005A61FE">
        <w:t>Successful</w:t>
      </w:r>
      <w:r>
        <w:t xml:space="preserve"> grant applications</w:t>
      </w:r>
      <w:bookmarkEnd w:id="300"/>
      <w:bookmarkEnd w:id="301"/>
      <w:bookmarkEnd w:id="302"/>
      <w:bookmarkEnd w:id="303"/>
      <w:bookmarkEnd w:id="304"/>
      <w:bookmarkEnd w:id="305"/>
      <w:bookmarkEnd w:id="306"/>
      <w:bookmarkEnd w:id="307"/>
      <w:bookmarkEnd w:id="308"/>
      <w:bookmarkEnd w:id="309"/>
      <w:bookmarkEnd w:id="310"/>
      <w:bookmarkEnd w:id="311"/>
    </w:p>
    <w:p w14:paraId="191EE118" w14:textId="77777777" w:rsidR="00D057B9" w:rsidRDefault="00D057B9" w:rsidP="005C3CCB">
      <w:pPr>
        <w:pStyle w:val="Heading3"/>
        <w:ind w:left="851" w:hanging="851"/>
      </w:pPr>
      <w:bookmarkStart w:id="312" w:name="_Toc466898120"/>
      <w:bookmarkStart w:id="313" w:name="_Toc496536677"/>
      <w:bookmarkStart w:id="314" w:name="_Toc531277504"/>
      <w:bookmarkStart w:id="315" w:name="_Toc955314"/>
      <w:bookmarkStart w:id="316" w:name="_Toc52953278"/>
      <w:bookmarkStart w:id="317" w:name="_Toc53049386"/>
      <w:bookmarkStart w:id="318" w:name="_Toc53053008"/>
      <w:bookmarkStart w:id="319" w:name="_Toc53064307"/>
      <w:bookmarkStart w:id="320" w:name="_Toc53146341"/>
      <w:bookmarkStart w:id="321" w:name="_Toc54090110"/>
      <w:bookmarkStart w:id="322" w:name="_Toc55813071"/>
      <w:bookmarkStart w:id="323" w:name="_Toc55813990"/>
      <w:bookmarkStart w:id="324" w:name="_Toc77165081"/>
      <w:bookmarkEnd w:id="223"/>
      <w:bookmarkEnd w:id="224"/>
      <w:r>
        <w:t>Grant agreement</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91EE119" w14:textId="26B850C9"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6" w:anchor="key-documents" w:history="1">
        <w:r w:rsidR="000C3B35" w:rsidRPr="000E643F">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lastRenderedPageBreak/>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5" w:name="_Toc489952704"/>
      <w:bookmarkStart w:id="326" w:name="_Toc496536682"/>
      <w:bookmarkStart w:id="327" w:name="_Toc531277509"/>
      <w:bookmarkStart w:id="328" w:name="_Toc955319"/>
      <w:bookmarkStart w:id="329" w:name="_Toc52953279"/>
      <w:bookmarkStart w:id="330" w:name="_Toc53049387"/>
      <w:bookmarkStart w:id="331" w:name="_Toc53053009"/>
      <w:bookmarkStart w:id="332" w:name="_Toc53064308"/>
      <w:bookmarkStart w:id="333" w:name="_Toc53146342"/>
      <w:bookmarkStart w:id="334" w:name="_Toc54090111"/>
      <w:bookmarkStart w:id="335" w:name="_Toc55813072"/>
      <w:bookmarkStart w:id="336" w:name="_Toc55813991"/>
      <w:bookmarkStart w:id="337" w:name="_Toc77165082"/>
      <w:bookmarkStart w:id="338" w:name="_Ref465245613"/>
      <w:bookmarkStart w:id="339" w:name="_Toc467165693"/>
      <w:bookmarkStart w:id="340" w:name="_Toc164844284"/>
      <w:r w:rsidRPr="00E4641A">
        <w:t>Project/Activity specific legislation, policies and industry standards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F43167" w:rsidP="00B03C9E">
      <w:pPr>
        <w:pStyle w:val="ListBullet"/>
      </w:pPr>
      <w:hyperlink r:id="rId37"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1" w:name="_Toc489952707"/>
      <w:bookmarkStart w:id="342" w:name="_Toc496536685"/>
      <w:bookmarkStart w:id="343" w:name="_Toc531277729"/>
      <w:bookmarkStart w:id="344" w:name="_Toc463350780"/>
      <w:bookmarkStart w:id="345" w:name="_Toc467165695"/>
      <w:bookmarkStart w:id="346" w:name="_Toc530073035"/>
      <w:bookmarkStart w:id="347" w:name="_Toc496536686"/>
      <w:bookmarkStart w:id="348" w:name="_Toc531277514"/>
      <w:bookmarkStart w:id="349" w:name="_Toc955324"/>
      <w:bookmarkStart w:id="350" w:name="_Toc52953280"/>
      <w:bookmarkStart w:id="351" w:name="_Toc53049388"/>
      <w:bookmarkStart w:id="352" w:name="_Toc53053010"/>
      <w:bookmarkStart w:id="353" w:name="_Toc53064309"/>
      <w:bookmarkStart w:id="354" w:name="_Toc53146343"/>
      <w:bookmarkStart w:id="355" w:name="_Toc54090112"/>
      <w:bookmarkStart w:id="356" w:name="_Toc55813073"/>
      <w:bookmarkStart w:id="357" w:name="_Toc55813992"/>
      <w:bookmarkStart w:id="358" w:name="_Toc77165083"/>
      <w:bookmarkEnd w:id="338"/>
      <w:bookmarkEnd w:id="339"/>
      <w:bookmarkEnd w:id="341"/>
      <w:bookmarkEnd w:id="342"/>
      <w:bookmarkEnd w:id="343"/>
      <w:bookmarkEnd w:id="344"/>
      <w:bookmarkEnd w:id="345"/>
      <w:bookmarkEnd w:id="346"/>
      <w:r>
        <w:t xml:space="preserve">How </w:t>
      </w:r>
      <w:r w:rsidR="00387369">
        <w:t>we pay the grant</w:t>
      </w:r>
      <w:bookmarkEnd w:id="347"/>
      <w:bookmarkEnd w:id="348"/>
      <w:bookmarkEnd w:id="349"/>
      <w:bookmarkEnd w:id="350"/>
      <w:bookmarkEnd w:id="351"/>
      <w:bookmarkEnd w:id="352"/>
      <w:bookmarkEnd w:id="353"/>
      <w:bookmarkEnd w:id="354"/>
      <w:bookmarkEnd w:id="355"/>
      <w:bookmarkEnd w:id="356"/>
      <w:bookmarkEnd w:id="357"/>
      <w:bookmarkEnd w:id="358"/>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9" w:name="_Toc531277515"/>
      <w:bookmarkStart w:id="360" w:name="_Toc955325"/>
      <w:bookmarkStart w:id="361" w:name="_Toc52953281"/>
      <w:bookmarkStart w:id="362" w:name="_Toc53049389"/>
      <w:bookmarkStart w:id="363" w:name="_Toc53053011"/>
      <w:bookmarkStart w:id="364" w:name="_Toc53064310"/>
      <w:bookmarkStart w:id="365" w:name="_Toc53146344"/>
      <w:bookmarkStart w:id="366" w:name="_Toc54090113"/>
      <w:bookmarkStart w:id="367" w:name="_Toc55813074"/>
      <w:bookmarkStart w:id="368" w:name="_Toc55813993"/>
      <w:bookmarkStart w:id="369" w:name="_Toc77165084"/>
      <w:r>
        <w:t xml:space="preserve">Tax </w:t>
      </w:r>
      <w:r w:rsidR="00D100A1">
        <w:t>o</w:t>
      </w:r>
      <w:r w:rsidRPr="00572C42">
        <w:t>bligations</w:t>
      </w:r>
      <w:bookmarkEnd w:id="359"/>
      <w:bookmarkEnd w:id="360"/>
      <w:bookmarkEnd w:id="361"/>
      <w:bookmarkEnd w:id="362"/>
      <w:bookmarkEnd w:id="363"/>
      <w:bookmarkEnd w:id="364"/>
      <w:bookmarkEnd w:id="365"/>
      <w:bookmarkEnd w:id="366"/>
      <w:bookmarkEnd w:id="367"/>
      <w:bookmarkEnd w:id="368"/>
      <w:bookmarkEnd w:id="369"/>
    </w:p>
    <w:p w14:paraId="191EE12E" w14:textId="77777777" w:rsidR="004875E4" w:rsidRPr="00E162FF" w:rsidRDefault="00170249" w:rsidP="004875E4">
      <w:bookmarkStart w:id="370" w:name="_Toc496536687"/>
      <w:bookmarkEnd w:id="34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191EE12F" w14:textId="77777777"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1" w:name="_Toc531277516"/>
      <w:bookmarkStart w:id="372" w:name="_Toc955326"/>
      <w:bookmarkStart w:id="373" w:name="_Toc52953282"/>
      <w:bookmarkStart w:id="374" w:name="_Toc53049390"/>
      <w:bookmarkStart w:id="375" w:name="_Toc53053012"/>
      <w:bookmarkStart w:id="376" w:name="_Toc53064311"/>
      <w:bookmarkStart w:id="377" w:name="_Toc53146345"/>
      <w:bookmarkStart w:id="378" w:name="_Toc54090114"/>
      <w:bookmarkStart w:id="379" w:name="_Toc55813075"/>
      <w:bookmarkStart w:id="380" w:name="_Toc55813994"/>
      <w:bookmarkStart w:id="381" w:name="_Toc77165085"/>
      <w:r w:rsidRPr="005A61FE">
        <w:t>Announcement of grants</w:t>
      </w:r>
      <w:bookmarkEnd w:id="371"/>
      <w:bookmarkEnd w:id="372"/>
      <w:bookmarkEnd w:id="373"/>
      <w:bookmarkEnd w:id="374"/>
      <w:bookmarkEnd w:id="375"/>
      <w:bookmarkEnd w:id="376"/>
      <w:bookmarkEnd w:id="377"/>
      <w:bookmarkEnd w:id="378"/>
      <w:bookmarkEnd w:id="379"/>
      <w:bookmarkEnd w:id="380"/>
      <w:bookmarkEnd w:id="381"/>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9"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7F5688">
      <w:pPr>
        <w:pStyle w:val="Heading2"/>
      </w:pPr>
      <w:bookmarkStart w:id="382" w:name="_Toc530073040"/>
      <w:bookmarkStart w:id="383" w:name="_Toc531277517"/>
      <w:bookmarkStart w:id="384" w:name="_Toc955327"/>
      <w:bookmarkStart w:id="385" w:name="_Toc52953283"/>
      <w:bookmarkStart w:id="386" w:name="_Toc53049391"/>
      <w:bookmarkStart w:id="387" w:name="_Toc53053013"/>
      <w:bookmarkStart w:id="388" w:name="_Toc53064312"/>
      <w:bookmarkStart w:id="389" w:name="_Toc53146346"/>
      <w:bookmarkStart w:id="390" w:name="_Toc54090115"/>
      <w:bookmarkStart w:id="391" w:name="_Toc55813076"/>
      <w:bookmarkStart w:id="392" w:name="_Toc55813995"/>
      <w:bookmarkStart w:id="393" w:name="_Toc77165086"/>
      <w:bookmarkEnd w:id="382"/>
      <w:r>
        <w:t xml:space="preserve">How we monitor your </w:t>
      </w:r>
      <w:bookmarkEnd w:id="370"/>
      <w:bookmarkEnd w:id="383"/>
      <w:bookmarkEnd w:id="384"/>
      <w:r w:rsidR="00082460">
        <w:t>grant activity</w:t>
      </w:r>
      <w:bookmarkEnd w:id="385"/>
      <w:bookmarkEnd w:id="386"/>
      <w:bookmarkEnd w:id="387"/>
      <w:bookmarkEnd w:id="388"/>
      <w:bookmarkEnd w:id="389"/>
      <w:bookmarkEnd w:id="390"/>
      <w:bookmarkEnd w:id="391"/>
      <w:bookmarkEnd w:id="392"/>
      <w:bookmarkEnd w:id="393"/>
    </w:p>
    <w:p w14:paraId="191EE13A" w14:textId="77777777" w:rsidR="0094135B" w:rsidRDefault="0094135B" w:rsidP="005C3CCB">
      <w:pPr>
        <w:pStyle w:val="Heading3"/>
        <w:ind w:left="851" w:hanging="851"/>
      </w:pPr>
      <w:bookmarkStart w:id="394" w:name="_Toc531277518"/>
      <w:bookmarkStart w:id="395" w:name="_Toc955328"/>
      <w:bookmarkStart w:id="396" w:name="_Toc52953284"/>
      <w:bookmarkStart w:id="397" w:name="_Toc53049392"/>
      <w:bookmarkStart w:id="398" w:name="_Toc53053014"/>
      <w:bookmarkStart w:id="399" w:name="_Toc53064313"/>
      <w:bookmarkStart w:id="400" w:name="_Toc53146347"/>
      <w:bookmarkStart w:id="401" w:name="_Toc54090116"/>
      <w:bookmarkStart w:id="402" w:name="_Toc55813077"/>
      <w:bookmarkStart w:id="403" w:name="_Toc55813996"/>
      <w:bookmarkStart w:id="404" w:name="_Toc77165087"/>
      <w:r>
        <w:t>Keeping us informed</w:t>
      </w:r>
      <w:bookmarkEnd w:id="394"/>
      <w:bookmarkEnd w:id="395"/>
      <w:bookmarkEnd w:id="396"/>
      <w:bookmarkEnd w:id="397"/>
      <w:bookmarkEnd w:id="398"/>
      <w:bookmarkEnd w:id="399"/>
      <w:bookmarkEnd w:id="400"/>
      <w:bookmarkEnd w:id="401"/>
      <w:bookmarkEnd w:id="402"/>
      <w:bookmarkEnd w:id="403"/>
      <w:bookmarkEnd w:id="404"/>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5" w:name="_Toc531277519"/>
      <w:bookmarkStart w:id="406" w:name="_Toc955329"/>
      <w:bookmarkStart w:id="407" w:name="_Toc52953285"/>
      <w:bookmarkStart w:id="408" w:name="_Toc53049393"/>
      <w:bookmarkStart w:id="409" w:name="_Toc53053015"/>
      <w:bookmarkStart w:id="410" w:name="_Toc53064314"/>
      <w:bookmarkStart w:id="411" w:name="_Toc53146348"/>
      <w:bookmarkStart w:id="412" w:name="_Toc54090117"/>
      <w:bookmarkStart w:id="413" w:name="_Toc55813078"/>
      <w:bookmarkStart w:id="414" w:name="_Toc55813997"/>
      <w:bookmarkStart w:id="415" w:name="_Toc77165088"/>
      <w:r w:rsidRPr="005A61FE">
        <w:t>Reporting</w:t>
      </w:r>
      <w:bookmarkEnd w:id="405"/>
      <w:bookmarkEnd w:id="406"/>
      <w:bookmarkEnd w:id="407"/>
      <w:bookmarkEnd w:id="408"/>
      <w:bookmarkEnd w:id="409"/>
      <w:bookmarkEnd w:id="410"/>
      <w:bookmarkEnd w:id="411"/>
      <w:bookmarkEnd w:id="412"/>
      <w:bookmarkEnd w:id="413"/>
      <w:bookmarkEnd w:id="414"/>
      <w:bookmarkEnd w:id="415"/>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w:t>
      </w:r>
      <w:r w:rsidRPr="00CF7A9C">
        <w:lastRenderedPageBreak/>
        <w:t xml:space="preserve">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7F5688">
      <w:pPr>
        <w:pStyle w:val="Heading4"/>
      </w:pPr>
      <w:bookmarkStart w:id="416" w:name="_Toc496536688"/>
      <w:bookmarkStart w:id="417" w:name="_Toc531277520"/>
      <w:bookmarkStart w:id="418" w:name="_Toc955330"/>
      <w:bookmarkStart w:id="419" w:name="_Toc52953286"/>
      <w:bookmarkStart w:id="420" w:name="_Toc53049394"/>
      <w:bookmarkStart w:id="421" w:name="_Toc53053016"/>
      <w:bookmarkStart w:id="422" w:name="_Toc53064315"/>
      <w:bookmarkStart w:id="423" w:name="_Toc53146349"/>
      <w:bookmarkStart w:id="424" w:name="_Toc54090118"/>
      <w:bookmarkStart w:id="425" w:name="_Toc55813079"/>
      <w:bookmarkStart w:id="426" w:name="_Toc55813998"/>
      <w:bookmarkStart w:id="427" w:name="_Toc77165089"/>
      <w:r>
        <w:t>Progress report</w:t>
      </w:r>
      <w:r w:rsidR="00CE056C">
        <w:t>s</w:t>
      </w:r>
      <w:bookmarkEnd w:id="416"/>
      <w:bookmarkEnd w:id="417"/>
      <w:bookmarkEnd w:id="418"/>
      <w:bookmarkEnd w:id="419"/>
      <w:bookmarkEnd w:id="420"/>
      <w:bookmarkEnd w:id="421"/>
      <w:bookmarkEnd w:id="422"/>
      <w:bookmarkEnd w:id="423"/>
      <w:bookmarkEnd w:id="424"/>
      <w:bookmarkEnd w:id="425"/>
      <w:bookmarkEnd w:id="426"/>
      <w:bookmarkEnd w:id="427"/>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8" w:name="_Toc496536689"/>
      <w:bookmarkStart w:id="429" w:name="_Toc531277521"/>
      <w:bookmarkStart w:id="430" w:name="_Toc955331"/>
      <w:bookmarkStart w:id="431" w:name="_Toc52953287"/>
      <w:bookmarkStart w:id="432" w:name="_Toc53049395"/>
      <w:bookmarkStart w:id="433" w:name="_Toc53053017"/>
      <w:bookmarkStart w:id="434" w:name="_Toc53064316"/>
      <w:bookmarkStart w:id="435" w:name="_Toc53146350"/>
      <w:bookmarkStart w:id="436" w:name="_Toc54090119"/>
      <w:bookmarkStart w:id="437" w:name="_Toc55813080"/>
      <w:bookmarkStart w:id="438" w:name="_Toc55813999"/>
      <w:bookmarkStart w:id="439" w:name="_Toc77165090"/>
      <w:r w:rsidRPr="005A61FE">
        <w:t>End of project</w:t>
      </w:r>
      <w:r w:rsidR="006132DF">
        <w:t xml:space="preserve"> report</w:t>
      </w:r>
      <w:bookmarkEnd w:id="428"/>
      <w:bookmarkEnd w:id="429"/>
      <w:bookmarkEnd w:id="430"/>
      <w:bookmarkEnd w:id="431"/>
      <w:bookmarkEnd w:id="432"/>
      <w:bookmarkEnd w:id="433"/>
      <w:bookmarkEnd w:id="434"/>
      <w:bookmarkEnd w:id="435"/>
      <w:bookmarkEnd w:id="436"/>
      <w:bookmarkEnd w:id="437"/>
      <w:bookmarkEnd w:id="438"/>
      <w:bookmarkEnd w:id="439"/>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1A44B2">
      <w:pPr>
        <w:pStyle w:val="Heading4"/>
      </w:pPr>
      <w:bookmarkStart w:id="440" w:name="_Toc77165091"/>
      <w:bookmarkStart w:id="441" w:name="_Toc496536690"/>
      <w:bookmarkStart w:id="442" w:name="_Toc531277522"/>
      <w:bookmarkStart w:id="443" w:name="_Toc955332"/>
      <w:bookmarkStart w:id="444" w:name="_Toc52953288"/>
      <w:bookmarkStart w:id="445" w:name="_Toc53049396"/>
      <w:bookmarkStart w:id="446" w:name="_Toc53053018"/>
      <w:bookmarkStart w:id="447" w:name="_Toc53064317"/>
      <w:bookmarkStart w:id="448" w:name="_Toc53146351"/>
      <w:bookmarkStart w:id="449" w:name="_Toc54090120"/>
      <w:bookmarkStart w:id="450" w:name="_Toc55813081"/>
      <w:bookmarkStart w:id="451" w:name="_Toc55814000"/>
      <w:r>
        <w:t>Post project report</w:t>
      </w:r>
      <w:bookmarkEnd w:id="440"/>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7F5688">
      <w:pPr>
        <w:pStyle w:val="Heading4"/>
      </w:pPr>
      <w:bookmarkStart w:id="452" w:name="_Toc77165092"/>
      <w:r>
        <w:t>Ad</w:t>
      </w:r>
      <w:r w:rsidR="007F013E">
        <w:t>-</w:t>
      </w:r>
      <w:r>
        <w:t>hoc report</w:t>
      </w:r>
      <w:bookmarkEnd w:id="441"/>
      <w:bookmarkEnd w:id="442"/>
      <w:bookmarkEnd w:id="443"/>
      <w:r w:rsidR="009E1D7E">
        <w:t>s</w:t>
      </w:r>
      <w:bookmarkEnd w:id="444"/>
      <w:bookmarkEnd w:id="445"/>
      <w:bookmarkEnd w:id="446"/>
      <w:bookmarkEnd w:id="447"/>
      <w:bookmarkEnd w:id="448"/>
      <w:bookmarkEnd w:id="449"/>
      <w:bookmarkEnd w:id="450"/>
      <w:bookmarkEnd w:id="451"/>
      <w:bookmarkEnd w:id="452"/>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3" w:name="_Toc531277523"/>
      <w:bookmarkStart w:id="454" w:name="_Toc496536691"/>
      <w:bookmarkStart w:id="455" w:name="_Toc955333"/>
      <w:bookmarkStart w:id="456" w:name="_Toc52953289"/>
      <w:bookmarkStart w:id="457" w:name="_Toc53049397"/>
      <w:bookmarkStart w:id="458" w:name="_Toc53053019"/>
      <w:bookmarkStart w:id="459" w:name="_Toc53064318"/>
      <w:bookmarkStart w:id="460" w:name="_Toc53146352"/>
      <w:bookmarkStart w:id="461" w:name="_Toc54090121"/>
      <w:bookmarkStart w:id="462" w:name="_Toc55813082"/>
      <w:bookmarkStart w:id="463" w:name="_Toc55814001"/>
      <w:bookmarkStart w:id="464" w:name="_Toc77165093"/>
      <w:r>
        <w:t xml:space="preserve">Independent </w:t>
      </w:r>
      <w:r w:rsidRPr="005A61FE">
        <w:t>audit</w:t>
      </w:r>
      <w:r w:rsidR="00985817" w:rsidRPr="005A61FE">
        <w:t>s</w:t>
      </w:r>
      <w:bookmarkEnd w:id="453"/>
      <w:bookmarkEnd w:id="454"/>
      <w:bookmarkEnd w:id="455"/>
      <w:bookmarkEnd w:id="456"/>
      <w:bookmarkEnd w:id="457"/>
      <w:bookmarkEnd w:id="458"/>
      <w:bookmarkEnd w:id="459"/>
      <w:bookmarkEnd w:id="460"/>
      <w:bookmarkEnd w:id="461"/>
      <w:bookmarkEnd w:id="462"/>
      <w:bookmarkEnd w:id="463"/>
      <w:bookmarkEnd w:id="464"/>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statement </w:t>
      </w:r>
      <w:r w:rsidR="00A5354C">
        <w:lastRenderedPageBreak/>
        <w:t>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5" w:name="_Toc496536692"/>
      <w:bookmarkStart w:id="466" w:name="_Toc531277524"/>
      <w:bookmarkStart w:id="467" w:name="_Toc955334"/>
      <w:bookmarkStart w:id="468" w:name="_Toc52953290"/>
      <w:bookmarkStart w:id="469" w:name="_Toc53049398"/>
      <w:bookmarkStart w:id="470" w:name="_Toc53053020"/>
      <w:bookmarkStart w:id="471" w:name="_Toc53064319"/>
      <w:bookmarkStart w:id="472" w:name="_Toc53146353"/>
      <w:bookmarkStart w:id="473" w:name="_Toc54090122"/>
      <w:bookmarkStart w:id="474" w:name="_Toc55813083"/>
      <w:bookmarkStart w:id="475" w:name="_Toc55814002"/>
      <w:bookmarkStart w:id="476" w:name="_Toc77165094"/>
      <w:bookmarkStart w:id="477" w:name="_Toc383003276"/>
      <w:r>
        <w:t>Compliance visits</w:t>
      </w:r>
      <w:bookmarkEnd w:id="465"/>
      <w:bookmarkEnd w:id="466"/>
      <w:bookmarkEnd w:id="467"/>
      <w:bookmarkEnd w:id="468"/>
      <w:bookmarkEnd w:id="469"/>
      <w:bookmarkEnd w:id="470"/>
      <w:bookmarkEnd w:id="471"/>
      <w:bookmarkEnd w:id="472"/>
      <w:bookmarkEnd w:id="473"/>
      <w:bookmarkEnd w:id="474"/>
      <w:bookmarkEnd w:id="475"/>
      <w:bookmarkEnd w:id="476"/>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8" w:name="_Toc496536693"/>
      <w:bookmarkStart w:id="479" w:name="_Toc531277525"/>
      <w:bookmarkStart w:id="480" w:name="_Toc955335"/>
      <w:bookmarkStart w:id="481" w:name="_Toc52953291"/>
      <w:bookmarkStart w:id="482" w:name="_Toc53049399"/>
      <w:bookmarkStart w:id="483" w:name="_Toc53053021"/>
      <w:bookmarkStart w:id="484" w:name="_Toc53064320"/>
      <w:bookmarkStart w:id="485" w:name="_Toc53146354"/>
      <w:bookmarkStart w:id="486" w:name="_Toc54090123"/>
      <w:bookmarkStart w:id="487" w:name="_Toc55813084"/>
      <w:bookmarkStart w:id="488" w:name="_Toc55814003"/>
      <w:bookmarkStart w:id="489" w:name="_Toc77165095"/>
      <w:r>
        <w:t>Grant agreement</w:t>
      </w:r>
      <w:r w:rsidRPr="009E7919">
        <w:t xml:space="preserve"> </w:t>
      </w:r>
      <w:r w:rsidR="00BF0BFC" w:rsidRPr="009E7919">
        <w:t>v</w:t>
      </w:r>
      <w:r w:rsidR="00CE1A20" w:rsidRPr="009E7919">
        <w:t>ariations</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5C3CCB">
      <w:pPr>
        <w:pStyle w:val="Heading3"/>
        <w:ind w:left="851" w:hanging="851"/>
      </w:pPr>
      <w:bookmarkStart w:id="490" w:name="_Toc496536695"/>
      <w:bookmarkStart w:id="491" w:name="_Toc531277526"/>
      <w:bookmarkStart w:id="492" w:name="_Toc955336"/>
      <w:bookmarkStart w:id="493" w:name="_Toc52953292"/>
      <w:bookmarkStart w:id="494" w:name="_Toc53049400"/>
      <w:bookmarkStart w:id="495" w:name="_Toc53053022"/>
      <w:bookmarkStart w:id="496" w:name="_Toc53064321"/>
      <w:bookmarkStart w:id="497" w:name="_Toc53146355"/>
      <w:bookmarkStart w:id="498" w:name="_Toc54090124"/>
      <w:bookmarkStart w:id="499" w:name="_Toc55813085"/>
      <w:bookmarkStart w:id="500" w:name="_Toc55814004"/>
      <w:bookmarkStart w:id="501" w:name="_Toc77165096"/>
      <w:r>
        <w:t>Evaluation</w:t>
      </w:r>
      <w:bookmarkEnd w:id="490"/>
      <w:bookmarkEnd w:id="491"/>
      <w:bookmarkEnd w:id="492"/>
      <w:bookmarkEnd w:id="493"/>
      <w:bookmarkEnd w:id="494"/>
      <w:bookmarkEnd w:id="495"/>
      <w:bookmarkEnd w:id="496"/>
      <w:bookmarkEnd w:id="497"/>
      <w:bookmarkEnd w:id="498"/>
      <w:bookmarkEnd w:id="499"/>
      <w:bookmarkEnd w:id="500"/>
      <w:bookmarkEnd w:id="501"/>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2" w:name="_Toc496536697"/>
      <w:bookmarkStart w:id="503" w:name="_Toc531277527"/>
      <w:bookmarkStart w:id="504" w:name="_Toc955337"/>
      <w:bookmarkStart w:id="505" w:name="_Toc52953293"/>
      <w:bookmarkStart w:id="506" w:name="_Toc53049401"/>
      <w:bookmarkStart w:id="507" w:name="_Toc53053023"/>
      <w:bookmarkStart w:id="508" w:name="_Toc53064322"/>
      <w:bookmarkStart w:id="509" w:name="_Toc53146356"/>
      <w:bookmarkStart w:id="510" w:name="_Toc54090125"/>
      <w:bookmarkStart w:id="511" w:name="_Toc55813086"/>
      <w:bookmarkStart w:id="512" w:name="_Toc55814005"/>
      <w:bookmarkStart w:id="513" w:name="_Toc77165097"/>
      <w:bookmarkStart w:id="514" w:name="_Toc164844290"/>
      <w:bookmarkStart w:id="515" w:name="_Toc383003280"/>
      <w:r>
        <w:t>Grant acknowledgement</w:t>
      </w:r>
      <w:bookmarkEnd w:id="502"/>
      <w:bookmarkEnd w:id="503"/>
      <w:bookmarkEnd w:id="504"/>
      <w:bookmarkEnd w:id="505"/>
      <w:bookmarkEnd w:id="506"/>
      <w:bookmarkEnd w:id="507"/>
      <w:bookmarkEnd w:id="508"/>
      <w:bookmarkEnd w:id="509"/>
      <w:bookmarkEnd w:id="510"/>
      <w:bookmarkEnd w:id="511"/>
      <w:bookmarkEnd w:id="512"/>
      <w:bookmarkEnd w:id="513"/>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6" w:name="_Toc531277528"/>
      <w:bookmarkStart w:id="517" w:name="_Toc955338"/>
      <w:bookmarkStart w:id="518" w:name="_Toc52953294"/>
      <w:bookmarkStart w:id="519" w:name="_Toc53049402"/>
      <w:bookmarkStart w:id="520" w:name="_Toc53053024"/>
      <w:bookmarkStart w:id="521" w:name="_Toc53064323"/>
      <w:bookmarkStart w:id="522" w:name="_Toc53146357"/>
      <w:bookmarkStart w:id="523" w:name="_Toc54090126"/>
      <w:bookmarkStart w:id="524" w:name="_Toc55813087"/>
      <w:bookmarkStart w:id="525" w:name="_Toc55814006"/>
      <w:bookmarkStart w:id="526" w:name="_Toc77165098"/>
      <w:bookmarkStart w:id="527" w:name="_Toc496536698"/>
      <w:r w:rsidRPr="005A61FE">
        <w:lastRenderedPageBreak/>
        <w:t>Probity</w:t>
      </w:r>
      <w:bookmarkEnd w:id="516"/>
      <w:bookmarkEnd w:id="517"/>
      <w:bookmarkEnd w:id="518"/>
      <w:bookmarkEnd w:id="519"/>
      <w:bookmarkEnd w:id="520"/>
      <w:bookmarkEnd w:id="521"/>
      <w:bookmarkEnd w:id="522"/>
      <w:bookmarkEnd w:id="523"/>
      <w:bookmarkEnd w:id="524"/>
      <w:bookmarkEnd w:id="525"/>
      <w:bookmarkEnd w:id="526"/>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8" w:name="_Toc531277529"/>
      <w:bookmarkStart w:id="529" w:name="_Toc955339"/>
      <w:bookmarkStart w:id="530" w:name="_Toc52953295"/>
      <w:bookmarkStart w:id="531" w:name="_Toc53049403"/>
      <w:bookmarkStart w:id="532" w:name="_Toc53053025"/>
      <w:bookmarkStart w:id="533" w:name="_Toc53064324"/>
      <w:bookmarkStart w:id="534" w:name="_Toc53146359"/>
      <w:bookmarkStart w:id="535" w:name="_Toc54090127"/>
      <w:bookmarkStart w:id="536" w:name="_Toc55813088"/>
      <w:bookmarkStart w:id="537" w:name="_Toc55814007"/>
      <w:bookmarkStart w:id="538" w:name="_Toc77165099"/>
      <w:r>
        <w:t>Conflicts of interest</w:t>
      </w:r>
      <w:bookmarkEnd w:id="527"/>
      <w:bookmarkEnd w:id="528"/>
      <w:bookmarkEnd w:id="529"/>
      <w:bookmarkEnd w:id="530"/>
      <w:bookmarkEnd w:id="531"/>
      <w:bookmarkEnd w:id="532"/>
      <w:bookmarkEnd w:id="533"/>
      <w:bookmarkEnd w:id="534"/>
      <w:bookmarkEnd w:id="535"/>
      <w:bookmarkEnd w:id="536"/>
      <w:bookmarkEnd w:id="537"/>
      <w:bookmarkEnd w:id="538"/>
    </w:p>
    <w:p w14:paraId="191EE17F" w14:textId="77777777" w:rsidR="002662F6" w:rsidRDefault="000B5218" w:rsidP="00007E4B">
      <w:bookmarkStart w:id="539" w:name="_Toc496536699"/>
      <w:r w:rsidRPr="005A61FE">
        <w:t>Any conflicts</w:t>
      </w:r>
      <w:r w:rsidR="002662F6">
        <w:t xml:space="preserve"> of interest </w:t>
      </w:r>
      <w:bookmarkEnd w:id="539"/>
      <w:r w:rsidR="002662F6">
        <w:t xml:space="preserve">could affect the performance of </w:t>
      </w:r>
      <w:r w:rsidRPr="005A61FE">
        <w:t xml:space="preserve">the grant opportunity or program. There may be a </w:t>
      </w:r>
      <w:hyperlink r:id="rId4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2"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40" w:name="_Toc530073069"/>
      <w:bookmarkStart w:id="541" w:name="_Toc530073070"/>
      <w:bookmarkStart w:id="542" w:name="_Toc530073074"/>
      <w:bookmarkStart w:id="543" w:name="_Toc530073075"/>
      <w:bookmarkStart w:id="544" w:name="_Toc530073076"/>
      <w:bookmarkStart w:id="545" w:name="_Toc530073078"/>
      <w:bookmarkStart w:id="546" w:name="_Toc530073079"/>
      <w:bookmarkStart w:id="547" w:name="_Toc530073080"/>
      <w:bookmarkStart w:id="548" w:name="_Toc496536701"/>
      <w:bookmarkStart w:id="549" w:name="_Toc531277530"/>
      <w:bookmarkStart w:id="550" w:name="_Toc955340"/>
      <w:bookmarkEnd w:id="514"/>
      <w:bookmarkEnd w:id="515"/>
      <w:bookmarkEnd w:id="540"/>
      <w:bookmarkEnd w:id="541"/>
      <w:bookmarkEnd w:id="542"/>
      <w:bookmarkEnd w:id="543"/>
      <w:bookmarkEnd w:id="544"/>
      <w:bookmarkEnd w:id="545"/>
      <w:bookmarkEnd w:id="546"/>
      <w:bookmarkEnd w:id="547"/>
      <w:r w:rsidRPr="005A61FE">
        <w:t xml:space="preserve">We publish our </w:t>
      </w:r>
      <w:hyperlink r:id="rId43"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1" w:name="_Toc52953296"/>
      <w:bookmarkStart w:id="552" w:name="_Toc53049404"/>
      <w:bookmarkStart w:id="553" w:name="_Toc53053026"/>
      <w:bookmarkStart w:id="554" w:name="_Toc53064325"/>
      <w:bookmarkStart w:id="555" w:name="_Toc53146360"/>
      <w:bookmarkStart w:id="556" w:name="_Toc54090128"/>
      <w:bookmarkStart w:id="557" w:name="_Toc55813089"/>
      <w:bookmarkStart w:id="558" w:name="_Toc55814008"/>
      <w:bookmarkStart w:id="559" w:name="_Toc77165100"/>
      <w:r w:rsidRPr="00E62F87">
        <w:t>How we use your information</w:t>
      </w:r>
      <w:bookmarkEnd w:id="548"/>
      <w:bookmarkEnd w:id="549"/>
      <w:bookmarkEnd w:id="550"/>
      <w:bookmarkEnd w:id="551"/>
      <w:bookmarkEnd w:id="552"/>
      <w:bookmarkEnd w:id="553"/>
      <w:bookmarkEnd w:id="554"/>
      <w:bookmarkEnd w:id="555"/>
      <w:bookmarkEnd w:id="556"/>
      <w:bookmarkEnd w:id="557"/>
      <w:bookmarkEnd w:id="558"/>
      <w:bookmarkEnd w:id="559"/>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F43167">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F43167">
        <w:t>13.2.3</w:t>
      </w:r>
      <w:r w:rsidR="00057E29">
        <w:fldChar w:fldCharType="end"/>
      </w:r>
      <w:r w:rsidR="0079092D">
        <w:t>,</w:t>
      </w:r>
    </w:p>
    <w:p w14:paraId="191EE18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7F5688">
      <w:pPr>
        <w:pStyle w:val="Heading4"/>
      </w:pPr>
      <w:bookmarkStart w:id="560" w:name="_Ref468133654"/>
      <w:bookmarkStart w:id="561" w:name="_Toc496536702"/>
      <w:bookmarkStart w:id="562" w:name="_Toc531277531"/>
      <w:bookmarkStart w:id="563" w:name="_Toc955341"/>
      <w:bookmarkStart w:id="564" w:name="_Toc52953297"/>
      <w:bookmarkStart w:id="565" w:name="_Toc53049405"/>
      <w:bookmarkStart w:id="566" w:name="_Toc53053027"/>
      <w:bookmarkStart w:id="567" w:name="_Toc53064326"/>
      <w:bookmarkStart w:id="568" w:name="_Toc53146361"/>
      <w:bookmarkStart w:id="569" w:name="_Toc54090129"/>
      <w:bookmarkStart w:id="570" w:name="_Toc55813090"/>
      <w:bookmarkStart w:id="571" w:name="_Toc55814009"/>
      <w:bookmarkStart w:id="572" w:name="_Toc77165101"/>
      <w:r w:rsidRPr="00E62F87">
        <w:lastRenderedPageBreak/>
        <w:t xml:space="preserve">How we </w:t>
      </w:r>
      <w:r w:rsidR="00BB37A8">
        <w:t>handle</w:t>
      </w:r>
      <w:r w:rsidRPr="00E62F87">
        <w:t xml:space="preserve"> your </w:t>
      </w:r>
      <w:r w:rsidR="00BB37A8">
        <w:t xml:space="preserve">confidential </w:t>
      </w:r>
      <w:r w:rsidRPr="00E62F87">
        <w:t>information</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3" w:name="_Toc496536703"/>
      <w:bookmarkStart w:id="574" w:name="_Toc531277532"/>
      <w:bookmarkStart w:id="575" w:name="_Toc955342"/>
      <w:bookmarkStart w:id="576" w:name="_Toc52953298"/>
      <w:bookmarkStart w:id="577" w:name="_Toc53049406"/>
      <w:bookmarkStart w:id="578" w:name="_Toc53053028"/>
      <w:bookmarkStart w:id="579" w:name="_Toc53064327"/>
      <w:bookmarkStart w:id="580" w:name="_Toc53146362"/>
      <w:bookmarkStart w:id="581" w:name="_Toc54090130"/>
      <w:bookmarkStart w:id="582" w:name="_Toc55813091"/>
      <w:bookmarkStart w:id="583" w:name="_Toc55814010"/>
      <w:bookmarkStart w:id="584" w:name="_Toc77165102"/>
      <w:r w:rsidRPr="00E62F87">
        <w:t xml:space="preserve">When we may </w:t>
      </w:r>
      <w:r w:rsidR="00C43A43" w:rsidRPr="00E62F87">
        <w:t xml:space="preserve">disclose </w:t>
      </w:r>
      <w:r w:rsidRPr="00E62F87">
        <w:t>confidential information</w:t>
      </w:r>
      <w:bookmarkEnd w:id="573"/>
      <w:bookmarkEnd w:id="574"/>
      <w:bookmarkEnd w:id="575"/>
      <w:bookmarkEnd w:id="576"/>
      <w:bookmarkEnd w:id="577"/>
      <w:bookmarkEnd w:id="578"/>
      <w:bookmarkEnd w:id="579"/>
      <w:bookmarkEnd w:id="580"/>
      <w:bookmarkEnd w:id="581"/>
      <w:bookmarkEnd w:id="582"/>
      <w:bookmarkEnd w:id="583"/>
      <w:bookmarkEnd w:id="584"/>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7F5688">
      <w:pPr>
        <w:pStyle w:val="Heading4"/>
      </w:pPr>
      <w:bookmarkStart w:id="585" w:name="_Ref468133671"/>
      <w:bookmarkStart w:id="586" w:name="_Toc496536704"/>
      <w:bookmarkStart w:id="587" w:name="_Toc531277533"/>
      <w:bookmarkStart w:id="588" w:name="_Toc955343"/>
      <w:bookmarkStart w:id="589" w:name="_Toc52953299"/>
      <w:bookmarkStart w:id="590" w:name="_Toc53049407"/>
      <w:bookmarkStart w:id="591" w:name="_Toc53053029"/>
      <w:bookmarkStart w:id="592" w:name="_Toc53064328"/>
      <w:bookmarkStart w:id="593" w:name="_Toc53146363"/>
      <w:bookmarkStart w:id="594" w:name="_Toc54090131"/>
      <w:bookmarkStart w:id="595" w:name="_Toc55813092"/>
      <w:bookmarkStart w:id="596" w:name="_Toc55814011"/>
      <w:bookmarkStart w:id="597" w:name="_Toc77165103"/>
      <w:r w:rsidRPr="00E62F87">
        <w:t>How we use your personal information</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t xml:space="preserve">You may </w:t>
      </w:r>
      <w:r w:rsidR="004B44EC" w:rsidRPr="00E62F87">
        <w:t xml:space="preserve">read our </w:t>
      </w:r>
      <w:hyperlink r:id="rId44"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lastRenderedPageBreak/>
        <w:t>how you can access and correct your personal information.</w:t>
      </w:r>
    </w:p>
    <w:p w14:paraId="191EE1AF" w14:textId="77777777" w:rsidR="00082C2C" w:rsidRDefault="00082C2C" w:rsidP="007F5688">
      <w:pPr>
        <w:pStyle w:val="Heading4"/>
      </w:pPr>
      <w:bookmarkStart w:id="598" w:name="_Toc496536705"/>
      <w:bookmarkStart w:id="599" w:name="_Toc489952724"/>
      <w:bookmarkStart w:id="600" w:name="_Toc496536706"/>
      <w:bookmarkStart w:id="601" w:name="_Toc531277534"/>
      <w:bookmarkStart w:id="602" w:name="_Toc955344"/>
      <w:bookmarkStart w:id="603" w:name="_Toc52953300"/>
      <w:bookmarkStart w:id="604" w:name="_Toc53049408"/>
      <w:bookmarkStart w:id="605" w:name="_Toc53053030"/>
      <w:bookmarkStart w:id="606" w:name="_Toc53064329"/>
      <w:bookmarkStart w:id="607" w:name="_Toc53146364"/>
      <w:bookmarkStart w:id="608" w:name="_Toc54090132"/>
      <w:bookmarkStart w:id="609" w:name="_Toc55813093"/>
      <w:bookmarkStart w:id="610" w:name="_Toc55814012"/>
      <w:bookmarkStart w:id="611" w:name="_Toc77165104"/>
      <w:bookmarkEnd w:id="598"/>
      <w:r>
        <w:t>Freedom of information</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2" w:name="_Toc54090133"/>
      <w:bookmarkStart w:id="613" w:name="_Toc55813094"/>
      <w:bookmarkStart w:id="614" w:name="_Toc55814013"/>
      <w:bookmarkStart w:id="615" w:name="_Toc77165105"/>
      <w:r>
        <w:t>National Security</w:t>
      </w:r>
      <w:bookmarkEnd w:id="612"/>
      <w:bookmarkEnd w:id="613"/>
      <w:bookmarkEnd w:id="614"/>
      <w:bookmarkEnd w:id="615"/>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6" w:name="_Toc55813095"/>
      <w:bookmarkStart w:id="617" w:name="_Toc55814014"/>
      <w:bookmarkStart w:id="618" w:name="_Toc77165106"/>
      <w:r>
        <w:t>Disclosure of financial penalties</w:t>
      </w:r>
      <w:bookmarkEnd w:id="616"/>
      <w:bookmarkEnd w:id="617"/>
      <w:bookmarkEnd w:id="618"/>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9" w:name="_Toc496536707"/>
      <w:bookmarkStart w:id="620" w:name="_Toc531277535"/>
      <w:bookmarkStart w:id="621" w:name="_Toc955345"/>
      <w:bookmarkStart w:id="622" w:name="_Toc52953301"/>
      <w:bookmarkStart w:id="623" w:name="_Toc53049409"/>
      <w:bookmarkStart w:id="624" w:name="_Toc53053031"/>
      <w:bookmarkStart w:id="625" w:name="_Toc53064330"/>
      <w:bookmarkStart w:id="626" w:name="_Toc53146365"/>
      <w:bookmarkStart w:id="627" w:name="_Toc54090135"/>
      <w:bookmarkStart w:id="628" w:name="_Toc55813096"/>
      <w:bookmarkStart w:id="629" w:name="_Toc55814015"/>
      <w:bookmarkStart w:id="630" w:name="_Toc77165107"/>
      <w:r>
        <w:t>Enquiries and f</w:t>
      </w:r>
      <w:r w:rsidR="001956C5" w:rsidRPr="00E63F2A">
        <w:t>eedback</w:t>
      </w:r>
      <w:bookmarkEnd w:id="619"/>
      <w:bookmarkEnd w:id="620"/>
      <w:bookmarkEnd w:id="621"/>
      <w:bookmarkEnd w:id="622"/>
      <w:bookmarkEnd w:id="623"/>
      <w:bookmarkEnd w:id="624"/>
      <w:bookmarkEnd w:id="625"/>
      <w:bookmarkEnd w:id="626"/>
      <w:bookmarkEnd w:id="627"/>
      <w:bookmarkEnd w:id="628"/>
      <w:bookmarkEnd w:id="629"/>
      <w:bookmarkEnd w:id="630"/>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5" w:history="1">
        <w:r w:rsidRPr="005A61FE">
          <w:rPr>
            <w:rStyle w:val="Hyperlink"/>
          </w:rPr>
          <w:t>web chat</w:t>
        </w:r>
      </w:hyperlink>
      <w:r>
        <w:t xml:space="preserve"> or</w:t>
      </w:r>
      <w:r w:rsidR="008863EB">
        <w:t xml:space="preserve"> through</w:t>
      </w:r>
      <w:r>
        <w:t xml:space="preserve"> our </w:t>
      </w:r>
      <w:hyperlink r:id="rId46"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lastRenderedPageBreak/>
        <w:t>You can also</w:t>
      </w:r>
      <w:r w:rsidR="001956C5" w:rsidRPr="00E162FF">
        <w:t xml:space="preserve"> contact the </w:t>
      </w:r>
      <w:hyperlink r:id="rId49"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1" w:name="_Ref17466953"/>
      <w:bookmarkStart w:id="632" w:name="_Toc52953302"/>
      <w:bookmarkStart w:id="633" w:name="_Toc53049410"/>
      <w:bookmarkStart w:id="634" w:name="_Toc53053032"/>
      <w:bookmarkStart w:id="635" w:name="_Toc53064331"/>
      <w:bookmarkStart w:id="636" w:name="_Toc53146366"/>
      <w:bookmarkStart w:id="637" w:name="_Toc54090136"/>
      <w:bookmarkStart w:id="638" w:name="_Toc55813097"/>
      <w:bookmarkStart w:id="639" w:name="_Toc55814016"/>
      <w:bookmarkStart w:id="640" w:name="_Toc77165108"/>
      <w:r>
        <w:t>Glossary</w:t>
      </w:r>
      <w:bookmarkEnd w:id="631"/>
      <w:bookmarkEnd w:id="632"/>
      <w:bookmarkEnd w:id="633"/>
      <w:bookmarkEnd w:id="634"/>
      <w:bookmarkEnd w:id="635"/>
      <w:bookmarkEnd w:id="636"/>
      <w:bookmarkEnd w:id="637"/>
      <w:bookmarkEnd w:id="638"/>
      <w:bookmarkEnd w:id="639"/>
      <w:bookmarkEnd w:id="64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F43167">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F43167">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F43167" w:rsidP="009564E7">
            <w:hyperlink r:id="rId50"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lastRenderedPageBreak/>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t>Minister</w:t>
            </w:r>
          </w:p>
        </w:tc>
        <w:tc>
          <w:tcPr>
            <w:tcW w:w="3157" w:type="pct"/>
          </w:tcPr>
          <w:p w14:paraId="191EE1FA" w14:textId="6F1B1A0B" w:rsidR="00975F29" w:rsidRPr="006C4678" w:rsidRDefault="00C60E0F" w:rsidP="00E4641A">
            <w:r w:rsidRPr="006C4678">
              <w:t>The</w:t>
            </w:r>
            <w:r w:rsidR="004A16B4">
              <w:t xml:space="preserve"> Commonwealth</w:t>
            </w:r>
            <w:r w:rsidRPr="006C4678">
              <w:t xml:space="preserve"> </w:t>
            </w:r>
            <w:r w:rsidR="00E663FF">
              <w:rPr>
                <w:rFonts w:cs="Arial"/>
                <w:color w:val="333333"/>
                <w:shd w:val="clear" w:color="auto" w:fill="FFFFFF"/>
              </w:rPr>
              <w:t>Minister for Industry, Energy and Emissions Reduction</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977FA4">
            <w:pPr>
              <w:pStyle w:val="ListParagraph"/>
              <w:numPr>
                <w:ilvl w:val="7"/>
                <w:numId w:val="10"/>
              </w:numPr>
              <w:ind w:left="720" w:hanging="382"/>
            </w:pPr>
            <w:r>
              <w:t>whether the information or opinion is true or not; and</w:t>
            </w:r>
          </w:p>
          <w:p w14:paraId="191EE200" w14:textId="77777777" w:rsidR="00C60E0F" w:rsidRPr="006C4678" w:rsidRDefault="00680B92" w:rsidP="00977FA4">
            <w:pPr>
              <w:pStyle w:val="ListParagraph"/>
              <w:numPr>
                <w:ilvl w:val="7"/>
                <w:numId w:val="10"/>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3B9955BB" w:rsidR="00F95C1B" w:rsidRPr="006C4678" w:rsidRDefault="00F95C1B" w:rsidP="000111F5">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977FA4">
      <w:pPr>
        <w:pStyle w:val="Heading2Appendix"/>
        <w:numPr>
          <w:ilvl w:val="0"/>
          <w:numId w:val="14"/>
        </w:numPr>
        <w:ind w:left="360"/>
      </w:pPr>
      <w:bookmarkStart w:id="641" w:name="_Toc496536709"/>
      <w:bookmarkStart w:id="642" w:name="_Toc531277537"/>
      <w:bookmarkStart w:id="643" w:name="_Toc955347"/>
      <w:bookmarkStart w:id="644" w:name="_Toc52953303"/>
      <w:bookmarkStart w:id="645" w:name="_Toc53049411"/>
      <w:bookmarkStart w:id="646" w:name="_Toc53053033"/>
      <w:bookmarkStart w:id="647" w:name="_Toc53064332"/>
      <w:bookmarkStart w:id="648" w:name="_Toc53146367"/>
      <w:bookmarkStart w:id="649" w:name="_Toc54090137"/>
      <w:bookmarkStart w:id="650" w:name="_Toc55813098"/>
      <w:bookmarkStart w:id="651" w:name="_Toc55814017"/>
      <w:bookmarkStart w:id="652" w:name="_Toc77165109"/>
      <w:r>
        <w:lastRenderedPageBreak/>
        <w:t>Eligible expenditure</w:t>
      </w:r>
      <w:bookmarkEnd w:id="641"/>
      <w:bookmarkEnd w:id="642"/>
      <w:bookmarkEnd w:id="643"/>
      <w:bookmarkEnd w:id="644"/>
      <w:bookmarkEnd w:id="645"/>
      <w:bookmarkEnd w:id="646"/>
      <w:bookmarkEnd w:id="647"/>
      <w:bookmarkEnd w:id="648"/>
      <w:bookmarkEnd w:id="649"/>
      <w:bookmarkEnd w:id="650"/>
      <w:bookmarkEnd w:id="651"/>
      <w:bookmarkEnd w:id="652"/>
    </w:p>
    <w:p w14:paraId="191EE211" w14:textId="0F47B26A"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1" w:anchor="recycling-and-clean-energy"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4F1CB8">
      <w:pPr>
        <w:pStyle w:val="Heading3Appendix"/>
      </w:pPr>
      <w:bookmarkStart w:id="653" w:name="_Toc496536710"/>
      <w:bookmarkStart w:id="654" w:name="_Toc531277538"/>
      <w:bookmarkStart w:id="655" w:name="_Toc955348"/>
      <w:bookmarkStart w:id="656" w:name="_Toc51929384"/>
      <w:bookmarkStart w:id="657" w:name="_Toc52953304"/>
      <w:bookmarkStart w:id="658" w:name="_Toc53049412"/>
      <w:bookmarkStart w:id="659" w:name="_Toc53053034"/>
      <w:bookmarkStart w:id="660" w:name="_Toc53064333"/>
      <w:bookmarkStart w:id="661" w:name="_Toc53146368"/>
      <w:bookmarkStart w:id="662" w:name="_Toc54090138"/>
      <w:bookmarkStart w:id="663" w:name="_Toc55813099"/>
      <w:bookmarkStart w:id="664" w:name="_Toc55814018"/>
      <w:bookmarkStart w:id="665" w:name="_Toc77165110"/>
      <w:r w:rsidRPr="006F6212">
        <w:t>How we verify eligible expenditure</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6" w:name="_Toc496536711"/>
      <w:bookmarkStart w:id="667" w:name="_Toc531277539"/>
      <w:bookmarkStart w:id="668" w:name="_Toc955349"/>
      <w:bookmarkStart w:id="669" w:name="_Toc51929385"/>
      <w:bookmarkStart w:id="670" w:name="_Toc52953305"/>
      <w:bookmarkStart w:id="671" w:name="_Toc53053035"/>
      <w:bookmarkStart w:id="672" w:name="_Toc53064334"/>
      <w:bookmarkStart w:id="673" w:name="_Toc53146369"/>
      <w:bookmarkStart w:id="674" w:name="_Toc54090139"/>
      <w:bookmarkStart w:id="675" w:name="_Toc55813100"/>
      <w:bookmarkStart w:id="676" w:name="_Toc55814019"/>
      <w:bookmarkStart w:id="677" w:name="_Toc77165111"/>
      <w:bookmarkStart w:id="678" w:name="_Toc53049413"/>
      <w:r w:rsidRPr="006F6212">
        <w:t>Plant and equipment expenditure</w:t>
      </w:r>
      <w:bookmarkEnd w:id="666"/>
      <w:bookmarkEnd w:id="667"/>
      <w:bookmarkEnd w:id="668"/>
      <w:bookmarkEnd w:id="669"/>
      <w:bookmarkEnd w:id="670"/>
      <w:bookmarkEnd w:id="671"/>
      <w:bookmarkEnd w:id="672"/>
      <w:bookmarkEnd w:id="673"/>
      <w:bookmarkEnd w:id="674"/>
      <w:bookmarkEnd w:id="675"/>
      <w:bookmarkEnd w:id="676"/>
      <w:bookmarkEnd w:id="677"/>
    </w:p>
    <w:bookmarkEnd w:id="678"/>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lastRenderedPageBreak/>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9" w:name="_Toc496536718"/>
      <w:bookmarkStart w:id="680" w:name="_Toc531277546"/>
      <w:bookmarkStart w:id="681" w:name="_Toc955356"/>
      <w:bookmarkStart w:id="682" w:name="_Toc51929391"/>
      <w:bookmarkStart w:id="683" w:name="_Toc52953306"/>
      <w:bookmarkStart w:id="684" w:name="_Toc53049414"/>
      <w:bookmarkStart w:id="685" w:name="_Toc53053036"/>
      <w:bookmarkStart w:id="686" w:name="_Toc53064335"/>
      <w:bookmarkStart w:id="687" w:name="_Toc53146370"/>
      <w:bookmarkStart w:id="688" w:name="_Toc54090140"/>
      <w:bookmarkStart w:id="689" w:name="_Toc55813101"/>
      <w:bookmarkStart w:id="690" w:name="_Toc55814020"/>
      <w:bookmarkStart w:id="691" w:name="_Toc77165112"/>
      <w:r w:rsidRPr="006F6212">
        <w:t>Labour expenditure</w:t>
      </w:r>
      <w:bookmarkEnd w:id="679"/>
      <w:bookmarkEnd w:id="680"/>
      <w:bookmarkEnd w:id="681"/>
      <w:bookmarkEnd w:id="682"/>
      <w:bookmarkEnd w:id="683"/>
      <w:bookmarkEnd w:id="684"/>
      <w:bookmarkEnd w:id="685"/>
      <w:bookmarkEnd w:id="686"/>
      <w:bookmarkEnd w:id="687"/>
      <w:bookmarkEnd w:id="688"/>
      <w:bookmarkEnd w:id="689"/>
      <w:bookmarkEnd w:id="690"/>
      <w:bookmarkEnd w:id="691"/>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2" w:name="_Toc496536719"/>
      <w:bookmarkStart w:id="693" w:name="_Toc531277547"/>
      <w:bookmarkStart w:id="694" w:name="_Toc955357"/>
      <w:bookmarkStart w:id="695" w:name="_Toc51929392"/>
      <w:bookmarkStart w:id="696" w:name="_Toc52953307"/>
      <w:bookmarkStart w:id="697" w:name="_Toc53049415"/>
      <w:bookmarkStart w:id="698" w:name="_Toc53053037"/>
      <w:bookmarkStart w:id="699" w:name="_Toc53064336"/>
      <w:bookmarkStart w:id="700" w:name="_Toc53146371"/>
      <w:bookmarkStart w:id="701" w:name="_Toc54090141"/>
      <w:bookmarkStart w:id="702" w:name="_Toc55813102"/>
      <w:bookmarkStart w:id="703" w:name="_Toc55814021"/>
      <w:bookmarkStart w:id="704" w:name="_Toc77165113"/>
      <w:r w:rsidRPr="006F6212">
        <w:t>Labour on-costs and administrative overhead</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5" w:name="OLE_LINK17"/>
      <w:bookmarkStart w:id="706" w:name="OLE_LINK16"/>
      <w:bookmarkEnd w:id="705"/>
      <w:bookmarkEnd w:id="706"/>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2">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7" w:name="OLE_LINK22"/>
      <w:r w:rsidRPr="009B6938">
        <w:t>details of all personnel working on the project, including name, title, function, time spent on the project and salary</w:t>
      </w:r>
    </w:p>
    <w:bookmarkEnd w:id="707"/>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8" w:name="_Toc496536720"/>
      <w:bookmarkStart w:id="709" w:name="_Toc531277548"/>
      <w:bookmarkStart w:id="710" w:name="_Toc955358"/>
      <w:bookmarkStart w:id="711" w:name="_Toc51929393"/>
      <w:bookmarkStart w:id="712" w:name="_Toc52953308"/>
      <w:bookmarkStart w:id="713" w:name="_Toc53049416"/>
      <w:bookmarkStart w:id="714" w:name="_Toc53053038"/>
      <w:bookmarkStart w:id="715" w:name="_Toc53064337"/>
      <w:bookmarkStart w:id="716" w:name="_Toc53146372"/>
      <w:bookmarkStart w:id="717" w:name="_Toc54090142"/>
      <w:bookmarkStart w:id="718" w:name="_Toc55813103"/>
      <w:bookmarkStart w:id="719" w:name="_Toc55814022"/>
      <w:bookmarkStart w:id="720" w:name="_Toc77165114"/>
      <w:r w:rsidRPr="006F6212">
        <w:t>Contract expenditure</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lastRenderedPageBreak/>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1" w:name="_Toc52953309"/>
      <w:bookmarkStart w:id="722" w:name="_Toc53049417"/>
      <w:bookmarkStart w:id="723" w:name="_Toc53053039"/>
      <w:bookmarkStart w:id="724" w:name="_Toc53064338"/>
      <w:bookmarkStart w:id="725" w:name="_Toc53146373"/>
      <w:bookmarkStart w:id="726" w:name="_Toc54090143"/>
      <w:bookmarkStart w:id="727" w:name="_Toc55813104"/>
      <w:bookmarkStart w:id="728" w:name="_Toc55814023"/>
      <w:bookmarkStart w:id="729" w:name="_Toc77165115"/>
      <w:bookmarkStart w:id="730" w:name="_Toc496536722"/>
      <w:bookmarkStart w:id="731" w:name="_Toc531277550"/>
      <w:bookmarkStart w:id="732" w:name="_Toc955360"/>
      <w:bookmarkStart w:id="733" w:name="_Toc51929395"/>
      <w:r>
        <w:t>Prototype expenditure</w:t>
      </w:r>
      <w:bookmarkEnd w:id="721"/>
      <w:bookmarkEnd w:id="722"/>
      <w:bookmarkEnd w:id="723"/>
      <w:bookmarkEnd w:id="724"/>
      <w:bookmarkEnd w:id="725"/>
      <w:bookmarkEnd w:id="726"/>
      <w:bookmarkEnd w:id="727"/>
      <w:bookmarkEnd w:id="728"/>
      <w:bookmarkEnd w:id="729"/>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977FA4">
      <w:pPr>
        <w:pStyle w:val="Heading3Appendix"/>
        <w:numPr>
          <w:ilvl w:val="1"/>
          <w:numId w:val="10"/>
        </w:numPr>
      </w:pPr>
      <w:bookmarkStart w:id="734" w:name="_Toc496536721"/>
      <w:bookmarkStart w:id="735" w:name="_Toc531277549"/>
      <w:bookmarkStart w:id="736" w:name="_Toc955359"/>
      <w:bookmarkStart w:id="737" w:name="_Toc26443775"/>
      <w:bookmarkStart w:id="738" w:name="_Toc54090144"/>
      <w:bookmarkStart w:id="739" w:name="_Toc55813105"/>
      <w:bookmarkStart w:id="740" w:name="_Toc55814024"/>
      <w:bookmarkStart w:id="741" w:name="_Toc77165116"/>
      <w:bookmarkStart w:id="742" w:name="_Toc52953310"/>
      <w:bookmarkStart w:id="743" w:name="_Toc53049418"/>
      <w:bookmarkStart w:id="744" w:name="_Toc53053040"/>
      <w:bookmarkStart w:id="745" w:name="_Toc53064339"/>
      <w:bookmarkStart w:id="746" w:name="_Toc53146374"/>
      <w:r w:rsidRPr="006F6212">
        <w:t xml:space="preserve">Travel </w:t>
      </w:r>
      <w:r w:rsidR="00D94A37">
        <w:t xml:space="preserve">and overseas </w:t>
      </w:r>
      <w:r w:rsidRPr="006F6212">
        <w:t>expenditure</w:t>
      </w:r>
      <w:bookmarkEnd w:id="734"/>
      <w:bookmarkEnd w:id="735"/>
      <w:bookmarkEnd w:id="736"/>
      <w:bookmarkEnd w:id="737"/>
      <w:bookmarkEnd w:id="738"/>
      <w:bookmarkEnd w:id="739"/>
      <w:bookmarkEnd w:id="740"/>
      <w:bookmarkEnd w:id="741"/>
    </w:p>
    <w:bookmarkEnd w:id="742"/>
    <w:bookmarkEnd w:id="743"/>
    <w:bookmarkEnd w:id="744"/>
    <w:bookmarkEnd w:id="745"/>
    <w:bookmarkEnd w:id="746"/>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lastRenderedPageBreak/>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7" w:name="_Toc52953312"/>
      <w:bookmarkStart w:id="748" w:name="_Toc53053042"/>
      <w:bookmarkStart w:id="749" w:name="_Toc53064341"/>
      <w:bookmarkStart w:id="750" w:name="_Toc53146375"/>
      <w:bookmarkStart w:id="751" w:name="_Toc54090145"/>
      <w:bookmarkStart w:id="752" w:name="_Toc55813106"/>
      <w:bookmarkStart w:id="753" w:name="_Toc55814025"/>
      <w:bookmarkStart w:id="754" w:name="_Toc77165117"/>
      <w:bookmarkStart w:id="755" w:name="_Toc53049420"/>
      <w:r w:rsidRPr="006F6212">
        <w:t>Other eligible expenditure</w:t>
      </w:r>
      <w:bookmarkEnd w:id="730"/>
      <w:bookmarkEnd w:id="731"/>
      <w:bookmarkEnd w:id="732"/>
      <w:bookmarkEnd w:id="733"/>
      <w:bookmarkEnd w:id="747"/>
      <w:bookmarkEnd w:id="748"/>
      <w:bookmarkEnd w:id="749"/>
      <w:bookmarkEnd w:id="750"/>
      <w:bookmarkEnd w:id="751"/>
      <w:bookmarkEnd w:id="752"/>
      <w:bookmarkEnd w:id="753"/>
      <w:bookmarkEnd w:id="754"/>
    </w:p>
    <w:bookmarkEnd w:id="755"/>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w:t>
      </w:r>
      <w:r w:rsidR="004D13D7">
        <w:lastRenderedPageBreak/>
        <w:t xml:space="preserve">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977FA4">
      <w:pPr>
        <w:pStyle w:val="Heading2Appendix"/>
        <w:numPr>
          <w:ilvl w:val="0"/>
          <w:numId w:val="14"/>
        </w:numPr>
        <w:ind w:left="360"/>
      </w:pPr>
      <w:bookmarkStart w:id="756" w:name="_Toc383003259"/>
      <w:bookmarkStart w:id="757" w:name="_Toc496536723"/>
      <w:bookmarkStart w:id="758" w:name="_Toc531277551"/>
      <w:bookmarkStart w:id="759" w:name="_Toc955361"/>
      <w:bookmarkStart w:id="760" w:name="_Toc51929396"/>
      <w:bookmarkStart w:id="761" w:name="_Toc52953313"/>
      <w:bookmarkStart w:id="762" w:name="_Toc53049421"/>
      <w:bookmarkStart w:id="763" w:name="_Toc53053043"/>
      <w:bookmarkStart w:id="764" w:name="_Toc53064342"/>
      <w:bookmarkStart w:id="765" w:name="_Toc53146376"/>
      <w:bookmarkStart w:id="766" w:name="_Toc54090146"/>
      <w:bookmarkStart w:id="767" w:name="_Toc55813107"/>
      <w:bookmarkStart w:id="768" w:name="_Toc55814026"/>
      <w:bookmarkStart w:id="769" w:name="_Toc77165118"/>
      <w:r>
        <w:lastRenderedPageBreak/>
        <w:t>Ineligible expenditure</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91EE282" w14:textId="346ACBDC"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3"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351F087F" w:rsidR="00F95D3B" w:rsidRPr="001C34FC" w:rsidRDefault="001C34FC" w:rsidP="001C34FC">
      <w:pPr>
        <w:pStyle w:val="ListBullet"/>
        <w:rPr>
          <w:szCs w:val="20"/>
        </w:rPr>
      </w:pPr>
      <w:r>
        <w:t xml:space="preserve">costs incurred prior to the date of your letter of offer </w:t>
      </w:r>
      <w:r w:rsidR="00F95D3B" w:rsidRPr="00F21B18">
        <w:t xml:space="preserv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77777777" w:rsidR="0059763B" w:rsidRDefault="00F95D3B" w:rsidP="00F95D3B">
      <w:pPr>
        <w:pStyle w:val="ListBullet"/>
        <w:numPr>
          <w:ilvl w:val="0"/>
          <w:numId w:val="7"/>
        </w:numPr>
      </w:pPr>
      <w:r>
        <w:t>maintenance costs</w:t>
      </w:r>
    </w:p>
    <w:p w14:paraId="191EE292" w14:textId="3EBC8ED4"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547BE56A" w:rsidR="008B304C" w:rsidRDefault="008B304C" w:rsidP="008D1D17">
      <w:pPr>
        <w:spacing w:before="0" w:after="0" w:line="240" w:lineRule="auto"/>
      </w:pPr>
    </w:p>
    <w:p w14:paraId="3BF27A29" w14:textId="77777777" w:rsidR="008B304C" w:rsidRPr="008B304C" w:rsidRDefault="008B304C" w:rsidP="007851C8"/>
    <w:p w14:paraId="602297DA" w14:textId="77777777" w:rsidR="008B304C" w:rsidRPr="008B304C" w:rsidRDefault="008B304C" w:rsidP="0059763B"/>
    <w:p w14:paraId="6D8841F1" w14:textId="77777777" w:rsidR="008B304C" w:rsidRPr="008B304C" w:rsidRDefault="008B304C" w:rsidP="0059763B"/>
    <w:p w14:paraId="5CE87434" w14:textId="77777777" w:rsidR="008B304C" w:rsidRPr="008B304C" w:rsidRDefault="008B304C" w:rsidP="0059763B"/>
    <w:p w14:paraId="1D8F2676" w14:textId="77777777" w:rsidR="008B304C" w:rsidRPr="008B304C" w:rsidRDefault="008B304C" w:rsidP="0059763B"/>
    <w:p w14:paraId="3A0DA482" w14:textId="77777777" w:rsidR="008B304C" w:rsidRPr="008B304C" w:rsidRDefault="008B304C" w:rsidP="0059763B"/>
    <w:p w14:paraId="42534416" w14:textId="77777777" w:rsidR="008B304C" w:rsidRPr="008B304C" w:rsidRDefault="008B304C" w:rsidP="0059763B"/>
    <w:p w14:paraId="1BC98CD3" w14:textId="77777777" w:rsidR="008B304C" w:rsidRPr="008B304C" w:rsidRDefault="008B304C" w:rsidP="0059763B"/>
    <w:p w14:paraId="213D0ACA" w14:textId="77777777" w:rsidR="008B304C" w:rsidRPr="008B304C" w:rsidRDefault="008B304C" w:rsidP="0059763B"/>
    <w:p w14:paraId="7D8EF18F" w14:textId="77777777" w:rsidR="008B304C" w:rsidRPr="008B304C" w:rsidRDefault="008B304C" w:rsidP="0059763B"/>
    <w:p w14:paraId="7F80F3F1" w14:textId="77777777" w:rsidR="008B304C" w:rsidRPr="008B304C" w:rsidRDefault="008B304C" w:rsidP="0059763B"/>
    <w:p w14:paraId="63E686FF" w14:textId="77777777" w:rsidR="008B304C" w:rsidRPr="008B304C" w:rsidRDefault="008B304C" w:rsidP="0059763B"/>
    <w:p w14:paraId="2CD0B64B" w14:textId="77777777" w:rsidR="008B304C" w:rsidRPr="008B304C" w:rsidRDefault="008B304C" w:rsidP="0059763B"/>
    <w:p w14:paraId="1612C331" w14:textId="77777777" w:rsidR="008B304C" w:rsidRPr="008B304C" w:rsidRDefault="008B304C" w:rsidP="0059763B"/>
    <w:p w14:paraId="301CF60A" w14:textId="68D6FEF9" w:rsidR="008B304C" w:rsidRDefault="008B304C" w:rsidP="008B304C"/>
    <w:p w14:paraId="1B007DF0" w14:textId="77777777" w:rsidR="007A2386" w:rsidRPr="008B304C" w:rsidRDefault="007A2386" w:rsidP="007851C8">
      <w:pPr>
        <w:jc w:val="center"/>
      </w:pPr>
    </w:p>
    <w:sectPr w:rsidR="007A2386" w:rsidRPr="008B304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7489B" w14:textId="77777777" w:rsidR="00573A20" w:rsidRDefault="00573A20" w:rsidP="00077C3D">
      <w:r>
        <w:separator/>
      </w:r>
    </w:p>
  </w:endnote>
  <w:endnote w:type="continuationSeparator" w:id="0">
    <w:p w14:paraId="6A7300CA" w14:textId="77777777" w:rsidR="00573A20" w:rsidRDefault="00573A20" w:rsidP="00077C3D">
      <w:r>
        <w:continuationSeparator/>
      </w:r>
    </w:p>
  </w:endnote>
  <w:endnote w:type="continuationNotice" w:id="1">
    <w:p w14:paraId="5CD8318A" w14:textId="77777777" w:rsidR="00573A20" w:rsidRDefault="00573A2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573A20" w:rsidRPr="0059733A" w:rsidRDefault="00573A20"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1C2F6255" w:rsidR="00573A20" w:rsidRDefault="00573A20" w:rsidP="00007E4B">
    <w:pPr>
      <w:pStyle w:val="Footer"/>
      <w:tabs>
        <w:tab w:val="clear" w:pos="4153"/>
        <w:tab w:val="clear" w:pos="8306"/>
        <w:tab w:val="center" w:pos="4962"/>
        <w:tab w:val="right" w:pos="8789"/>
      </w:tabs>
    </w:pPr>
    <w:r>
      <w:t>Modern Manufacturing Initiative – Integration – Recycling and Clean Energy Priority</w:t>
    </w:r>
  </w:p>
  <w:p w14:paraId="191EE319" w14:textId="6A5A8D3A" w:rsidR="00573A20" w:rsidRDefault="00F43167"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573A20">
          <w:t>Grant opportunity guidelines</w:t>
        </w:r>
      </w:sdtContent>
    </w:sdt>
    <w:r w:rsidR="00573A20">
      <w:tab/>
      <w:t>August 2021</w:t>
    </w:r>
    <w:r w:rsidR="00573A20" w:rsidRPr="005B72F4">
      <w:tab/>
      <w:t xml:space="preserve">Page </w:t>
    </w:r>
    <w:r w:rsidR="00573A20" w:rsidRPr="005B72F4">
      <w:fldChar w:fldCharType="begin"/>
    </w:r>
    <w:r w:rsidR="00573A20" w:rsidRPr="005B72F4">
      <w:instrText xml:space="preserve"> PAGE </w:instrText>
    </w:r>
    <w:r w:rsidR="00573A20" w:rsidRPr="005B72F4">
      <w:fldChar w:fldCharType="separate"/>
    </w:r>
    <w:r>
      <w:rPr>
        <w:noProof/>
      </w:rPr>
      <w:t>2</w:t>
    </w:r>
    <w:r w:rsidR="00573A20" w:rsidRPr="005B72F4">
      <w:fldChar w:fldCharType="end"/>
    </w:r>
    <w:r w:rsidR="00573A20" w:rsidRPr="005B72F4">
      <w:t xml:space="preserve"> of </w:t>
    </w:r>
    <w:r w:rsidR="00573A20">
      <w:rPr>
        <w:noProof/>
      </w:rPr>
      <w:fldChar w:fldCharType="begin"/>
    </w:r>
    <w:r w:rsidR="00573A20">
      <w:rPr>
        <w:noProof/>
      </w:rPr>
      <w:instrText xml:space="preserve"> NUMPAGES </w:instrText>
    </w:r>
    <w:r w:rsidR="00573A20">
      <w:rPr>
        <w:noProof/>
      </w:rPr>
      <w:fldChar w:fldCharType="separate"/>
    </w:r>
    <w:r>
      <w:rPr>
        <w:noProof/>
      </w:rPr>
      <w:t>34</w:t>
    </w:r>
    <w:r w:rsidR="00573A2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573A20" w:rsidRDefault="00573A20"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D74FF" w14:textId="77777777" w:rsidR="00573A20" w:rsidRDefault="00573A20" w:rsidP="00077C3D">
      <w:r>
        <w:separator/>
      </w:r>
    </w:p>
  </w:footnote>
  <w:footnote w:type="continuationSeparator" w:id="0">
    <w:p w14:paraId="2780C6FE" w14:textId="77777777" w:rsidR="00573A20" w:rsidRDefault="00573A20" w:rsidP="00077C3D">
      <w:r>
        <w:continuationSeparator/>
      </w:r>
    </w:p>
  </w:footnote>
  <w:footnote w:type="continuationNotice" w:id="1">
    <w:p w14:paraId="561241B4" w14:textId="77777777" w:rsidR="00573A20" w:rsidRDefault="00573A20" w:rsidP="00077C3D"/>
  </w:footnote>
  <w:footnote w:id="2">
    <w:p w14:paraId="63E802CE" w14:textId="77777777" w:rsidR="00573A20" w:rsidRDefault="00573A20" w:rsidP="00573A20">
      <w:pPr>
        <w:pStyle w:val="FootnoteText"/>
      </w:pPr>
      <w:r>
        <w:rPr>
          <w:rStyle w:val="FootnoteReference"/>
        </w:rPr>
        <w:footnoteRef/>
      </w:r>
      <w:r>
        <w:t xml:space="preserve"> </w:t>
      </w:r>
      <w:r w:rsidRPr="00AC7F10">
        <w:t>https://www.industry.gov.au/data-and-publications/food-and-beverage-national-manufacturing-priority-road-map</w:t>
      </w:r>
    </w:p>
  </w:footnote>
  <w:footnote w:id="3">
    <w:p w14:paraId="56C07273" w14:textId="77777777" w:rsidR="00573A20" w:rsidRDefault="00573A20" w:rsidP="00573A20">
      <w:pPr>
        <w:pStyle w:val="FootnoteText"/>
      </w:pPr>
      <w:r>
        <w:rPr>
          <w:rStyle w:val="FootnoteReference"/>
        </w:rPr>
        <w:footnoteRef/>
      </w:r>
      <w:r>
        <w:t xml:space="preserve"> The Smile Curve is a visual representation of value added along a production cycle. The curve demonstrates the greatest value along the cycle is from early stage research and development and post-production activities. Further information is available at </w:t>
      </w:r>
      <w:r w:rsidRPr="005455DF">
        <w:t>https://www.industry.gov.au/data-and-publications/make-it-happen-the-australian-governments-modern-manufacturing-strategy/economic-importance-of-manufacturing</w:t>
      </w:r>
    </w:p>
  </w:footnote>
  <w:footnote w:id="4">
    <w:p w14:paraId="191EE31D" w14:textId="77777777" w:rsidR="00573A20" w:rsidRDefault="00573A20">
      <w:pPr>
        <w:pStyle w:val="FootnoteText"/>
      </w:pPr>
      <w:r>
        <w:rPr>
          <w:rStyle w:val="FootnoteReference"/>
        </w:rPr>
        <w:footnoteRef/>
      </w:r>
      <w:r>
        <w:t xml:space="preserve"> </w:t>
      </w:r>
      <w:r w:rsidRPr="008B4AA4">
        <w:t>https://www.finance.gov.au/government/commonwealth-grants/commonwealth-grants-rules-and-guidelines</w:t>
      </w:r>
    </w:p>
  </w:footnote>
  <w:footnote w:id="5">
    <w:p w14:paraId="66A9A4BF" w14:textId="77777777" w:rsidR="00573A20" w:rsidRDefault="00573A20" w:rsidP="0065436E">
      <w:pPr>
        <w:pStyle w:val="FootnoteText"/>
      </w:pPr>
      <w:r>
        <w:rPr>
          <w:rStyle w:val="FootnoteReference"/>
        </w:rPr>
        <w:footnoteRef/>
      </w:r>
      <w:r>
        <w:t xml:space="preserve"> </w:t>
      </w:r>
      <w:r w:rsidRPr="00A94E60">
        <w:rPr>
          <w:rStyle w:val="Hyperlink"/>
        </w:rPr>
        <w:t>https://www.wgea.gov.au/what-we-do/compliance-reporting/non-compliant-list</w:t>
      </w:r>
    </w:p>
  </w:footnote>
  <w:footnote w:id="6">
    <w:p w14:paraId="569A843C" w14:textId="62D162E3" w:rsidR="00573A20" w:rsidRDefault="00573A20">
      <w:pPr>
        <w:pStyle w:val="FootnoteText"/>
      </w:pPr>
      <w:r>
        <w:rPr>
          <w:rStyle w:val="FootnoteReference"/>
        </w:rPr>
        <w:footnoteRef/>
      </w:r>
      <w:r>
        <w:t xml:space="preserve"> </w:t>
      </w:r>
      <w:r w:rsidRPr="0004666C">
        <w:t>https://www.industry.gov.au/data-and-publications/recycling-and-clean-energy-national-manufacturing-priority-road-map</w:t>
      </w:r>
    </w:p>
  </w:footnote>
  <w:footnote w:id="7">
    <w:p w14:paraId="1BDDF365" w14:textId="77777777" w:rsidR="00311461" w:rsidRDefault="00311461" w:rsidP="00311461">
      <w:pPr>
        <w:pStyle w:val="FootnoteText"/>
      </w:pPr>
      <w:r>
        <w:rPr>
          <w:rStyle w:val="FootnoteReference"/>
        </w:rPr>
        <w:footnoteRef/>
      </w:r>
      <w:r>
        <w:t xml:space="preserve"> Subject to national security and other considerations.</w:t>
      </w:r>
    </w:p>
  </w:footnote>
  <w:footnote w:id="8">
    <w:p w14:paraId="191EE31E" w14:textId="77777777" w:rsidR="00573A20" w:rsidRDefault="00573A20"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9">
    <w:p w14:paraId="191EE31F" w14:textId="77777777" w:rsidR="00573A20" w:rsidRPr="007C453D" w:rsidRDefault="00573A20">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191EE320" w14:textId="77777777" w:rsidR="00573A20" w:rsidRPr="005A61FE" w:rsidRDefault="00573A20">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191EE321" w14:textId="77777777" w:rsidR="00573A20" w:rsidRDefault="00573A20"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12">
    <w:p w14:paraId="191EE322" w14:textId="77777777" w:rsidR="00573A20" w:rsidRDefault="00573A20"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13">
    <w:p w14:paraId="191EE323" w14:textId="77777777" w:rsidR="00573A20" w:rsidRDefault="00573A20"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573A20" w:rsidRPr="005326A9" w:rsidRDefault="00573A20"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573A20" w:rsidRPr="002B3327" w:rsidRDefault="00573A20"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9F6612"/>
    <w:multiLevelType w:val="hybridMultilevel"/>
    <w:tmpl w:val="047C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9"/>
  </w:num>
  <w:num w:numId="4">
    <w:abstractNumId w:val="10"/>
  </w:num>
  <w:num w:numId="5">
    <w:abstractNumId w:val="16"/>
  </w:num>
  <w:num w:numId="6">
    <w:abstractNumId w:val="15"/>
  </w:num>
  <w:num w:numId="7">
    <w:abstractNumId w:val="4"/>
  </w:num>
  <w:num w:numId="8">
    <w:abstractNumId w:val="3"/>
  </w:num>
  <w:num w:numId="9">
    <w:abstractNumId w:val="4"/>
  </w:num>
  <w:num w:numId="10">
    <w:abstractNumId w:val="11"/>
  </w:num>
  <w:num w:numId="11">
    <w:abstractNumId w:val="2"/>
  </w:num>
  <w:num w:numId="12">
    <w:abstractNumId w:val="13"/>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3"/>
    <w:lvlOverride w:ilvl="0">
      <w:startOverride w:val="1"/>
    </w:lvlOverride>
  </w:num>
  <w:num w:numId="17">
    <w:abstractNumId w:val="7"/>
  </w:num>
  <w:num w:numId="18">
    <w:abstractNumId w:val="8"/>
  </w:num>
  <w:num w:numId="19">
    <w:abstractNumId w:val="3"/>
    <w:lvlOverride w:ilvl="0">
      <w:startOverride w:val="1"/>
    </w:lvlOverride>
  </w:num>
  <w:num w:numId="20">
    <w:abstractNumId w:val="3"/>
  </w:num>
  <w:num w:numId="21">
    <w:abstractNumId w:val="3"/>
    <w:lvlOverride w:ilvl="0">
      <w:startOverride w:val="1"/>
    </w:lvlOverride>
  </w:num>
  <w:num w:numId="22">
    <w:abstractNumId w:val="6"/>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1F5"/>
    <w:rsid w:val="00011AA7"/>
    <w:rsid w:val="00013689"/>
    <w:rsid w:val="000146E6"/>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8BA"/>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66C"/>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A0E"/>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E54"/>
    <w:rsid w:val="000E3917"/>
    <w:rsid w:val="000E393D"/>
    <w:rsid w:val="000E3C5D"/>
    <w:rsid w:val="000E4061"/>
    <w:rsid w:val="000E4CD5"/>
    <w:rsid w:val="000E57AD"/>
    <w:rsid w:val="000E5EE2"/>
    <w:rsid w:val="000E5FDE"/>
    <w:rsid w:val="000E620A"/>
    <w:rsid w:val="000E643F"/>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797"/>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4FC"/>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1F8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2C5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CA"/>
    <w:rsid w:val="002F2933"/>
    <w:rsid w:val="002F3A4F"/>
    <w:rsid w:val="002F4C5E"/>
    <w:rsid w:val="002F5673"/>
    <w:rsid w:val="002F5EC8"/>
    <w:rsid w:val="002F65BC"/>
    <w:rsid w:val="002F68A2"/>
    <w:rsid w:val="002F71EC"/>
    <w:rsid w:val="002F7F38"/>
    <w:rsid w:val="003001C7"/>
    <w:rsid w:val="00300C9E"/>
    <w:rsid w:val="00301300"/>
    <w:rsid w:val="0030238C"/>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1461"/>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1C2"/>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2AF"/>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F08"/>
    <w:rsid w:val="00365CF4"/>
    <w:rsid w:val="00366216"/>
    <w:rsid w:val="003703B2"/>
    <w:rsid w:val="00370465"/>
    <w:rsid w:val="00370B0E"/>
    <w:rsid w:val="00371B3E"/>
    <w:rsid w:val="00372870"/>
    <w:rsid w:val="00374323"/>
    <w:rsid w:val="00374A77"/>
    <w:rsid w:val="00376963"/>
    <w:rsid w:val="00376AFD"/>
    <w:rsid w:val="003811FE"/>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5C14"/>
    <w:rsid w:val="003F6166"/>
    <w:rsid w:val="003F6B2E"/>
    <w:rsid w:val="003F6DB1"/>
    <w:rsid w:val="003F6E9A"/>
    <w:rsid w:val="003F7220"/>
    <w:rsid w:val="003F7259"/>
    <w:rsid w:val="003F745B"/>
    <w:rsid w:val="003F785C"/>
    <w:rsid w:val="00400076"/>
    <w:rsid w:val="00401745"/>
    <w:rsid w:val="00401FBB"/>
    <w:rsid w:val="0040209C"/>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774"/>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0E9"/>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0F0"/>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8"/>
    <w:rsid w:val="004A2619"/>
    <w:rsid w:val="004A26EA"/>
    <w:rsid w:val="004A2CCD"/>
    <w:rsid w:val="004A32AA"/>
    <w:rsid w:val="004A3A77"/>
    <w:rsid w:val="004A500A"/>
    <w:rsid w:val="004A5B69"/>
    <w:rsid w:val="004A619D"/>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4B0B"/>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4CB2"/>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3A20"/>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5BC4"/>
    <w:rsid w:val="005861B7"/>
    <w:rsid w:val="0058635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C4A"/>
    <w:rsid w:val="00596607"/>
    <w:rsid w:val="0059733A"/>
    <w:rsid w:val="0059763B"/>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4A"/>
    <w:rsid w:val="005A785A"/>
    <w:rsid w:val="005B04D9"/>
    <w:rsid w:val="005B150A"/>
    <w:rsid w:val="005B1696"/>
    <w:rsid w:val="005B20F2"/>
    <w:rsid w:val="005B3206"/>
    <w:rsid w:val="005B3F62"/>
    <w:rsid w:val="005B40A5"/>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768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6B9"/>
    <w:rsid w:val="005E1E56"/>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6"/>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17E34"/>
    <w:rsid w:val="00620033"/>
    <w:rsid w:val="0062240F"/>
    <w:rsid w:val="00622670"/>
    <w:rsid w:val="0062275D"/>
    <w:rsid w:val="006228F6"/>
    <w:rsid w:val="00624A50"/>
    <w:rsid w:val="006253FF"/>
    <w:rsid w:val="0062583B"/>
    <w:rsid w:val="006258ED"/>
    <w:rsid w:val="00626268"/>
    <w:rsid w:val="00626B4F"/>
    <w:rsid w:val="00626B88"/>
    <w:rsid w:val="00627601"/>
    <w:rsid w:val="0062787C"/>
    <w:rsid w:val="00627C53"/>
    <w:rsid w:val="006308D0"/>
    <w:rsid w:val="00631689"/>
    <w:rsid w:val="006323DB"/>
    <w:rsid w:val="00633F47"/>
    <w:rsid w:val="00634A30"/>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895"/>
    <w:rsid w:val="00654036"/>
    <w:rsid w:val="00654254"/>
    <w:rsid w:val="0065436E"/>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9A4"/>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51A"/>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7D0"/>
    <w:rsid w:val="00692AC4"/>
    <w:rsid w:val="00693318"/>
    <w:rsid w:val="006934C3"/>
    <w:rsid w:val="00694003"/>
    <w:rsid w:val="006941AE"/>
    <w:rsid w:val="006949FB"/>
    <w:rsid w:val="00694A97"/>
    <w:rsid w:val="00694E49"/>
    <w:rsid w:val="00694FFB"/>
    <w:rsid w:val="00696A50"/>
    <w:rsid w:val="00696B00"/>
    <w:rsid w:val="00697395"/>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188F"/>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25AC"/>
    <w:rsid w:val="0073301F"/>
    <w:rsid w:val="00733378"/>
    <w:rsid w:val="007339BC"/>
    <w:rsid w:val="00734178"/>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1C8"/>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21D5F"/>
    <w:rsid w:val="00822AC9"/>
    <w:rsid w:val="00823053"/>
    <w:rsid w:val="00824A96"/>
    <w:rsid w:val="00824B45"/>
    <w:rsid w:val="00825941"/>
    <w:rsid w:val="0082607B"/>
    <w:rsid w:val="008269E9"/>
    <w:rsid w:val="00826BA9"/>
    <w:rsid w:val="0082724F"/>
    <w:rsid w:val="008274BA"/>
    <w:rsid w:val="008275E9"/>
    <w:rsid w:val="00827F35"/>
    <w:rsid w:val="00830114"/>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575F7"/>
    <w:rsid w:val="0086014A"/>
    <w:rsid w:val="008601C5"/>
    <w:rsid w:val="00861795"/>
    <w:rsid w:val="00861ABF"/>
    <w:rsid w:val="00862339"/>
    <w:rsid w:val="008626B6"/>
    <w:rsid w:val="008626FA"/>
    <w:rsid w:val="00863265"/>
    <w:rsid w:val="0086373D"/>
    <w:rsid w:val="00864002"/>
    <w:rsid w:val="00864063"/>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304C"/>
    <w:rsid w:val="008B4AA4"/>
    <w:rsid w:val="008B6764"/>
    <w:rsid w:val="008B7895"/>
    <w:rsid w:val="008B7D10"/>
    <w:rsid w:val="008C119E"/>
    <w:rsid w:val="008C11EE"/>
    <w:rsid w:val="008C180E"/>
    <w:rsid w:val="008C2492"/>
    <w:rsid w:val="008C2578"/>
    <w:rsid w:val="008C2AD3"/>
    <w:rsid w:val="008C30A6"/>
    <w:rsid w:val="008C3B2B"/>
    <w:rsid w:val="008C3F33"/>
    <w:rsid w:val="008C4966"/>
    <w:rsid w:val="008C4CF9"/>
    <w:rsid w:val="008C5560"/>
    <w:rsid w:val="008C6462"/>
    <w:rsid w:val="008C6D83"/>
    <w:rsid w:val="008C7276"/>
    <w:rsid w:val="008D013B"/>
    <w:rsid w:val="008D0161"/>
    <w:rsid w:val="008D0294"/>
    <w:rsid w:val="008D065D"/>
    <w:rsid w:val="008D1D17"/>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5AF"/>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77FA4"/>
    <w:rsid w:val="009814AB"/>
    <w:rsid w:val="00981DD8"/>
    <w:rsid w:val="009820BB"/>
    <w:rsid w:val="009823AA"/>
    <w:rsid w:val="009824E3"/>
    <w:rsid w:val="00982D45"/>
    <w:rsid w:val="00982D64"/>
    <w:rsid w:val="009831ED"/>
    <w:rsid w:val="00983E4A"/>
    <w:rsid w:val="00983F07"/>
    <w:rsid w:val="00984895"/>
    <w:rsid w:val="00985817"/>
    <w:rsid w:val="00985BEF"/>
    <w:rsid w:val="00985DF1"/>
    <w:rsid w:val="0098645C"/>
    <w:rsid w:val="00986606"/>
    <w:rsid w:val="00986F1C"/>
    <w:rsid w:val="0098727D"/>
    <w:rsid w:val="00987314"/>
    <w:rsid w:val="00987802"/>
    <w:rsid w:val="00987A7F"/>
    <w:rsid w:val="00987DD4"/>
    <w:rsid w:val="0099035D"/>
    <w:rsid w:val="009904D7"/>
    <w:rsid w:val="00991D4F"/>
    <w:rsid w:val="009921F8"/>
    <w:rsid w:val="00992C4C"/>
    <w:rsid w:val="00992F8E"/>
    <w:rsid w:val="00993B6E"/>
    <w:rsid w:val="0099441D"/>
    <w:rsid w:val="009945DF"/>
    <w:rsid w:val="00994FD8"/>
    <w:rsid w:val="00995CBD"/>
    <w:rsid w:val="00996D67"/>
    <w:rsid w:val="00996E24"/>
    <w:rsid w:val="009974F3"/>
    <w:rsid w:val="00997DEE"/>
    <w:rsid w:val="00997E27"/>
    <w:rsid w:val="009A014B"/>
    <w:rsid w:val="009A0976"/>
    <w:rsid w:val="009A0990"/>
    <w:rsid w:val="009A0D24"/>
    <w:rsid w:val="009A1C92"/>
    <w:rsid w:val="009A1E73"/>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938"/>
    <w:rsid w:val="009C047C"/>
    <w:rsid w:val="009C0CB4"/>
    <w:rsid w:val="009C115B"/>
    <w:rsid w:val="009C1C8D"/>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11EA"/>
    <w:rsid w:val="00A017E7"/>
    <w:rsid w:val="00A035A5"/>
    <w:rsid w:val="00A04719"/>
    <w:rsid w:val="00A04B6E"/>
    <w:rsid w:val="00A04E7B"/>
    <w:rsid w:val="00A05313"/>
    <w:rsid w:val="00A05546"/>
    <w:rsid w:val="00A05932"/>
    <w:rsid w:val="00A070CF"/>
    <w:rsid w:val="00A10A7A"/>
    <w:rsid w:val="00A10AF2"/>
    <w:rsid w:val="00A10C88"/>
    <w:rsid w:val="00A11243"/>
    <w:rsid w:val="00A119E0"/>
    <w:rsid w:val="00A12251"/>
    <w:rsid w:val="00A12913"/>
    <w:rsid w:val="00A1371B"/>
    <w:rsid w:val="00A14BA0"/>
    <w:rsid w:val="00A14BD6"/>
    <w:rsid w:val="00A14D4B"/>
    <w:rsid w:val="00A15AC7"/>
    <w:rsid w:val="00A160DB"/>
    <w:rsid w:val="00A16576"/>
    <w:rsid w:val="00A166AA"/>
    <w:rsid w:val="00A16F1B"/>
    <w:rsid w:val="00A1743D"/>
    <w:rsid w:val="00A17624"/>
    <w:rsid w:val="00A177B5"/>
    <w:rsid w:val="00A17AB7"/>
    <w:rsid w:val="00A17D29"/>
    <w:rsid w:val="00A2004F"/>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2FC"/>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7AC"/>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AF7F90"/>
    <w:rsid w:val="00B0144E"/>
    <w:rsid w:val="00B019CB"/>
    <w:rsid w:val="00B01E37"/>
    <w:rsid w:val="00B01F98"/>
    <w:rsid w:val="00B02934"/>
    <w:rsid w:val="00B03179"/>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EC7"/>
    <w:rsid w:val="00B23FBA"/>
    <w:rsid w:val="00B247C1"/>
    <w:rsid w:val="00B24AC6"/>
    <w:rsid w:val="00B24CF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3F79"/>
    <w:rsid w:val="00B44114"/>
    <w:rsid w:val="00B44943"/>
    <w:rsid w:val="00B4509C"/>
    <w:rsid w:val="00B45117"/>
    <w:rsid w:val="00B45A0F"/>
    <w:rsid w:val="00B45B39"/>
    <w:rsid w:val="00B45DED"/>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4AE"/>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B3B"/>
    <w:rsid w:val="00C06276"/>
    <w:rsid w:val="00C065B7"/>
    <w:rsid w:val="00C06B9E"/>
    <w:rsid w:val="00C06DEA"/>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2759E"/>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2E8"/>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500E"/>
    <w:rsid w:val="00CF516A"/>
    <w:rsid w:val="00CF57F4"/>
    <w:rsid w:val="00CF6222"/>
    <w:rsid w:val="00CF675D"/>
    <w:rsid w:val="00CF71C7"/>
    <w:rsid w:val="00CF7284"/>
    <w:rsid w:val="00CF7A9C"/>
    <w:rsid w:val="00CF7E22"/>
    <w:rsid w:val="00D00357"/>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5E29"/>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B1C"/>
    <w:rsid w:val="00D8714D"/>
    <w:rsid w:val="00D87689"/>
    <w:rsid w:val="00D90E60"/>
    <w:rsid w:val="00D914DD"/>
    <w:rsid w:val="00D917FA"/>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1E6"/>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4909"/>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DED"/>
    <w:rsid w:val="00DD5A96"/>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1E81"/>
    <w:rsid w:val="00E22363"/>
    <w:rsid w:val="00E22834"/>
    <w:rsid w:val="00E22AF5"/>
    <w:rsid w:val="00E230B7"/>
    <w:rsid w:val="00E232B1"/>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55D"/>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63FF"/>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1B78"/>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C23"/>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86E"/>
    <w:rsid w:val="00F36A97"/>
    <w:rsid w:val="00F36C2E"/>
    <w:rsid w:val="00F37040"/>
    <w:rsid w:val="00F378E8"/>
    <w:rsid w:val="00F37A37"/>
    <w:rsid w:val="00F37E18"/>
    <w:rsid w:val="00F37EA2"/>
    <w:rsid w:val="00F40975"/>
    <w:rsid w:val="00F40CBF"/>
    <w:rsid w:val="00F41CEB"/>
    <w:rsid w:val="00F4202A"/>
    <w:rsid w:val="00F421FB"/>
    <w:rsid w:val="00F42CB7"/>
    <w:rsid w:val="00F4316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938"/>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88A"/>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25A"/>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977FA4"/>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13544946">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70190522">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food-and-beverage-national-manufacturing-priority-road-map" TargetMode="Externa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https://www.finance.gov.au/government/commonwealth-grants/commonwealth-grants-rules-guidelines" TargetMode="External"/><Relationship Id="rId21" Type="http://schemas.openxmlformats.org/officeDocument/2006/relationships/hyperlink" Target="https://business.gov.au/grants-and-programs/mmi-manufacturing-integration-stream-recycling-and-clean-energy-round-2" TargetMode="External"/><Relationship Id="rId34" Type="http://schemas.openxmlformats.org/officeDocument/2006/relationships/hyperlink" Target="https://business.gov.au/grants-and-programs/mmi-manufacturing-integration-stream-recycling-and-clean-energy-round-2" TargetMode="External"/><Relationship Id="rId42" Type="http://schemas.openxmlformats.org/officeDocument/2006/relationships/hyperlink" Target="https://www.legislation.gov.au/Details/C2019C00057"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www.grants.gov.au/" TargetMode="External"/><Relationship Id="rId55"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grants.gov.au" TargetMode="External"/><Relationship Id="rId38" Type="http://schemas.openxmlformats.org/officeDocument/2006/relationships/hyperlink" Target="https://www.ato.gov.au/" TargetMode="External"/><Relationship Id="rId46"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mmi-manufacturing-integration-stream-recycling-and-clean-energy-round-2"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s://business.gov.au/grants-and-programs/mmi-manufacturing-integration-stream-recycling-and-clean-energy-round-2" TargetMode="External"/><Relationship Id="rId37" Type="http://schemas.openxmlformats.org/officeDocument/2006/relationships/hyperlink" Target="http://www.fsc.gov.au/sites/fsc/needaccredited/accreditationscheme/pages/theaccreditationscheme"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s://www.business.gov.au/contact-us" TargetMode="External"/><Relationship Id="rId53" Type="http://schemas.openxmlformats.org/officeDocument/2006/relationships/hyperlink" Target="http://busines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mmi-manufacturing-integration-stream-recycling-and-clean-energy-round-2" TargetMode="External"/><Relationship Id="rId28" Type="http://schemas.openxmlformats.org/officeDocument/2006/relationships/hyperlink" Target="https://business.gov.au/grants-and-programs/mmi-manufacturing-integration-stream-recycling-and-clean-energy-round-2" TargetMode="External"/><Relationship Id="rId36" Type="http://schemas.openxmlformats.org/officeDocument/2006/relationships/hyperlink" Target="https://business.gov.au/grants-and-programs/mmi-manufacturing-integration-stream-recycling-and-clean-energy-round-2" TargetMode="External"/><Relationship Id="rId49"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hyperlink" Target="https://business.gov.au/grants-and-programs/mmi-manufacturing-integration-stream-recycling-and-clean-energy-round-2" TargetMode="External"/><Relationship Id="rId31" Type="http://schemas.openxmlformats.org/officeDocument/2006/relationships/hyperlink" Target="https://www.business.gov.au/contact-us" TargetMode="External"/><Relationship Id="rId44" Type="http://schemas.openxmlformats.org/officeDocument/2006/relationships/hyperlink" Target="https://www.industry.gov.au/data-and-publications/privacy-policy" TargetMode="External"/><Relationship Id="rId52"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industry.gov.au/data-and-publications/recycling-and-clean-energy-national-manufacturing-priority-road-map" TargetMode="External"/><Relationship Id="rId30" Type="http://schemas.openxmlformats.org/officeDocument/2006/relationships/hyperlink" Target="https://business.gov.au/grants-and-programs/mmi-manufacturing-integration-stream-recycling-and-clean-energy-round-2" TargetMode="External"/><Relationship Id="rId35" Type="http://schemas.openxmlformats.org/officeDocument/2006/relationships/hyperlink" Target="http://www.grants.gov.au" TargetMode="External"/><Relationship Id="rId43" Type="http://schemas.openxmlformats.org/officeDocument/2006/relationships/hyperlink" Target="https://www.industry.gov.au/sites/g/files/net3906/f/July%202018/document/pdf/conflict-of-interest-and-insider-trading-policy.pdf" TargetMode="External"/><Relationship Id="rId48" Type="http://schemas.openxmlformats.org/officeDocument/2006/relationships/hyperlink" Target="http://www.business.gov.au/"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business.gov.au/grants-and-programs/modern-manufacturing-initiative-manufacturing-integratio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12CF"/>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47796"/>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95C4F"/>
    <w:rsid w:val="006C296D"/>
    <w:rsid w:val="006C6952"/>
    <w:rsid w:val="006C6ED9"/>
    <w:rsid w:val="006D4606"/>
    <w:rsid w:val="006E6B70"/>
    <w:rsid w:val="006F1D58"/>
    <w:rsid w:val="0070249A"/>
    <w:rsid w:val="00713A8F"/>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22C4C"/>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0380"/>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40B3"/>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7</Value>
    </TaxCatchAll>
    <adc12f6dae154c79be5a6e3c91d71f0d xmlns="2a251b7e-61e4-4816-a71f-b295a9ad20fb">
      <Terms xmlns="http://schemas.microsoft.com/office/infopath/2007/PartnerControls"/>
    </adc12f6dae154c79be5a6e3c91d71f0d>
    <Comments xmlns="http://schemas.microsoft.com/sharepoint/v3" xsi:nil="tru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211C72FA-7899-40E0-A685-8004294D1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B14C0D3A-13B2-45AC-8DFD-69D78D72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12177</Words>
  <Characters>67807</Characters>
  <Application>Microsoft Office Word</Application>
  <DocSecurity>0</DocSecurity>
  <Lines>1294</Lines>
  <Paragraphs>756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79321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3</cp:revision>
  <cp:lastPrinted>2021-12-08T05:00:00Z</cp:lastPrinted>
  <dcterms:created xsi:type="dcterms:W3CDTF">2021-12-08T04:58:00Z</dcterms:created>
  <dcterms:modified xsi:type="dcterms:W3CDTF">2021-12-08T05:01:00Z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