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A55F" w14:textId="7B00E031" w:rsidR="00447F74" w:rsidRPr="00223112" w:rsidRDefault="001B4333" w:rsidP="00223112">
      <w:pPr>
        <w:pStyle w:val="Heading1"/>
        <w:rPr>
          <w:sz w:val="44"/>
          <w:szCs w:val="44"/>
        </w:rPr>
      </w:pPr>
      <w:bookmarkStart w:id="0" w:name="_GoBack"/>
      <w:bookmarkEnd w:id="0"/>
      <w:r w:rsidRPr="00223112">
        <w:rPr>
          <w:sz w:val="44"/>
          <w:szCs w:val="44"/>
        </w:rPr>
        <w:t>INDUSTRY GROWTH CENTRES INITIATIVE</w:t>
      </w:r>
    </w:p>
    <w:p w14:paraId="25124004" w14:textId="240B7216" w:rsidR="001B4333" w:rsidRDefault="001B4333" w:rsidP="001B4333">
      <w:pPr>
        <w:autoSpaceDE w:val="0"/>
        <w:autoSpaceDN w:val="0"/>
        <w:adjustRightInd w:val="0"/>
        <w:spacing w:after="120" w:line="240" w:lineRule="auto"/>
        <w:rPr>
          <w:rFonts w:ascii="Gotham Book" w:hAnsi="Gotham Book"/>
          <w:i/>
          <w:sz w:val="26"/>
        </w:rPr>
      </w:pPr>
      <w:r w:rsidRPr="001B4333">
        <w:rPr>
          <w:rFonts w:ascii="Gotham Book" w:hAnsi="Gotham Book"/>
          <w:i/>
          <w:sz w:val="26"/>
        </w:rPr>
        <w:t>Long term prosperity will depend on the abili</w:t>
      </w:r>
      <w:r>
        <w:rPr>
          <w:rFonts w:ascii="Gotham Book" w:hAnsi="Gotham Book"/>
          <w:i/>
          <w:sz w:val="26"/>
        </w:rPr>
        <w:t xml:space="preserve">ty of Australian industry to be </w:t>
      </w:r>
      <w:r w:rsidRPr="001B4333">
        <w:rPr>
          <w:rFonts w:ascii="Gotham Book" w:hAnsi="Gotham Book"/>
          <w:i/>
          <w:sz w:val="26"/>
        </w:rPr>
        <w:t>more innovative, productive and competitive in order to capture the opportunities</w:t>
      </w:r>
      <w:r>
        <w:rPr>
          <w:rFonts w:ascii="Gotham Book" w:hAnsi="Gotham Book"/>
          <w:i/>
          <w:sz w:val="26"/>
        </w:rPr>
        <w:t xml:space="preserve"> </w:t>
      </w:r>
      <w:r w:rsidRPr="001B4333">
        <w:rPr>
          <w:rFonts w:ascii="Gotham Book" w:hAnsi="Gotham Book"/>
          <w:i/>
          <w:sz w:val="26"/>
        </w:rPr>
        <w:t>from a growing global economy.</w:t>
      </w:r>
    </w:p>
    <w:p w14:paraId="51D6BED4" w14:textId="75AE52D3" w:rsidR="001B4333" w:rsidRPr="001B4333" w:rsidRDefault="001B4333" w:rsidP="001B4333">
      <w:pPr>
        <w:autoSpaceDE w:val="0"/>
        <w:autoSpaceDN w:val="0"/>
        <w:adjustRightInd w:val="0"/>
        <w:spacing w:after="120" w:line="240" w:lineRule="auto"/>
        <w:rPr>
          <w:rStyle w:val="A3"/>
          <w:sz w:val="24"/>
          <w:szCs w:val="24"/>
        </w:rPr>
      </w:pPr>
      <w:r w:rsidRPr="001B4333">
        <w:rPr>
          <w:rStyle w:val="A3"/>
          <w:sz w:val="24"/>
          <w:szCs w:val="24"/>
        </w:rPr>
        <w:t xml:space="preserve">Australians are famous for having </w:t>
      </w:r>
      <w:r>
        <w:rPr>
          <w:rStyle w:val="A3"/>
          <w:sz w:val="24"/>
          <w:szCs w:val="24"/>
        </w:rPr>
        <w:t xml:space="preserve">great ideas and new inventions, </w:t>
      </w:r>
      <w:r w:rsidRPr="001B4333">
        <w:rPr>
          <w:rStyle w:val="A3"/>
          <w:sz w:val="24"/>
          <w:szCs w:val="24"/>
        </w:rPr>
        <w:t>and turning these into profitable commercial realities. The</w:t>
      </w:r>
      <w:r>
        <w:rPr>
          <w:rStyle w:val="A3"/>
          <w:sz w:val="24"/>
          <w:szCs w:val="24"/>
        </w:rPr>
        <w:t xml:space="preserve"> Industry </w:t>
      </w:r>
      <w:r w:rsidRPr="001B4333">
        <w:rPr>
          <w:rStyle w:val="A3"/>
          <w:sz w:val="24"/>
          <w:szCs w:val="24"/>
        </w:rPr>
        <w:t>Growth Centres Initiative builds on thi</w:t>
      </w:r>
      <w:r>
        <w:rPr>
          <w:rStyle w:val="A3"/>
          <w:sz w:val="24"/>
          <w:szCs w:val="24"/>
        </w:rPr>
        <w:t xml:space="preserve">s strength by focusing on areas </w:t>
      </w:r>
      <w:r w:rsidRPr="001B4333">
        <w:rPr>
          <w:rStyle w:val="A3"/>
          <w:sz w:val="24"/>
          <w:szCs w:val="24"/>
        </w:rPr>
        <w:t>of competitive strength and strategi</w:t>
      </w:r>
      <w:r>
        <w:rPr>
          <w:rStyle w:val="A3"/>
          <w:sz w:val="24"/>
          <w:szCs w:val="24"/>
        </w:rPr>
        <w:t xml:space="preserve">c priority to drive innovation, </w:t>
      </w:r>
      <w:r w:rsidRPr="001B4333">
        <w:rPr>
          <w:rStyle w:val="A3"/>
          <w:sz w:val="24"/>
          <w:szCs w:val="24"/>
        </w:rPr>
        <w:t>productivity and competitiveness.</w:t>
      </w:r>
    </w:p>
    <w:p w14:paraId="482C9544" w14:textId="7D2BCD65" w:rsidR="0066072A" w:rsidRPr="0066072A" w:rsidRDefault="0066072A" w:rsidP="0066072A">
      <w:pPr>
        <w:autoSpaceDE w:val="0"/>
        <w:autoSpaceDN w:val="0"/>
        <w:adjustRightInd w:val="0"/>
        <w:spacing w:after="120" w:line="240" w:lineRule="auto"/>
        <w:rPr>
          <w:rStyle w:val="A3"/>
          <w:sz w:val="24"/>
          <w:szCs w:val="24"/>
        </w:rPr>
      </w:pPr>
      <w:r w:rsidRPr="0066072A">
        <w:rPr>
          <w:rStyle w:val="A3"/>
          <w:sz w:val="24"/>
          <w:szCs w:val="24"/>
        </w:rPr>
        <w:t>Industry is best placed to drive cultural change and overcome barriers to innovation, productiv</w:t>
      </w:r>
      <w:r>
        <w:rPr>
          <w:rStyle w:val="A3"/>
          <w:sz w:val="24"/>
          <w:szCs w:val="24"/>
        </w:rPr>
        <w:t>ity and growth. The G</w:t>
      </w:r>
      <w:r w:rsidRPr="0066072A">
        <w:rPr>
          <w:rStyle w:val="A3"/>
          <w:sz w:val="24"/>
          <w:szCs w:val="24"/>
        </w:rPr>
        <w:t>overnment has tasked the Growth Centres with leading cultural change in their sectors. They focus on:</w:t>
      </w:r>
    </w:p>
    <w:p w14:paraId="7167338F" w14:textId="34655939" w:rsidR="0066072A" w:rsidRPr="0066072A" w:rsidRDefault="0066072A" w:rsidP="0066072A">
      <w:pPr>
        <w:pStyle w:val="ListParagraph"/>
        <w:numPr>
          <w:ilvl w:val="0"/>
          <w:numId w:val="1"/>
        </w:numPr>
        <w:spacing w:after="120" w:line="240" w:lineRule="auto"/>
        <w:rPr>
          <w:rStyle w:val="A3"/>
          <w:sz w:val="24"/>
          <w:szCs w:val="26"/>
        </w:rPr>
      </w:pPr>
      <w:r w:rsidRPr="0066072A">
        <w:rPr>
          <w:rStyle w:val="A3"/>
          <w:sz w:val="24"/>
          <w:szCs w:val="26"/>
        </w:rPr>
        <w:t>increasing collaboration and commercialisation</w:t>
      </w:r>
    </w:p>
    <w:p w14:paraId="1F31D755" w14:textId="2F1CA804" w:rsidR="0066072A" w:rsidRPr="0066072A" w:rsidRDefault="0066072A" w:rsidP="0066072A">
      <w:pPr>
        <w:pStyle w:val="ListParagraph"/>
        <w:numPr>
          <w:ilvl w:val="0"/>
          <w:numId w:val="1"/>
        </w:numPr>
        <w:spacing w:after="120" w:line="240" w:lineRule="auto"/>
        <w:rPr>
          <w:rStyle w:val="A3"/>
          <w:sz w:val="24"/>
          <w:szCs w:val="26"/>
        </w:rPr>
      </w:pPr>
      <w:r w:rsidRPr="0066072A">
        <w:rPr>
          <w:rStyle w:val="A3"/>
          <w:sz w:val="24"/>
          <w:szCs w:val="26"/>
        </w:rPr>
        <w:t>improving international opportunities and market access</w:t>
      </w:r>
    </w:p>
    <w:p w14:paraId="561E9E63" w14:textId="79665FCA" w:rsidR="0066072A" w:rsidRPr="0066072A" w:rsidRDefault="0066072A" w:rsidP="0066072A">
      <w:pPr>
        <w:pStyle w:val="ListParagraph"/>
        <w:numPr>
          <w:ilvl w:val="0"/>
          <w:numId w:val="1"/>
        </w:numPr>
        <w:spacing w:after="120" w:line="240" w:lineRule="auto"/>
        <w:rPr>
          <w:rStyle w:val="A3"/>
          <w:sz w:val="24"/>
          <w:szCs w:val="26"/>
        </w:rPr>
      </w:pPr>
      <w:r w:rsidRPr="0066072A">
        <w:rPr>
          <w:rStyle w:val="A3"/>
          <w:sz w:val="24"/>
          <w:szCs w:val="26"/>
        </w:rPr>
        <w:t>enhancing management and workforce skills</w:t>
      </w:r>
    </w:p>
    <w:p w14:paraId="13051EA2" w14:textId="6775CD61" w:rsidR="001B4333" w:rsidRPr="0066072A" w:rsidRDefault="0066072A" w:rsidP="0066072A">
      <w:pPr>
        <w:pStyle w:val="ListParagraph"/>
        <w:numPr>
          <w:ilvl w:val="0"/>
          <w:numId w:val="1"/>
        </w:numPr>
        <w:spacing w:after="120" w:line="240" w:lineRule="auto"/>
        <w:rPr>
          <w:rStyle w:val="A3"/>
          <w:sz w:val="24"/>
          <w:szCs w:val="26"/>
        </w:rPr>
      </w:pPr>
      <w:r w:rsidRPr="0066072A">
        <w:rPr>
          <w:rStyle w:val="A3"/>
          <w:sz w:val="24"/>
          <w:szCs w:val="26"/>
        </w:rPr>
        <w:t>identifying opportunities for regulatory reform</w:t>
      </w:r>
    </w:p>
    <w:p w14:paraId="7AB6F681" w14:textId="6A734851" w:rsidR="001B4333" w:rsidRPr="00223112" w:rsidRDefault="00143F62" w:rsidP="00223112">
      <w:pPr>
        <w:pStyle w:val="Heading2"/>
        <w:rPr>
          <w:rStyle w:val="A3"/>
          <w:sz w:val="32"/>
          <w:szCs w:val="32"/>
        </w:rPr>
      </w:pPr>
      <w:r w:rsidRPr="00223112">
        <w:rPr>
          <w:rStyle w:val="A3"/>
          <w:sz w:val="32"/>
          <w:szCs w:val="32"/>
        </w:rPr>
        <w:t>Growth Centre sectors</w:t>
      </w:r>
    </w:p>
    <w:p w14:paraId="3994A637" w14:textId="03303BF1" w:rsidR="001B4333" w:rsidRDefault="001B4333" w:rsidP="001B4333">
      <w:pPr>
        <w:spacing w:after="120" w:line="240" w:lineRule="auto"/>
        <w:rPr>
          <w:rStyle w:val="A3"/>
          <w:sz w:val="24"/>
          <w:szCs w:val="26"/>
        </w:rPr>
      </w:pPr>
      <w:r w:rsidRPr="001B4333">
        <w:rPr>
          <w:rStyle w:val="A3"/>
          <w:sz w:val="24"/>
          <w:szCs w:val="26"/>
        </w:rPr>
        <w:t>The Government has establ</w:t>
      </w:r>
      <w:r>
        <w:rPr>
          <w:rStyle w:val="A3"/>
          <w:sz w:val="24"/>
          <w:szCs w:val="26"/>
        </w:rPr>
        <w:t xml:space="preserve">ished six Growth Centres in </w:t>
      </w:r>
      <w:r w:rsidRPr="001B4333">
        <w:rPr>
          <w:rStyle w:val="A3"/>
          <w:sz w:val="24"/>
          <w:szCs w:val="26"/>
        </w:rPr>
        <w:t>sectors of competitive strength and strategic priority:</w:t>
      </w:r>
    </w:p>
    <w:p w14:paraId="01488645" w14:textId="256DB72F" w:rsidR="001B4333" w:rsidRDefault="001B4333" w:rsidP="001B4333">
      <w:pPr>
        <w:pStyle w:val="ListParagraph"/>
        <w:numPr>
          <w:ilvl w:val="0"/>
          <w:numId w:val="1"/>
        </w:numPr>
        <w:spacing w:after="120" w:line="240" w:lineRule="auto"/>
        <w:rPr>
          <w:rStyle w:val="A3"/>
          <w:sz w:val="24"/>
          <w:szCs w:val="26"/>
        </w:rPr>
      </w:pPr>
      <w:r>
        <w:rPr>
          <w:rStyle w:val="A3"/>
          <w:sz w:val="24"/>
          <w:szCs w:val="26"/>
        </w:rPr>
        <w:t>Advanced Manufacturing</w:t>
      </w:r>
    </w:p>
    <w:p w14:paraId="17D88312" w14:textId="57DABB25" w:rsidR="001B4333" w:rsidRDefault="001B4333" w:rsidP="001B4333">
      <w:pPr>
        <w:pStyle w:val="ListParagraph"/>
        <w:numPr>
          <w:ilvl w:val="0"/>
          <w:numId w:val="1"/>
        </w:numPr>
        <w:spacing w:after="120" w:line="240" w:lineRule="auto"/>
        <w:rPr>
          <w:rStyle w:val="A3"/>
          <w:sz w:val="24"/>
          <w:szCs w:val="26"/>
        </w:rPr>
      </w:pPr>
      <w:r>
        <w:rPr>
          <w:rStyle w:val="A3"/>
          <w:sz w:val="24"/>
          <w:szCs w:val="26"/>
        </w:rPr>
        <w:t>Cyber Security</w:t>
      </w:r>
    </w:p>
    <w:p w14:paraId="0BBB035F" w14:textId="51E547C4" w:rsidR="001B4333" w:rsidRDefault="001B4333" w:rsidP="001B4333">
      <w:pPr>
        <w:pStyle w:val="ListParagraph"/>
        <w:numPr>
          <w:ilvl w:val="0"/>
          <w:numId w:val="1"/>
        </w:numPr>
        <w:spacing w:after="120" w:line="240" w:lineRule="auto"/>
        <w:rPr>
          <w:rStyle w:val="A3"/>
          <w:sz w:val="24"/>
          <w:szCs w:val="26"/>
        </w:rPr>
      </w:pPr>
      <w:r>
        <w:rPr>
          <w:rStyle w:val="A3"/>
          <w:sz w:val="24"/>
          <w:szCs w:val="26"/>
        </w:rPr>
        <w:t>Food and Agribusiness</w:t>
      </w:r>
    </w:p>
    <w:p w14:paraId="7A53691E" w14:textId="579E0EBF" w:rsidR="001B4333" w:rsidRDefault="001B4333" w:rsidP="001B4333">
      <w:pPr>
        <w:pStyle w:val="ListParagraph"/>
        <w:numPr>
          <w:ilvl w:val="0"/>
          <w:numId w:val="1"/>
        </w:numPr>
        <w:spacing w:after="120" w:line="240" w:lineRule="auto"/>
        <w:rPr>
          <w:rStyle w:val="A3"/>
          <w:sz w:val="24"/>
          <w:szCs w:val="26"/>
        </w:rPr>
      </w:pPr>
      <w:r>
        <w:rPr>
          <w:rStyle w:val="A3"/>
          <w:sz w:val="24"/>
          <w:szCs w:val="26"/>
        </w:rPr>
        <w:t>Medical Technologies and Pharmaceuticals</w:t>
      </w:r>
    </w:p>
    <w:p w14:paraId="006DA971" w14:textId="545C988B" w:rsidR="001B4333" w:rsidRDefault="001B4333" w:rsidP="001B4333">
      <w:pPr>
        <w:pStyle w:val="ListParagraph"/>
        <w:numPr>
          <w:ilvl w:val="0"/>
          <w:numId w:val="1"/>
        </w:numPr>
        <w:spacing w:after="120" w:line="240" w:lineRule="auto"/>
        <w:rPr>
          <w:rStyle w:val="A3"/>
          <w:sz w:val="24"/>
          <w:szCs w:val="26"/>
        </w:rPr>
      </w:pPr>
      <w:r>
        <w:rPr>
          <w:rStyle w:val="A3"/>
          <w:sz w:val="24"/>
          <w:szCs w:val="26"/>
        </w:rPr>
        <w:t>Mining Equipment, Technology and Services</w:t>
      </w:r>
    </w:p>
    <w:p w14:paraId="4C2DB6D2" w14:textId="251312BF" w:rsidR="001B4333" w:rsidRDefault="001B4333" w:rsidP="001B4333">
      <w:pPr>
        <w:pStyle w:val="ListParagraph"/>
        <w:numPr>
          <w:ilvl w:val="0"/>
          <w:numId w:val="1"/>
        </w:numPr>
        <w:spacing w:after="120" w:line="240" w:lineRule="auto"/>
        <w:rPr>
          <w:rStyle w:val="A3"/>
          <w:sz w:val="24"/>
          <w:szCs w:val="26"/>
        </w:rPr>
      </w:pPr>
      <w:r>
        <w:rPr>
          <w:rStyle w:val="A3"/>
          <w:sz w:val="24"/>
          <w:szCs w:val="26"/>
        </w:rPr>
        <w:t>Oil, Gas and Energy Resources</w:t>
      </w:r>
    </w:p>
    <w:p w14:paraId="6E930957" w14:textId="153EF4B1" w:rsidR="001B4333" w:rsidRPr="001B4333" w:rsidRDefault="001B4333" w:rsidP="001B4333">
      <w:pPr>
        <w:spacing w:after="120" w:line="240" w:lineRule="auto"/>
        <w:rPr>
          <w:rStyle w:val="A3"/>
          <w:sz w:val="24"/>
          <w:szCs w:val="26"/>
        </w:rPr>
      </w:pPr>
      <w:r w:rsidRPr="001B4333">
        <w:rPr>
          <w:rStyle w:val="A3"/>
          <w:sz w:val="24"/>
          <w:szCs w:val="26"/>
        </w:rPr>
        <w:t xml:space="preserve">These six sectors are well </w:t>
      </w:r>
      <w:r>
        <w:rPr>
          <w:rStyle w:val="A3"/>
          <w:sz w:val="24"/>
          <w:szCs w:val="26"/>
        </w:rPr>
        <w:t xml:space="preserve">positioned to take advantage of </w:t>
      </w:r>
      <w:r w:rsidRPr="001B4333">
        <w:rPr>
          <w:rStyle w:val="A3"/>
          <w:sz w:val="24"/>
          <w:szCs w:val="26"/>
        </w:rPr>
        <w:t>emerging opportunitie</w:t>
      </w:r>
      <w:r>
        <w:rPr>
          <w:rStyle w:val="A3"/>
          <w:sz w:val="24"/>
          <w:szCs w:val="26"/>
        </w:rPr>
        <w:t xml:space="preserve">s and have strong prospects for </w:t>
      </w:r>
      <w:r w:rsidRPr="001B4333">
        <w:rPr>
          <w:rStyle w:val="A3"/>
          <w:sz w:val="24"/>
          <w:szCs w:val="26"/>
        </w:rPr>
        <w:t>future growth. Similar initi</w:t>
      </w:r>
      <w:r>
        <w:rPr>
          <w:rStyle w:val="A3"/>
          <w:sz w:val="24"/>
          <w:szCs w:val="26"/>
        </w:rPr>
        <w:t xml:space="preserve">atives are </w:t>
      </w:r>
      <w:r w:rsidRPr="001B4333">
        <w:rPr>
          <w:rStyle w:val="A3"/>
          <w:sz w:val="24"/>
          <w:szCs w:val="26"/>
        </w:rPr>
        <w:t>operating in dev</w:t>
      </w:r>
      <w:r>
        <w:rPr>
          <w:rStyle w:val="A3"/>
          <w:sz w:val="24"/>
          <w:szCs w:val="26"/>
        </w:rPr>
        <w:t xml:space="preserve">eloped countries facing similar </w:t>
      </w:r>
      <w:r w:rsidRPr="001B4333">
        <w:rPr>
          <w:rStyle w:val="A3"/>
          <w:sz w:val="24"/>
          <w:szCs w:val="26"/>
        </w:rPr>
        <w:t>challenges, such as the US, UK and Canada.</w:t>
      </w:r>
    </w:p>
    <w:p w14:paraId="710EC77D" w14:textId="581BB251" w:rsidR="001B4333" w:rsidRPr="00223112" w:rsidRDefault="001B4333" w:rsidP="00223112">
      <w:pPr>
        <w:pStyle w:val="Heading2"/>
        <w:rPr>
          <w:rStyle w:val="A3"/>
          <w:sz w:val="32"/>
          <w:szCs w:val="32"/>
        </w:rPr>
      </w:pPr>
      <w:r w:rsidRPr="00223112">
        <w:rPr>
          <w:rStyle w:val="A3"/>
          <w:sz w:val="32"/>
          <w:szCs w:val="32"/>
        </w:rPr>
        <w:t>Growth Centre activities</w:t>
      </w:r>
    </w:p>
    <w:p w14:paraId="16B9DA0C" w14:textId="77777777" w:rsidR="0066072A" w:rsidRDefault="0066072A" w:rsidP="001B4333">
      <w:pPr>
        <w:autoSpaceDE w:val="0"/>
        <w:autoSpaceDN w:val="0"/>
        <w:adjustRightInd w:val="0"/>
        <w:spacing w:after="120" w:line="240" w:lineRule="auto"/>
        <w:rPr>
          <w:rStyle w:val="A3"/>
          <w:sz w:val="24"/>
          <w:szCs w:val="24"/>
        </w:rPr>
      </w:pPr>
      <w:r w:rsidRPr="0066072A">
        <w:rPr>
          <w:rStyle w:val="A3"/>
          <w:sz w:val="24"/>
          <w:szCs w:val="24"/>
        </w:rPr>
        <w:t xml:space="preserve">The Growth Centres are not-for-profit organisations, each led by a board of industry experts. By building capability and collaborative networks, industry sectors will be able to build stronger futures for themselves. </w:t>
      </w:r>
    </w:p>
    <w:p w14:paraId="6DAD03CC" w14:textId="77777777" w:rsidR="006F77D2" w:rsidRPr="006F77D2" w:rsidRDefault="006F77D2" w:rsidP="006F77D2">
      <w:pPr>
        <w:autoSpaceDE w:val="0"/>
        <w:autoSpaceDN w:val="0"/>
        <w:adjustRightInd w:val="0"/>
        <w:spacing w:after="120" w:line="240" w:lineRule="auto"/>
        <w:rPr>
          <w:rStyle w:val="A3"/>
          <w:sz w:val="24"/>
          <w:szCs w:val="24"/>
        </w:rPr>
      </w:pPr>
      <w:r w:rsidRPr="006F77D2">
        <w:rPr>
          <w:rStyle w:val="A3"/>
          <w:sz w:val="24"/>
          <w:szCs w:val="24"/>
        </w:rPr>
        <w:t>Each Centre has its own Sector Competitiveness Plan describing:</w:t>
      </w:r>
    </w:p>
    <w:p w14:paraId="2177960F" w14:textId="3221D9F0" w:rsidR="006F77D2" w:rsidRPr="006F77D2" w:rsidRDefault="006F77D2" w:rsidP="006F77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Style w:val="A3"/>
          <w:sz w:val="24"/>
          <w:szCs w:val="24"/>
        </w:rPr>
      </w:pPr>
      <w:r w:rsidRPr="006F77D2">
        <w:rPr>
          <w:rStyle w:val="A3"/>
          <w:sz w:val="24"/>
          <w:szCs w:val="24"/>
        </w:rPr>
        <w:t>the 10-year strategy for the sector</w:t>
      </w:r>
    </w:p>
    <w:p w14:paraId="03C47520" w14:textId="57B28B6D" w:rsidR="006F77D2" w:rsidRPr="006F77D2" w:rsidRDefault="006F77D2" w:rsidP="006F77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Style w:val="A3"/>
          <w:sz w:val="24"/>
          <w:szCs w:val="24"/>
        </w:rPr>
      </w:pPr>
      <w:r w:rsidRPr="006F77D2">
        <w:rPr>
          <w:rStyle w:val="A3"/>
          <w:sz w:val="24"/>
          <w:szCs w:val="24"/>
        </w:rPr>
        <w:t>identified regulatory reform opportunities</w:t>
      </w:r>
    </w:p>
    <w:p w14:paraId="196DA831" w14:textId="46FF37BF" w:rsidR="006F77D2" w:rsidRDefault="006F77D2" w:rsidP="006F77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Style w:val="A3"/>
          <w:sz w:val="24"/>
          <w:szCs w:val="24"/>
        </w:rPr>
      </w:pPr>
      <w:r w:rsidRPr="006F77D2">
        <w:rPr>
          <w:rStyle w:val="A3"/>
          <w:sz w:val="24"/>
          <w:szCs w:val="24"/>
        </w:rPr>
        <w:t>Industry Knowledge Priorities such as skills and research requirements</w:t>
      </w:r>
    </w:p>
    <w:p w14:paraId="0C02157E" w14:textId="53F9C693" w:rsidR="006F77D2" w:rsidRPr="006F77D2" w:rsidRDefault="006032AA" w:rsidP="006F77D2">
      <w:pPr>
        <w:autoSpaceDE w:val="0"/>
        <w:autoSpaceDN w:val="0"/>
        <w:adjustRightInd w:val="0"/>
        <w:spacing w:after="120" w:line="240" w:lineRule="auto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These strategies</w:t>
      </w:r>
      <w:r w:rsidR="00D43C21">
        <w:rPr>
          <w:rStyle w:val="A3"/>
          <w:sz w:val="24"/>
          <w:szCs w:val="24"/>
        </w:rPr>
        <w:t>,</w:t>
      </w:r>
      <w:r>
        <w:rPr>
          <w:rStyle w:val="A3"/>
          <w:sz w:val="24"/>
          <w:szCs w:val="24"/>
        </w:rPr>
        <w:t xml:space="preserve"> and advice f</w:t>
      </w:r>
      <w:r w:rsidR="00143F62">
        <w:rPr>
          <w:rStyle w:val="A3"/>
          <w:sz w:val="24"/>
          <w:szCs w:val="24"/>
        </w:rPr>
        <w:t>rom Growth Centres</w:t>
      </w:r>
      <w:r w:rsidR="00D43C21">
        <w:rPr>
          <w:rStyle w:val="A3"/>
          <w:sz w:val="24"/>
          <w:szCs w:val="24"/>
        </w:rPr>
        <w:t>,</w:t>
      </w:r>
      <w:r w:rsidR="00143F62">
        <w:rPr>
          <w:rStyle w:val="A3"/>
          <w:sz w:val="24"/>
          <w:szCs w:val="24"/>
        </w:rPr>
        <w:t xml:space="preserve"> are </w:t>
      </w:r>
      <w:r w:rsidR="00143F62" w:rsidRPr="00143F62">
        <w:rPr>
          <w:rStyle w:val="A3"/>
          <w:sz w:val="24"/>
          <w:szCs w:val="24"/>
        </w:rPr>
        <w:t xml:space="preserve">helping to align industry and innovation policy </w:t>
      </w:r>
      <w:r w:rsidR="00D82044">
        <w:rPr>
          <w:rStyle w:val="A3"/>
          <w:sz w:val="24"/>
          <w:szCs w:val="24"/>
        </w:rPr>
        <w:t xml:space="preserve">and programs </w:t>
      </w:r>
      <w:r w:rsidR="00143F62" w:rsidRPr="00143F62">
        <w:rPr>
          <w:rStyle w:val="A3"/>
          <w:sz w:val="24"/>
          <w:szCs w:val="24"/>
        </w:rPr>
        <w:t>through setting priorities</w:t>
      </w:r>
      <w:r w:rsidR="00143F62">
        <w:rPr>
          <w:rStyle w:val="A3"/>
          <w:sz w:val="24"/>
          <w:szCs w:val="24"/>
        </w:rPr>
        <w:t xml:space="preserve"> for the Australian Research Council Industrial Research Transformation Program, Cooperative Research Centres Program, Entrepreneurs’ Programme and SME Export Hubs Initiative.</w:t>
      </w:r>
    </w:p>
    <w:p w14:paraId="0E06A571" w14:textId="77777777" w:rsidR="00447F74" w:rsidRPr="00447F74" w:rsidRDefault="00447F74" w:rsidP="006B0A96">
      <w:pPr>
        <w:autoSpaceDE w:val="0"/>
        <w:autoSpaceDN w:val="0"/>
        <w:adjustRightInd w:val="0"/>
        <w:spacing w:after="120" w:line="240" w:lineRule="auto"/>
        <w:rPr>
          <w:rFonts w:ascii="Gotham Book" w:hAnsi="Gotham Book" w:cs="Gotham Book"/>
          <w:b/>
          <w:bCs/>
          <w:color w:val="000000"/>
          <w:sz w:val="40"/>
          <w:szCs w:val="32"/>
        </w:rPr>
      </w:pPr>
      <w:r w:rsidRPr="00450E09">
        <w:rPr>
          <w:rStyle w:val="A0"/>
          <w:rFonts w:asciiTheme="majorHAnsi" w:eastAsiaTheme="majorEastAsia" w:hAnsiTheme="majorHAnsi"/>
          <w:sz w:val="36"/>
          <w:szCs w:val="32"/>
        </w:rPr>
        <w:t xml:space="preserve">LEARN MORE AT </w:t>
      </w:r>
      <w:hyperlink r:id="rId11" w:history="1">
        <w:r w:rsidRPr="00450E09">
          <w:rPr>
            <w:rStyle w:val="Hyperlink"/>
            <w:rFonts w:asciiTheme="majorHAnsi" w:hAnsiTheme="majorHAnsi" w:cstheme="majorHAnsi"/>
            <w:sz w:val="36"/>
            <w:szCs w:val="32"/>
          </w:rPr>
          <w:t>industry.gov.au/IndustryGrowthCentres</w:t>
        </w:r>
      </w:hyperlink>
    </w:p>
    <w:sectPr w:rsidR="00447F74" w:rsidRPr="00447F7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67E56" w14:textId="77777777" w:rsidR="00447F74" w:rsidRDefault="00447F74" w:rsidP="00447F74">
      <w:pPr>
        <w:spacing w:after="0" w:line="240" w:lineRule="auto"/>
      </w:pPr>
      <w:r>
        <w:separator/>
      </w:r>
    </w:p>
  </w:endnote>
  <w:endnote w:type="continuationSeparator" w:id="0">
    <w:p w14:paraId="2597CD87" w14:textId="77777777" w:rsidR="00447F74" w:rsidRDefault="00447F74" w:rsidP="00447F74">
      <w:pPr>
        <w:spacing w:after="0" w:line="240" w:lineRule="auto"/>
      </w:pPr>
      <w:r>
        <w:continuationSeparator/>
      </w:r>
    </w:p>
  </w:endnote>
  <w:endnote w:type="continuationNotice" w:id="1">
    <w:p w14:paraId="64EE143A" w14:textId="77777777" w:rsidR="002B293B" w:rsidRDefault="002B2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A577" w14:textId="77777777" w:rsidR="00447F74" w:rsidRDefault="00447F74" w:rsidP="00447F74">
    <w:pPr>
      <w:pStyle w:val="Footer"/>
      <w:jc w:val="center"/>
    </w:pPr>
    <w:r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9B287" w14:textId="77777777" w:rsidR="00447F74" w:rsidRDefault="00447F74" w:rsidP="00447F74">
      <w:pPr>
        <w:spacing w:after="0" w:line="240" w:lineRule="auto"/>
      </w:pPr>
      <w:r>
        <w:separator/>
      </w:r>
    </w:p>
  </w:footnote>
  <w:footnote w:type="continuationSeparator" w:id="0">
    <w:p w14:paraId="68F8CB71" w14:textId="77777777" w:rsidR="00447F74" w:rsidRDefault="00447F74" w:rsidP="00447F74">
      <w:pPr>
        <w:spacing w:after="0" w:line="240" w:lineRule="auto"/>
      </w:pPr>
      <w:r>
        <w:continuationSeparator/>
      </w:r>
    </w:p>
  </w:footnote>
  <w:footnote w:type="continuationNotice" w:id="1">
    <w:p w14:paraId="722E61BC" w14:textId="77777777" w:rsidR="002B293B" w:rsidRDefault="002B29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A576" w14:textId="1594B36C" w:rsidR="00447F74" w:rsidRDefault="00447F74" w:rsidP="00447F74">
    <w:pPr>
      <w:pStyle w:val="Header"/>
      <w:jc w:val="right"/>
    </w:pPr>
    <w:r>
      <w:t xml:space="preserve">Industry Growth Centres Initiative – </w:t>
    </w:r>
    <w:r w:rsidR="0090249F">
      <w:t>Overview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F3751"/>
    <w:multiLevelType w:val="hybridMultilevel"/>
    <w:tmpl w:val="AAAAA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64F6F"/>
    <w:multiLevelType w:val="hybridMultilevel"/>
    <w:tmpl w:val="31ACE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90"/>
    <w:rsid w:val="000156C6"/>
    <w:rsid w:val="000575CE"/>
    <w:rsid w:val="00064C5F"/>
    <w:rsid w:val="000768B1"/>
    <w:rsid w:val="00083865"/>
    <w:rsid w:val="00103D90"/>
    <w:rsid w:val="001071E5"/>
    <w:rsid w:val="00143F62"/>
    <w:rsid w:val="00146789"/>
    <w:rsid w:val="00166D40"/>
    <w:rsid w:val="001806EA"/>
    <w:rsid w:val="001A676A"/>
    <w:rsid w:val="001B4333"/>
    <w:rsid w:val="001D3240"/>
    <w:rsid w:val="001E5148"/>
    <w:rsid w:val="00200917"/>
    <w:rsid w:val="00223112"/>
    <w:rsid w:val="00242B24"/>
    <w:rsid w:val="002441D1"/>
    <w:rsid w:val="002554B6"/>
    <w:rsid w:val="002B293B"/>
    <w:rsid w:val="002C074D"/>
    <w:rsid w:val="003134F3"/>
    <w:rsid w:val="00341FE2"/>
    <w:rsid w:val="00380B0A"/>
    <w:rsid w:val="00391FC8"/>
    <w:rsid w:val="00394EF1"/>
    <w:rsid w:val="004140EF"/>
    <w:rsid w:val="00447F74"/>
    <w:rsid w:val="004678A6"/>
    <w:rsid w:val="00471450"/>
    <w:rsid w:val="0047328F"/>
    <w:rsid w:val="00487FCA"/>
    <w:rsid w:val="00493B6E"/>
    <w:rsid w:val="00494ADB"/>
    <w:rsid w:val="004C0517"/>
    <w:rsid w:val="004C0F54"/>
    <w:rsid w:val="004C75BC"/>
    <w:rsid w:val="00500B00"/>
    <w:rsid w:val="00507D84"/>
    <w:rsid w:val="00526264"/>
    <w:rsid w:val="00545737"/>
    <w:rsid w:val="00550A29"/>
    <w:rsid w:val="0057705A"/>
    <w:rsid w:val="005771EA"/>
    <w:rsid w:val="006032AA"/>
    <w:rsid w:val="00621D15"/>
    <w:rsid w:val="00622B41"/>
    <w:rsid w:val="00655BE7"/>
    <w:rsid w:val="0066061C"/>
    <w:rsid w:val="0066072A"/>
    <w:rsid w:val="006815FE"/>
    <w:rsid w:val="006B0026"/>
    <w:rsid w:val="006B0A96"/>
    <w:rsid w:val="006B5AE7"/>
    <w:rsid w:val="006E4CFB"/>
    <w:rsid w:val="006F3031"/>
    <w:rsid w:val="006F77D2"/>
    <w:rsid w:val="00736A9C"/>
    <w:rsid w:val="0074077C"/>
    <w:rsid w:val="00754C90"/>
    <w:rsid w:val="00780BA1"/>
    <w:rsid w:val="0086596E"/>
    <w:rsid w:val="00873DE8"/>
    <w:rsid w:val="00881A54"/>
    <w:rsid w:val="00883A94"/>
    <w:rsid w:val="0090249F"/>
    <w:rsid w:val="00911FBB"/>
    <w:rsid w:val="009377BB"/>
    <w:rsid w:val="0094329A"/>
    <w:rsid w:val="009621D2"/>
    <w:rsid w:val="009743ED"/>
    <w:rsid w:val="00992C21"/>
    <w:rsid w:val="009A3688"/>
    <w:rsid w:val="009B562F"/>
    <w:rsid w:val="009E3018"/>
    <w:rsid w:val="009F60B9"/>
    <w:rsid w:val="00A22E8E"/>
    <w:rsid w:val="00A74C4D"/>
    <w:rsid w:val="00A803A6"/>
    <w:rsid w:val="00AA6EC1"/>
    <w:rsid w:val="00AC0163"/>
    <w:rsid w:val="00AF1464"/>
    <w:rsid w:val="00B044B8"/>
    <w:rsid w:val="00B10423"/>
    <w:rsid w:val="00B20959"/>
    <w:rsid w:val="00B37568"/>
    <w:rsid w:val="00B46963"/>
    <w:rsid w:val="00C02AAC"/>
    <w:rsid w:val="00C03C37"/>
    <w:rsid w:val="00C10DB0"/>
    <w:rsid w:val="00C53227"/>
    <w:rsid w:val="00C758B6"/>
    <w:rsid w:val="00D207FA"/>
    <w:rsid w:val="00D43C21"/>
    <w:rsid w:val="00D56C59"/>
    <w:rsid w:val="00D82044"/>
    <w:rsid w:val="00DD6952"/>
    <w:rsid w:val="00DF6726"/>
    <w:rsid w:val="00E0327D"/>
    <w:rsid w:val="00E07D92"/>
    <w:rsid w:val="00E22289"/>
    <w:rsid w:val="00E4043E"/>
    <w:rsid w:val="00E4685B"/>
    <w:rsid w:val="00E50139"/>
    <w:rsid w:val="00E6383C"/>
    <w:rsid w:val="00E73D0A"/>
    <w:rsid w:val="00EB000E"/>
    <w:rsid w:val="00EE0C57"/>
    <w:rsid w:val="00F114EE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A55F"/>
  <w15:chartTrackingRefBased/>
  <w15:docId w15:val="{0749AA89-E9E5-480C-9999-455462C8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74"/>
  </w:style>
  <w:style w:type="paragraph" w:styleId="Footer">
    <w:name w:val="footer"/>
    <w:basedOn w:val="Normal"/>
    <w:link w:val="FooterChar"/>
    <w:uiPriority w:val="99"/>
    <w:unhideWhenUsed/>
    <w:rsid w:val="00447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74"/>
  </w:style>
  <w:style w:type="paragraph" w:customStyle="1" w:styleId="Default">
    <w:name w:val="Default"/>
    <w:rsid w:val="00447F74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character" w:customStyle="1" w:styleId="A0">
    <w:name w:val="A0"/>
    <w:uiPriority w:val="99"/>
    <w:rsid w:val="00447F74"/>
    <w:rPr>
      <w:rFonts w:cs="Gotham Bold"/>
      <w:b/>
      <w:bCs/>
      <w:color w:val="000000"/>
      <w:sz w:val="52"/>
      <w:szCs w:val="52"/>
    </w:rPr>
  </w:style>
  <w:style w:type="paragraph" w:customStyle="1" w:styleId="Pa1">
    <w:name w:val="Pa1"/>
    <w:basedOn w:val="Default"/>
    <w:next w:val="Default"/>
    <w:uiPriority w:val="99"/>
    <w:rsid w:val="00447F74"/>
    <w:pPr>
      <w:spacing w:line="2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47F74"/>
    <w:rPr>
      <w:rFonts w:ascii="Gotham Book" w:hAnsi="Gotham Book" w:cs="Gotham Book"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447F74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47F74"/>
    <w:rPr>
      <w:rFonts w:ascii="Gotham Book" w:hAnsi="Gotham Book" w:cs="Gotham Book"/>
      <w:color w:val="000000"/>
      <w:sz w:val="19"/>
      <w:szCs w:val="19"/>
    </w:rPr>
  </w:style>
  <w:style w:type="character" w:customStyle="1" w:styleId="A2">
    <w:name w:val="A2"/>
    <w:uiPriority w:val="99"/>
    <w:rsid w:val="00447F74"/>
    <w:rPr>
      <w:rFonts w:ascii="Gotham Medium" w:hAnsi="Gotham Medium" w:cs="Gotham Medium"/>
      <w:color w:val="000000"/>
    </w:rPr>
  </w:style>
  <w:style w:type="character" w:styleId="Hyperlink">
    <w:name w:val="Hyperlink"/>
    <w:basedOn w:val="DefaultParagraphFont"/>
    <w:uiPriority w:val="99"/>
    <w:unhideWhenUsed/>
    <w:rsid w:val="00447F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3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86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43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3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31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5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858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9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8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50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0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8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67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650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7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13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73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52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dustry.gov.au/IndustryGrowthCentr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AD9E8BD6FD49B4C4C4AF506A4544" ma:contentTypeVersion="17" ma:contentTypeDescription="Create a new document." ma:contentTypeScope="" ma:versionID="5264d4dafe61a98fa6fc220dc88963f1">
  <xsd:schema xmlns:xsd="http://www.w3.org/2001/XMLSchema" xmlns:xs="http://www.w3.org/2001/XMLSchema" xmlns:p="http://schemas.microsoft.com/office/2006/metadata/properties" xmlns:ns1="http://schemas.microsoft.com/sharepoint/v3" xmlns:ns2="498945f5-0448-4b4c-97d9-fcd4d7a5a1b1" xmlns:ns3="http://schemas.microsoft.com/sharepoint/v4" targetNamespace="http://schemas.microsoft.com/office/2006/metadata/properties" ma:root="true" ma:fieldsID="9db6dbb5ebfa3b7c341f13485026cc07" ns1:_="" ns2:_="" ns3:_="">
    <xsd:import namespace="http://schemas.microsoft.com/sharepoint/v3"/>
    <xsd:import namespace="498945f5-0448-4b4c-97d9-fcd4d7a5a1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PDMSNumber" minOccurs="0"/>
                <xsd:element ref="ns2:h562caa41cd8435eb8b6f0bdc23e20a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45f5-0448-4b4c-97d9-fcd4d7a5a1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2c53e56-ba7a-482a-8980-6f177a156077}" ma:internalName="TaxCatchAll" ma:showField="CatchAllData" ma:web="498945f5-0448-4b4c-97d9-fcd4d7a5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2bfc713d-067c-4d39-b284-75f65e0f33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3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h562caa41cd8435eb8b6f0bdc23e20a9" ma:index="24" nillable="true" ma:taxonomy="true" ma:internalName="h562caa41cd8435eb8b6f0bdc23e20a9" ma:taxonomyFieldName="DocHub_BriefingCorrespondenceType" ma:displayName="Briefing / Correspondence Typ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Study</TermName>
          <TermId xmlns="http://schemas.microsoft.com/office/infopath/2007/PartnerControls">3b3ae395-ed48-4846-b9d9-458b26bd7f73</TermId>
        </TermInfo>
      </Terms>
    </pe2555c81638466f9eb614edb9ecde52>
    <TaxCatchAll xmlns="498945f5-0448-4b4c-97d9-fcd4d7a5a1b1">
      <Value>218</Value>
      <Value>201</Value>
      <Value>77</Value>
      <Value>626</Value>
      <Value>75</Value>
      <Value>3</Value>
      <Value>324</Value>
    </TaxCatchAll>
    <IconOverlay xmlns="http://schemas.microsoft.com/sharepoint/v4" xsi:nil="true"/>
    <g7bcb40ba23249a78edca7d43a67c1c9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h562caa41cd8435eb8b6f0bdc23e20a9 xmlns="498945f5-0448-4b4c-97d9-fcd4d7a5a1b1">
      <Terms xmlns="http://schemas.microsoft.com/office/infopath/2007/PartnerControls"/>
    </h562caa41cd8435eb8b6f0bdc23e20a9>
    <n99e4c9942c6404eb103464a00e6097b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224abc7b-6f7e-4064-b773-6750976429b5</TermId>
        </TermInfo>
      </Terms>
    </n99e4c9942c6404eb103464a00e6097b>
    <adb9bed2e36e4a93af574aeb444da63e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Growth Centres</TermName>
          <TermId xmlns="http://schemas.microsoft.com/office/infopath/2007/PartnerControls">4e79e604-f4a5-4e5b-89b1-cc8600d4c21e</TermId>
        </TermInfo>
        <TermInfo xmlns="http://schemas.microsoft.com/office/infopath/2007/PartnerControls">
          <TermName xmlns="http://schemas.microsoft.com/office/infopath/2007/PartnerControls"> Industry Growth Centres Initiative</TermName>
          <TermId xmlns="http://schemas.microsoft.com/office/infopath/2007/PartnerControls">5fbff99c-3d2c-41b1-9d89-a0ba9f3f1405</TermId>
        </TermInfo>
        <TermInfo xmlns="http://schemas.microsoft.com/office/infopath/2007/PartnerControls">
          <TermName xmlns="http://schemas.microsoft.com/office/infopath/2007/PartnerControls"> Communications</TermName>
          <TermId xmlns="http://schemas.microsoft.com/office/infopath/2007/PartnerControls">0e864532-ca01-462b-93cb-78d55520a08c</TermId>
        </TermInfo>
      </Terms>
    </adb9bed2e36e4a93af574aeb444da63e>
    <DocHub_PDMSNumber xmlns="498945f5-0448-4b4c-97d9-fcd4d7a5a1b1" xsi:nil="true"/>
    <aa25a1a23adf4c92a153145de6afe324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498945f5-0448-4b4c-97d9-fcd4d7a5a1b1">A3PSR54DD4M5-690977237-1425</_dlc_DocId>
    <_dlc_DocIdUrl xmlns="498945f5-0448-4b4c-97d9-fcd4d7a5a1b1">
      <Url>https://dochub/div/sectoralgrowthpolicy/businessfunctions/growthcentresmanagement/growthcentrepolicy/_layouts/15/DocIdRedir.aspx?ID=A3PSR54DD4M5-690977237-1425</Url>
      <Description>A3PSR54DD4M5-690977237-1425</Description>
    </_dlc_DocIdUrl>
  </documentManagement>
</p:properties>
</file>

<file path=customXml/itemProps1.xml><?xml version="1.0" encoding="utf-8"?>
<ds:datastoreItem xmlns:ds="http://schemas.openxmlformats.org/officeDocument/2006/customXml" ds:itemID="{FD75D9BE-06FD-412B-9CF8-4FCE4D546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945f5-0448-4b4c-97d9-fcd4d7a5a1b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25C2E-3A68-4088-B301-C7F9BCFBE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0C1D6-374F-4F94-991F-2591D31F7F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1BB054-579B-4841-9425-BECECD768707}">
  <ds:schemaRefs>
    <ds:schemaRef ds:uri="http://schemas.microsoft.com/sharepoint/v3"/>
    <ds:schemaRef ds:uri="http://purl.org/dc/terms/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98945f5-0448-4b4c-97d9-fcd4d7a5a1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Rachel</dc:creator>
  <cp:keywords/>
  <dc:description/>
  <cp:lastModifiedBy>Johnston, Rosalind</cp:lastModifiedBy>
  <cp:revision>2</cp:revision>
  <dcterms:created xsi:type="dcterms:W3CDTF">2019-08-12T01:57:00Z</dcterms:created>
  <dcterms:modified xsi:type="dcterms:W3CDTF">2019-08-12T01:57:00Z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0x01010090A0AD9E8BD6FD49B4C4C4AF506A4544</vt:lpwstr>
  </property>
  <property fmtid="{D5CDD505-2E9C-101B-9397-08002B2CF9AE}" pid="3" name="_dlc_DocIdItemGuid">
    <vt:lpwstr>823a2f90-bd9d-42cd-8df0-c700e7256017</vt:lpwstr>
  </property>
  <property fmtid="{D5CDD505-2E9C-101B-9397-08002B2CF9AE}" pid="4" name="DocHub_Year">
    <vt:lpwstr>626;#2018|224abc7b-6f7e-4064-b773-6750976429b5</vt:lpwstr>
  </property>
  <property fmtid="{D5CDD505-2E9C-101B-9397-08002B2CF9AE}" pid="5" name="DocHub_DocumentType">
    <vt:lpwstr>77;#Case Study|3b3ae395-ed48-4846-b9d9-458b26bd7f73</vt:lpwstr>
  </property>
  <property fmtid="{D5CDD505-2E9C-101B-9397-08002B2CF9AE}" pid="6" name="DocHub_SecurityClassification">
    <vt:lpwstr>3;#UNCLASSIFIED|6106d03b-a1a0-4e30-9d91-d5e9fb4314f9</vt:lpwstr>
  </property>
  <property fmtid="{D5CDD505-2E9C-101B-9397-08002B2CF9AE}" pid="7" name="DocHub_Keywords">
    <vt:lpwstr>201;#Growth Centres|4e79e604-f4a5-4e5b-89b1-cc8600d4c21e;#218;# Industry Growth Centres Initiative|5fbff99c-3d2c-41b1-9d89-a0ba9f3f1405;#324;# Communications|0e864532-ca01-462b-93cb-78d55520a08c</vt:lpwstr>
  </property>
  <property fmtid="{D5CDD505-2E9C-101B-9397-08002B2CF9AE}" pid="8" name="DocHub_BriefingCorrespondenceType">
    <vt:lpwstr/>
  </property>
  <property fmtid="{D5CDD505-2E9C-101B-9397-08002B2CF9AE}" pid="9" name="DocHub_WorkActivity">
    <vt:lpwstr>75;#Communication|cd41d649-1e1a-44f5-b99b-946d42ce56d6</vt:lpwstr>
  </property>
</Properties>
</file>