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AEB5" w14:textId="69A5EC2D" w:rsidR="00757A29" w:rsidRPr="00170E17" w:rsidRDefault="002A3556" w:rsidP="00170E17">
      <w:pPr>
        <w:pStyle w:val="Heading1"/>
      </w:pPr>
      <w:r w:rsidRPr="00170E17">
        <w:t xml:space="preserve">Energy Efficiency Grants for Small and Medium Enterprises – Round </w:t>
      </w:r>
      <w:r w:rsidR="00FB33D9" w:rsidRPr="00170E17">
        <w:t>2</w:t>
      </w:r>
      <w:r w:rsidR="00511921" w:rsidRPr="00170E17">
        <w:t xml:space="preserve">: </w:t>
      </w:r>
      <w:r w:rsidR="00A124C6" w:rsidRPr="00170E17">
        <w:t>Additional Inform</w:t>
      </w:r>
      <w:r w:rsidR="00C549FE" w:rsidRPr="00170E17">
        <w:t xml:space="preserve">ation </w:t>
      </w:r>
    </w:p>
    <w:p w14:paraId="0232B87F" w14:textId="77777777" w:rsidR="00757A29" w:rsidRPr="006B5D51" w:rsidRDefault="00757A29" w:rsidP="00757A29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0433C691" w14:textId="2662DE9E" w:rsidR="002A3556" w:rsidRPr="00170E17" w:rsidRDefault="002A3556" w:rsidP="00170E17">
      <w:pPr>
        <w:pStyle w:val="Heading2"/>
      </w:pPr>
      <w:r w:rsidRPr="00170E17">
        <w:t>What business types are eligible to apply for a grant?</w:t>
      </w:r>
    </w:p>
    <w:p w14:paraId="347504BC" w14:textId="77777777" w:rsidR="008B4A8C" w:rsidRPr="006B5D51" w:rsidRDefault="008B4A8C" w:rsidP="008B4A8C">
      <w:pPr>
        <w:spacing w:after="0" w:line="240" w:lineRule="auto"/>
        <w:rPr>
          <w:rFonts w:ascii="Arial" w:hAnsi="Arial" w:cs="Arial"/>
        </w:rPr>
      </w:pPr>
    </w:p>
    <w:p w14:paraId="51555495" w14:textId="00721AA6" w:rsidR="002A3556" w:rsidRPr="00995027" w:rsidRDefault="002A3556" w:rsidP="008B4A8C">
      <w:p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cstheme="minorHAnsi"/>
          <w:sz w:val="24"/>
          <w:szCs w:val="24"/>
        </w:rPr>
        <w:t xml:space="preserve">This grant opportunity is for small and medium sized businesses with an employee headcount of 1 to 199 employees. </w:t>
      </w:r>
    </w:p>
    <w:p w14:paraId="3E7743D5" w14:textId="77777777" w:rsidR="008B4A8C" w:rsidRPr="00995027" w:rsidRDefault="008B4A8C" w:rsidP="008B4A8C">
      <w:pPr>
        <w:spacing w:after="0" w:line="240" w:lineRule="auto"/>
        <w:rPr>
          <w:rFonts w:cstheme="minorHAnsi"/>
          <w:sz w:val="24"/>
          <w:szCs w:val="24"/>
        </w:rPr>
      </w:pPr>
    </w:p>
    <w:p w14:paraId="519AC2E7" w14:textId="5B00883C" w:rsidR="002A3556" w:rsidRPr="00995027" w:rsidRDefault="002A3556" w:rsidP="008B4A8C">
      <w:p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cstheme="minorHAnsi"/>
          <w:sz w:val="24"/>
          <w:szCs w:val="24"/>
        </w:rPr>
        <w:t>A business with an Australian business number (ABN) that is one of the following entity types can apply: </w:t>
      </w:r>
    </w:p>
    <w:p w14:paraId="3933EB8A" w14:textId="77777777" w:rsidR="002A3556" w:rsidRPr="00995027" w:rsidRDefault="002A3556" w:rsidP="008B4A8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cstheme="minorHAnsi"/>
          <w:sz w:val="24"/>
          <w:szCs w:val="24"/>
        </w:rPr>
        <w:t xml:space="preserve">an entity incorporated in </w:t>
      </w:r>
      <w:proofErr w:type="gramStart"/>
      <w:r w:rsidRPr="00995027">
        <w:rPr>
          <w:rFonts w:cstheme="minorHAnsi"/>
          <w:sz w:val="24"/>
          <w:szCs w:val="24"/>
        </w:rPr>
        <w:t>Australia</w:t>
      </w:r>
      <w:proofErr w:type="gramEnd"/>
      <w:r w:rsidRPr="00995027">
        <w:rPr>
          <w:rFonts w:cstheme="minorHAnsi"/>
          <w:sz w:val="24"/>
          <w:szCs w:val="24"/>
        </w:rPr>
        <w:t> </w:t>
      </w:r>
    </w:p>
    <w:p w14:paraId="17DFDBE3" w14:textId="77777777" w:rsidR="002A3556" w:rsidRPr="00995027" w:rsidRDefault="002A3556" w:rsidP="008B4A8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cstheme="minorHAnsi"/>
          <w:sz w:val="24"/>
          <w:szCs w:val="24"/>
        </w:rPr>
        <w:t>a partnership</w:t>
      </w:r>
    </w:p>
    <w:p w14:paraId="09C449B7" w14:textId="77777777" w:rsidR="00381013" w:rsidRPr="00995027" w:rsidRDefault="002A3556" w:rsidP="008B4A8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cstheme="minorHAnsi"/>
          <w:sz w:val="24"/>
          <w:szCs w:val="24"/>
        </w:rPr>
        <w:t>a sole trader</w:t>
      </w:r>
    </w:p>
    <w:p w14:paraId="02034346" w14:textId="1DF0CC4B" w:rsidR="002A3556" w:rsidRPr="00995027" w:rsidRDefault="00381013" w:rsidP="008B4A8C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cstheme="minorHAnsi"/>
          <w:sz w:val="24"/>
          <w:szCs w:val="24"/>
        </w:rPr>
        <w:t>an incorporated trustee on behalf of a trust</w:t>
      </w:r>
      <w:r w:rsidR="002A3556" w:rsidRPr="00995027">
        <w:rPr>
          <w:rFonts w:cstheme="minorHAnsi"/>
          <w:sz w:val="24"/>
          <w:szCs w:val="24"/>
        </w:rPr>
        <w:t>.</w:t>
      </w:r>
    </w:p>
    <w:p w14:paraId="1B58FFF1" w14:textId="77777777" w:rsidR="008B4A8C" w:rsidRPr="00995027" w:rsidRDefault="008B4A8C" w:rsidP="008B4A8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B5A87E" w14:textId="6AEFDB37" w:rsidR="00B279B5" w:rsidRPr="00995027" w:rsidRDefault="00B279B5" w:rsidP="008B4A8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95027">
        <w:rPr>
          <w:rFonts w:eastAsia="Calibri" w:cstheme="minorHAnsi"/>
          <w:sz w:val="24"/>
          <w:szCs w:val="24"/>
        </w:rPr>
        <w:t xml:space="preserve">Applicants must provide </w:t>
      </w:r>
      <w:r w:rsidR="002663A5" w:rsidRPr="00995027">
        <w:rPr>
          <w:rFonts w:eastAsia="Calibri" w:cstheme="minorHAnsi"/>
          <w:sz w:val="24"/>
          <w:szCs w:val="24"/>
        </w:rPr>
        <w:t>evidence of costs for project items and/or activities (e.g. quote/s, catalogue/website advertised price etc).</w:t>
      </w:r>
    </w:p>
    <w:p w14:paraId="106B7C24" w14:textId="77777777" w:rsidR="00B279B5" w:rsidRPr="00995027" w:rsidRDefault="00B279B5" w:rsidP="008B4A8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38838F" w14:textId="744183D5" w:rsidR="002A3556" w:rsidRPr="00995027" w:rsidRDefault="002A3556" w:rsidP="008B4A8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95027">
        <w:rPr>
          <w:rFonts w:eastAsia="Calibri" w:cstheme="minorHAnsi"/>
          <w:sz w:val="24"/>
          <w:szCs w:val="24"/>
        </w:rPr>
        <w:t xml:space="preserve">Applicants </w:t>
      </w:r>
      <w:r w:rsidRPr="00995027">
        <w:rPr>
          <w:rFonts w:cstheme="minorHAnsi"/>
          <w:sz w:val="24"/>
          <w:szCs w:val="24"/>
        </w:rPr>
        <w:t>must</w:t>
      </w:r>
      <w:r w:rsidRPr="00995027">
        <w:rPr>
          <w:rFonts w:eastAsia="Calibri" w:cstheme="minorHAnsi"/>
          <w:sz w:val="24"/>
          <w:szCs w:val="24"/>
        </w:rPr>
        <w:t xml:space="preserve"> also have consent from the owner of the project location to undertake the project (if they are not the owner of the project location).</w:t>
      </w:r>
    </w:p>
    <w:p w14:paraId="289E3608" w14:textId="77777777" w:rsidR="008B4A8C" w:rsidRPr="00995027" w:rsidRDefault="008B4A8C" w:rsidP="008B4A8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D1BE874" w14:textId="148C0326" w:rsidR="002A3556" w:rsidRPr="00995027" w:rsidRDefault="002A3556" w:rsidP="008B4A8C">
      <w:pPr>
        <w:spacing w:after="0" w:line="240" w:lineRule="auto"/>
        <w:rPr>
          <w:rFonts w:cstheme="minorHAnsi"/>
          <w:sz w:val="24"/>
          <w:szCs w:val="24"/>
        </w:rPr>
      </w:pPr>
      <w:r w:rsidRPr="00995027">
        <w:rPr>
          <w:rFonts w:eastAsia="Calibri" w:cstheme="minorHAnsi"/>
          <w:sz w:val="24"/>
          <w:szCs w:val="24"/>
        </w:rPr>
        <w:t>Please refer to the guidelines for the full list of eligibility criteria.</w:t>
      </w:r>
    </w:p>
    <w:p w14:paraId="54CB2DC6" w14:textId="01B270C2" w:rsidR="008B4A8C" w:rsidRPr="008A42FF" w:rsidRDefault="008B4A8C" w:rsidP="008B4A8C">
      <w:pPr>
        <w:spacing w:after="0" w:line="240" w:lineRule="auto"/>
        <w:rPr>
          <w:rFonts w:cstheme="minorHAnsi"/>
          <w:sz w:val="24"/>
          <w:szCs w:val="24"/>
        </w:rPr>
      </w:pPr>
    </w:p>
    <w:p w14:paraId="5B1606C7" w14:textId="11390D98" w:rsidR="009D7AEB" w:rsidRPr="00655367" w:rsidRDefault="009D7AEB" w:rsidP="00170E17">
      <w:pPr>
        <w:pStyle w:val="Heading2"/>
      </w:pPr>
      <w:r w:rsidRPr="00655367">
        <w:t>My business structure is not listed in the Eligible Criteria, am I eligible to apply?</w:t>
      </w:r>
    </w:p>
    <w:p w14:paraId="538462FB" w14:textId="77777777" w:rsidR="008B4A8C" w:rsidRDefault="008B4A8C" w:rsidP="008B4A8C">
      <w:pPr>
        <w:spacing w:after="0" w:line="240" w:lineRule="auto"/>
        <w:rPr>
          <w:sz w:val="24"/>
          <w:szCs w:val="24"/>
        </w:rPr>
      </w:pPr>
    </w:p>
    <w:p w14:paraId="6B209944" w14:textId="77777777" w:rsidR="008B4A8C" w:rsidRDefault="009D7AEB" w:rsidP="008B4A8C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If an organisation meets one of the eligible </w:t>
      </w:r>
      <w:proofErr w:type="gramStart"/>
      <w:r w:rsidRPr="008B4A8C">
        <w:rPr>
          <w:sz w:val="24"/>
          <w:szCs w:val="24"/>
        </w:rPr>
        <w:t>entity</w:t>
      </w:r>
      <w:proofErr w:type="gramEnd"/>
      <w:r w:rsidRPr="008B4A8C">
        <w:rPr>
          <w:sz w:val="24"/>
          <w:szCs w:val="24"/>
        </w:rPr>
        <w:t xml:space="preserve"> types, and is not explicitly precluded in the “Who is not eligible?” section of the guidelines, then they are an eligible entity.  </w:t>
      </w:r>
    </w:p>
    <w:p w14:paraId="370FD533" w14:textId="77777777" w:rsidR="008B4A8C" w:rsidRDefault="008B4A8C" w:rsidP="008B4A8C">
      <w:pPr>
        <w:spacing w:after="0" w:line="240" w:lineRule="auto"/>
        <w:rPr>
          <w:sz w:val="24"/>
          <w:szCs w:val="24"/>
        </w:rPr>
      </w:pPr>
    </w:p>
    <w:p w14:paraId="45910B96" w14:textId="77777777" w:rsidR="00655367" w:rsidRDefault="009D7AEB" w:rsidP="008B4A8C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For example, if a ‘Not </w:t>
      </w:r>
      <w:proofErr w:type="gramStart"/>
      <w:r w:rsidRPr="008B4A8C">
        <w:rPr>
          <w:sz w:val="24"/>
          <w:szCs w:val="24"/>
        </w:rPr>
        <w:t>For</w:t>
      </w:r>
      <w:proofErr w:type="gramEnd"/>
      <w:r w:rsidRPr="008B4A8C">
        <w:rPr>
          <w:sz w:val="24"/>
          <w:szCs w:val="24"/>
        </w:rPr>
        <w:t xml:space="preserve"> Profit’ is an entity incorporated in Australia, then they are an eligible entity to apply for the grant. </w:t>
      </w:r>
    </w:p>
    <w:p w14:paraId="20C91A23" w14:textId="59EA45D8" w:rsidR="00655367" w:rsidRDefault="00655367" w:rsidP="008B4A8C">
      <w:pPr>
        <w:spacing w:after="0" w:line="240" w:lineRule="auto"/>
        <w:rPr>
          <w:sz w:val="24"/>
          <w:szCs w:val="24"/>
        </w:rPr>
      </w:pPr>
    </w:p>
    <w:p w14:paraId="3E4C64B6" w14:textId="0B865E37" w:rsidR="008B4A8C" w:rsidRDefault="009D7AEB" w:rsidP="008B4A8C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Please refer to the guidelines for the full list of eligibility criteria.</w:t>
      </w:r>
    </w:p>
    <w:p w14:paraId="6A6666F9" w14:textId="77777777" w:rsidR="00C85378" w:rsidRDefault="00C85378" w:rsidP="008B4A8C">
      <w:pPr>
        <w:spacing w:after="0" w:line="240" w:lineRule="auto"/>
        <w:rPr>
          <w:sz w:val="24"/>
          <w:szCs w:val="24"/>
        </w:rPr>
      </w:pPr>
    </w:p>
    <w:p w14:paraId="1832FC94" w14:textId="77777777" w:rsidR="007620F3" w:rsidRPr="00655367" w:rsidRDefault="007620F3" w:rsidP="00170E17">
      <w:pPr>
        <w:pStyle w:val="Heading2"/>
      </w:pPr>
      <w:r w:rsidRPr="00655367">
        <w:t>What is the required employee headcount for the grant?</w:t>
      </w:r>
    </w:p>
    <w:p w14:paraId="77107FE5" w14:textId="77777777" w:rsidR="007620F3" w:rsidRDefault="007620F3" w:rsidP="007620F3">
      <w:pPr>
        <w:spacing w:after="0" w:line="240" w:lineRule="auto"/>
        <w:rPr>
          <w:sz w:val="24"/>
          <w:szCs w:val="24"/>
        </w:rPr>
      </w:pPr>
    </w:p>
    <w:p w14:paraId="4F0774FE" w14:textId="623B77B3" w:rsidR="007620F3" w:rsidRDefault="007620F3" w:rsidP="007620F3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We can only accept applications from small and medium sized businesses with an employee headcount from 1 to 199 employees averaged over any consecutive 12-month period since 1 July </w:t>
      </w:r>
      <w:r w:rsidR="004628F3">
        <w:rPr>
          <w:sz w:val="24"/>
          <w:szCs w:val="24"/>
        </w:rPr>
        <w:t>2020</w:t>
      </w:r>
      <w:r w:rsidRPr="008B4A8C">
        <w:rPr>
          <w:sz w:val="24"/>
          <w:szCs w:val="24"/>
        </w:rPr>
        <w:t xml:space="preserve">. We may ask you to provide evidence of your calculation. </w:t>
      </w:r>
    </w:p>
    <w:p w14:paraId="6C201767" w14:textId="77777777" w:rsidR="007620F3" w:rsidRDefault="007620F3" w:rsidP="007620F3">
      <w:pPr>
        <w:spacing w:after="0" w:line="240" w:lineRule="auto"/>
        <w:rPr>
          <w:sz w:val="24"/>
          <w:szCs w:val="24"/>
        </w:rPr>
      </w:pPr>
    </w:p>
    <w:p w14:paraId="262EB02C" w14:textId="77777777" w:rsidR="007620F3" w:rsidRDefault="007620F3" w:rsidP="007620F3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Employee headcount includes employees across any and all related body corporates (as defined in the </w:t>
      </w:r>
      <w:hyperlink r:id="rId12" w:history="1">
        <w:r w:rsidRPr="00B6364C">
          <w:rPr>
            <w:rStyle w:val="Hyperlink"/>
            <w:sz w:val="24"/>
            <w:szCs w:val="24"/>
          </w:rPr>
          <w:t>Corporations Act 2001 (</w:t>
        </w:r>
        <w:proofErr w:type="spellStart"/>
        <w:r w:rsidRPr="00B6364C">
          <w:rPr>
            <w:rStyle w:val="Hyperlink"/>
            <w:sz w:val="24"/>
            <w:szCs w:val="24"/>
          </w:rPr>
          <w:t>Cth</w:t>
        </w:r>
        <w:proofErr w:type="spellEnd"/>
        <w:r w:rsidRPr="00B6364C">
          <w:rPr>
            <w:rStyle w:val="Hyperlink"/>
            <w:sz w:val="24"/>
            <w:szCs w:val="24"/>
          </w:rPr>
          <w:t>)</w:t>
        </w:r>
      </w:hyperlink>
      <w:r w:rsidRPr="008B4A8C">
        <w:rPr>
          <w:sz w:val="24"/>
          <w:szCs w:val="24"/>
        </w:rPr>
        <w:t xml:space="preserve">). </w:t>
      </w:r>
    </w:p>
    <w:p w14:paraId="6829553C" w14:textId="2FFF1FA3" w:rsidR="007620F3" w:rsidRDefault="007620F3" w:rsidP="007620F3">
      <w:pPr>
        <w:spacing w:after="0" w:line="240" w:lineRule="auto"/>
        <w:rPr>
          <w:sz w:val="24"/>
          <w:szCs w:val="24"/>
        </w:rPr>
      </w:pPr>
    </w:p>
    <w:p w14:paraId="14B7C30E" w14:textId="25C14186" w:rsidR="007620F3" w:rsidRPr="008B4A8C" w:rsidRDefault="007620F3" w:rsidP="007620F3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Please refer to the guidelines for the full list of eligibility criteria.</w:t>
      </w:r>
    </w:p>
    <w:p w14:paraId="0E3D5AA9" w14:textId="77777777" w:rsidR="007620F3" w:rsidRPr="00655367" w:rsidRDefault="007620F3" w:rsidP="00170E17">
      <w:pPr>
        <w:pStyle w:val="Heading2"/>
      </w:pPr>
      <w:r w:rsidRPr="00655367">
        <w:lastRenderedPageBreak/>
        <w:t xml:space="preserve">How does the headcount requirement apply to </w:t>
      </w:r>
      <w:r>
        <w:t>s</w:t>
      </w:r>
      <w:r w:rsidRPr="00655367">
        <w:t>ole traders and partnerships?</w:t>
      </w:r>
    </w:p>
    <w:p w14:paraId="62CBBAF7" w14:textId="77777777" w:rsidR="007620F3" w:rsidRDefault="007620F3" w:rsidP="007620F3">
      <w:pPr>
        <w:spacing w:after="0" w:line="240" w:lineRule="auto"/>
        <w:rPr>
          <w:sz w:val="24"/>
          <w:szCs w:val="24"/>
        </w:rPr>
      </w:pPr>
    </w:p>
    <w:p w14:paraId="3CD09110" w14:textId="77777777" w:rsidR="007620F3" w:rsidRDefault="007620F3" w:rsidP="007620F3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The headcount requirement also applies to </w:t>
      </w:r>
      <w:r>
        <w:rPr>
          <w:sz w:val="24"/>
          <w:szCs w:val="24"/>
        </w:rPr>
        <w:t>s</w:t>
      </w:r>
      <w:r w:rsidRPr="008B4A8C">
        <w:rPr>
          <w:sz w:val="24"/>
          <w:szCs w:val="24"/>
        </w:rPr>
        <w:t xml:space="preserve">ole traders and partnerships. Sole traders and partnerships can employ workers in the business. However, the sole trader or partner cannot </w:t>
      </w:r>
      <w:r w:rsidRPr="004B036F">
        <w:rPr>
          <w:sz w:val="24"/>
          <w:szCs w:val="24"/>
        </w:rPr>
        <w:t xml:space="preserve">employ themselves or be employees of the partnership. </w:t>
      </w:r>
    </w:p>
    <w:p w14:paraId="62285741" w14:textId="77777777" w:rsidR="004B036F" w:rsidRDefault="004B036F" w:rsidP="007620F3">
      <w:pPr>
        <w:spacing w:after="0" w:line="240" w:lineRule="auto"/>
        <w:rPr>
          <w:sz w:val="24"/>
          <w:szCs w:val="24"/>
        </w:rPr>
      </w:pPr>
    </w:p>
    <w:p w14:paraId="217B30D6" w14:textId="77777777" w:rsidR="007620F3" w:rsidRPr="008B4A8C" w:rsidRDefault="007620F3" w:rsidP="007620F3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Non-employing sole traders/partnerships would not meet the additional eligibility requirement listed in 4.2 of the Guidelines (an employee headcount from 1 to 199 employees).</w:t>
      </w:r>
    </w:p>
    <w:p w14:paraId="0E0D4A80" w14:textId="77777777" w:rsidR="007620F3" w:rsidRDefault="007620F3" w:rsidP="007620F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DA39B5" w14:textId="32512F5E" w:rsidR="00C85378" w:rsidRPr="00655367" w:rsidRDefault="00C85378" w:rsidP="00170E17">
      <w:pPr>
        <w:pStyle w:val="Heading2"/>
      </w:pPr>
      <w:r w:rsidRPr="00655367">
        <w:t xml:space="preserve">How do </w:t>
      </w:r>
      <w:r w:rsidR="00C9308A">
        <w:t>I</w:t>
      </w:r>
      <w:r w:rsidR="00C9308A" w:rsidRPr="00655367">
        <w:t xml:space="preserve"> </w:t>
      </w:r>
      <w:r w:rsidRPr="00655367">
        <w:t>apply for a grant?</w:t>
      </w:r>
    </w:p>
    <w:p w14:paraId="6BE4B5B5" w14:textId="77777777" w:rsidR="00C85378" w:rsidRPr="008B4A8C" w:rsidRDefault="00C85378" w:rsidP="00C85378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Businesses will need to set up an account to access the online portal at business.gov.au.</w:t>
      </w:r>
      <w:r>
        <w:rPr>
          <w:sz w:val="24"/>
          <w:szCs w:val="24"/>
        </w:rPr>
        <w:t xml:space="preserve"> </w:t>
      </w:r>
      <w:r w:rsidRPr="008B4A8C">
        <w:rPr>
          <w:sz w:val="24"/>
          <w:szCs w:val="24"/>
        </w:rPr>
        <w:t>To apply, a business must complete and submit its application through the online portal.</w:t>
      </w:r>
    </w:p>
    <w:p w14:paraId="401BE29B" w14:textId="77777777" w:rsidR="00C85378" w:rsidRDefault="00C85378" w:rsidP="00C85378">
      <w:pPr>
        <w:spacing w:after="0" w:line="240" w:lineRule="auto"/>
        <w:rPr>
          <w:sz w:val="24"/>
          <w:szCs w:val="24"/>
        </w:rPr>
      </w:pPr>
    </w:p>
    <w:p w14:paraId="08D125E9" w14:textId="77777777" w:rsidR="00C85378" w:rsidRPr="008B4A8C" w:rsidRDefault="00C85378" w:rsidP="00C85378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Before a business applies, they should make sure to:</w:t>
      </w:r>
    </w:p>
    <w:p w14:paraId="5AA807B3" w14:textId="77777777" w:rsidR="00C85378" w:rsidRPr="008B4A8C" w:rsidRDefault="00C85378" w:rsidP="00C8537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read and understand the grant opportunity </w:t>
      </w:r>
      <w:proofErr w:type="gramStart"/>
      <w:r w:rsidRPr="008B4A8C">
        <w:rPr>
          <w:sz w:val="24"/>
          <w:szCs w:val="24"/>
        </w:rPr>
        <w:t>guidelines</w:t>
      </w:r>
      <w:proofErr w:type="gramEnd"/>
    </w:p>
    <w:p w14:paraId="7B3C56BC" w14:textId="5994505C" w:rsidR="00C85378" w:rsidRPr="008B4A8C" w:rsidRDefault="00C85378" w:rsidP="00C8537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read the</w:t>
      </w:r>
      <w:r w:rsidR="00A8792B">
        <w:rPr>
          <w:sz w:val="24"/>
          <w:szCs w:val="24"/>
        </w:rPr>
        <w:t xml:space="preserve"> sample</w:t>
      </w:r>
      <w:r w:rsidRPr="008B4A8C">
        <w:rPr>
          <w:sz w:val="24"/>
          <w:szCs w:val="24"/>
        </w:rPr>
        <w:t xml:space="preserve"> grant </w:t>
      </w:r>
      <w:proofErr w:type="gramStart"/>
      <w:r w:rsidRPr="008B4A8C">
        <w:rPr>
          <w:sz w:val="24"/>
          <w:szCs w:val="24"/>
        </w:rPr>
        <w:t>agreement</w:t>
      </w:r>
      <w:proofErr w:type="gramEnd"/>
    </w:p>
    <w:p w14:paraId="54D85C09" w14:textId="77777777" w:rsidR="00C85378" w:rsidRDefault="00C85378" w:rsidP="00C8537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read the sample application </w:t>
      </w:r>
      <w:proofErr w:type="gramStart"/>
      <w:r w:rsidRPr="008B4A8C">
        <w:rPr>
          <w:sz w:val="24"/>
          <w:szCs w:val="24"/>
        </w:rPr>
        <w:t>form</w:t>
      </w:r>
      <w:proofErr w:type="gramEnd"/>
    </w:p>
    <w:p w14:paraId="0CD09638" w14:textId="77777777" w:rsidR="00C85378" w:rsidRDefault="00C85378" w:rsidP="00C85378">
      <w:pPr>
        <w:spacing w:after="0" w:line="240" w:lineRule="auto"/>
        <w:rPr>
          <w:sz w:val="24"/>
          <w:szCs w:val="24"/>
        </w:rPr>
      </w:pPr>
    </w:p>
    <w:p w14:paraId="391FACC0" w14:textId="77777777" w:rsidR="00C85378" w:rsidRDefault="00C85378" w:rsidP="00C85378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Applicants must provide all required </w:t>
      </w:r>
      <w:r>
        <w:rPr>
          <w:sz w:val="24"/>
          <w:szCs w:val="24"/>
        </w:rPr>
        <w:t>mandatory documentation</w:t>
      </w:r>
      <w:r w:rsidRPr="008B4A8C">
        <w:rPr>
          <w:sz w:val="24"/>
          <w:szCs w:val="24"/>
        </w:rPr>
        <w:t xml:space="preserve"> when submitting their application. Applicants are responsible for making sure their application is complete and accurate.</w:t>
      </w:r>
    </w:p>
    <w:p w14:paraId="6960754F" w14:textId="77777777" w:rsidR="002F08D1" w:rsidRDefault="002F08D1" w:rsidP="00C85378">
      <w:pPr>
        <w:spacing w:after="0" w:line="240" w:lineRule="auto"/>
        <w:rPr>
          <w:sz w:val="24"/>
          <w:szCs w:val="24"/>
        </w:rPr>
      </w:pPr>
    </w:p>
    <w:p w14:paraId="5E168D1E" w14:textId="041E449F" w:rsidR="002F08D1" w:rsidRDefault="002F08D1" w:rsidP="00170E17">
      <w:pPr>
        <w:pStyle w:val="Heading2"/>
      </w:pPr>
      <w:r w:rsidRPr="002F08D1">
        <w:t xml:space="preserve">When does the program open to applications? </w:t>
      </w:r>
    </w:p>
    <w:p w14:paraId="00FD2BA8" w14:textId="77777777" w:rsidR="006013E3" w:rsidRDefault="006013E3" w:rsidP="00C85378">
      <w:pPr>
        <w:spacing w:after="0" w:line="240" w:lineRule="auto"/>
        <w:rPr>
          <w:b/>
          <w:bCs/>
          <w:sz w:val="28"/>
          <w:szCs w:val="28"/>
        </w:rPr>
      </w:pPr>
    </w:p>
    <w:p w14:paraId="5DF43465" w14:textId="62508B7D" w:rsidR="00D56F82" w:rsidRDefault="00D56F82" w:rsidP="00D56F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15468C">
        <w:rPr>
          <w:rStyle w:val="normaltextrun"/>
          <w:rFonts w:asciiTheme="minorHAnsi" w:hAnsiTheme="minorHAnsi" w:cstheme="minorHAnsi"/>
        </w:rPr>
        <w:t xml:space="preserve">Due to the demand on the Business Grants Hub portal, the opening of Round 2 applications will be staggered </w:t>
      </w:r>
      <w:r w:rsidRPr="0015468C">
        <w:rPr>
          <w:rStyle w:val="normaltextrun"/>
          <w:rFonts w:asciiTheme="minorHAnsi" w:hAnsiTheme="minorHAnsi" w:cstheme="minorHAnsi"/>
          <w:color w:val="000000"/>
        </w:rPr>
        <w:t xml:space="preserve">over 5 consecutive business days, starting from Thursday 22 February 2024. </w:t>
      </w:r>
    </w:p>
    <w:p w14:paraId="036C82AF" w14:textId="77777777" w:rsidR="00323ECF" w:rsidRPr="0015468C" w:rsidRDefault="00323ECF" w:rsidP="00D56F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DB99E31" w14:textId="77777777" w:rsidR="00D56F82" w:rsidRPr="0015468C" w:rsidRDefault="00D56F82" w:rsidP="00D56F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5468C">
        <w:rPr>
          <w:rStyle w:val="normaltextrun"/>
          <w:rFonts w:asciiTheme="minorHAnsi" w:hAnsiTheme="minorHAnsi" w:cstheme="minorHAnsi"/>
        </w:rPr>
        <w:t>This staggered approach will give applicants ease of access to apply for a grant in the Business Grants Hub portal. It will not affect the amount of funding available in each state or territory.</w:t>
      </w:r>
      <w:r w:rsidRPr="0015468C">
        <w:rPr>
          <w:rStyle w:val="eop"/>
          <w:rFonts w:asciiTheme="minorHAnsi" w:hAnsiTheme="minorHAnsi" w:cstheme="minorHAnsi"/>
        </w:rPr>
        <w:t> </w:t>
      </w:r>
    </w:p>
    <w:p w14:paraId="56663EF2" w14:textId="77777777" w:rsidR="00C045BE" w:rsidRPr="002F08D1" w:rsidRDefault="00C045BE" w:rsidP="00C85378">
      <w:pPr>
        <w:spacing w:after="0" w:line="240" w:lineRule="auto"/>
        <w:rPr>
          <w:b/>
          <w:bCs/>
          <w:sz w:val="28"/>
          <w:szCs w:val="28"/>
        </w:rPr>
      </w:pPr>
    </w:p>
    <w:p w14:paraId="46BA596D" w14:textId="06207CF6" w:rsidR="002F08D1" w:rsidRPr="006B5D51" w:rsidRDefault="002F08D1" w:rsidP="001B1616">
      <w:pPr>
        <w:pStyle w:val="ListNumber"/>
        <w:numPr>
          <w:ilvl w:val="0"/>
          <w:numId w:val="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549FE">
        <w:rPr>
          <w:rFonts w:asciiTheme="minorHAnsi" w:hAnsiTheme="minorHAnsi" w:cstheme="minorHAnsi"/>
          <w:sz w:val="24"/>
          <w:szCs w:val="24"/>
        </w:rPr>
        <w:t xml:space="preserve">The opening </w:t>
      </w:r>
      <w:r w:rsidR="006B5D51" w:rsidRPr="00C549FE">
        <w:rPr>
          <w:rFonts w:asciiTheme="minorHAnsi" w:hAnsiTheme="minorHAnsi" w:cstheme="minorHAnsi"/>
          <w:sz w:val="24"/>
          <w:szCs w:val="24"/>
        </w:rPr>
        <w:t xml:space="preserve">dates for project </w:t>
      </w:r>
      <w:r w:rsidRPr="00C549FE">
        <w:rPr>
          <w:rFonts w:asciiTheme="minorHAnsi" w:hAnsiTheme="minorHAnsi" w:cstheme="minorHAnsi"/>
          <w:sz w:val="24"/>
          <w:szCs w:val="24"/>
        </w:rPr>
        <w:t xml:space="preserve">applications for </w:t>
      </w:r>
      <w:r w:rsidR="001B1616" w:rsidRPr="00C549FE">
        <w:rPr>
          <w:rFonts w:asciiTheme="minorHAnsi" w:hAnsiTheme="minorHAnsi" w:cstheme="minorHAnsi"/>
          <w:sz w:val="24"/>
          <w:szCs w:val="24"/>
        </w:rPr>
        <w:t xml:space="preserve">each state </w:t>
      </w:r>
      <w:r w:rsidRPr="00C549FE">
        <w:rPr>
          <w:rFonts w:asciiTheme="minorHAnsi" w:hAnsiTheme="minorHAnsi" w:cstheme="minorHAnsi"/>
          <w:sz w:val="24"/>
          <w:szCs w:val="24"/>
        </w:rPr>
        <w:t>will occur</w:t>
      </w:r>
      <w:r w:rsidR="001B1616" w:rsidRPr="00C549FE">
        <w:rPr>
          <w:rFonts w:asciiTheme="minorHAnsi" w:hAnsiTheme="minorHAnsi" w:cstheme="minorHAnsi"/>
          <w:sz w:val="24"/>
          <w:szCs w:val="24"/>
        </w:rPr>
        <w:t xml:space="preserve"> at 12.00pm</w:t>
      </w:r>
      <w:r w:rsidR="00395210" w:rsidRPr="00C549FE">
        <w:rPr>
          <w:rFonts w:asciiTheme="minorHAnsi" w:hAnsiTheme="minorHAnsi" w:cstheme="minorHAnsi"/>
          <w:sz w:val="24"/>
          <w:szCs w:val="24"/>
        </w:rPr>
        <w:t xml:space="preserve"> </w:t>
      </w:r>
      <w:r w:rsidR="00395210" w:rsidRPr="0015468C">
        <w:rPr>
          <w:rFonts w:asciiTheme="minorHAnsi" w:hAnsiTheme="minorHAnsi" w:cstheme="minorHAnsi"/>
          <w:sz w:val="24"/>
          <w:szCs w:val="24"/>
        </w:rPr>
        <w:t>local time</w:t>
      </w:r>
      <w:r w:rsidR="00595692">
        <w:rPr>
          <w:rFonts w:asciiTheme="minorHAnsi" w:hAnsiTheme="minorHAnsi" w:cstheme="minorHAnsi"/>
          <w:sz w:val="24"/>
          <w:szCs w:val="24"/>
        </w:rPr>
        <w:t xml:space="preserve"> </w:t>
      </w:r>
      <w:r w:rsidR="006B5D51">
        <w:rPr>
          <w:rFonts w:asciiTheme="minorHAnsi" w:hAnsiTheme="minorHAnsi" w:cstheme="minorHAnsi"/>
          <w:sz w:val="24"/>
          <w:szCs w:val="24"/>
        </w:rPr>
        <w:t>o</w:t>
      </w:r>
      <w:r w:rsidRPr="006B5D51">
        <w:rPr>
          <w:rFonts w:asciiTheme="minorHAnsi" w:hAnsiTheme="minorHAnsi" w:cstheme="minorHAnsi"/>
          <w:sz w:val="24"/>
          <w:szCs w:val="24"/>
        </w:rPr>
        <w:t>n the</w:t>
      </w:r>
      <w:r w:rsidR="001B1616" w:rsidRPr="006B5D51">
        <w:rPr>
          <w:rFonts w:asciiTheme="minorHAnsi" w:hAnsiTheme="minorHAnsi" w:cstheme="minorHAnsi"/>
          <w:sz w:val="24"/>
          <w:szCs w:val="24"/>
        </w:rPr>
        <w:t xml:space="preserve"> </w:t>
      </w:r>
      <w:r w:rsidRPr="006B5D51">
        <w:rPr>
          <w:rFonts w:asciiTheme="minorHAnsi" w:hAnsiTheme="minorHAnsi" w:cstheme="minorHAnsi"/>
          <w:sz w:val="24"/>
          <w:szCs w:val="24"/>
        </w:rPr>
        <w:t xml:space="preserve">following </w:t>
      </w:r>
      <w:r w:rsidR="006B5D51">
        <w:rPr>
          <w:rFonts w:asciiTheme="minorHAnsi" w:hAnsiTheme="minorHAnsi" w:cstheme="minorHAnsi"/>
          <w:sz w:val="24"/>
          <w:szCs w:val="24"/>
        </w:rPr>
        <w:t xml:space="preserve">days: </w:t>
      </w:r>
    </w:p>
    <w:tbl>
      <w:tblPr>
        <w:tblStyle w:val="PlainTable1"/>
        <w:tblW w:w="0" w:type="auto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006"/>
        <w:gridCol w:w="3008"/>
        <w:gridCol w:w="2992"/>
      </w:tblGrid>
      <w:tr w:rsidR="005B0796" w:rsidRPr="0015468C" w14:paraId="5208DD69" w14:textId="77777777" w:rsidTr="00565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FD9E" w14:textId="77777777" w:rsidR="005B0796" w:rsidRPr="0015468C" w:rsidRDefault="005B0796" w:rsidP="00565668">
            <w:pPr>
              <w:spacing w:after="160" w:line="259" w:lineRule="auto"/>
              <w:rPr>
                <w:b w:val="0"/>
                <w:bCs w:val="0"/>
              </w:rPr>
            </w:pPr>
            <w:bookmarkStart w:id="0" w:name="_Hlk159419611"/>
            <w:r w:rsidRPr="00565668">
              <w:t>Jurisdiction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57CF" w14:textId="77777777" w:rsidR="005B0796" w:rsidRPr="0015468C" w:rsidRDefault="005B0796">
            <w:pPr>
              <w:rPr>
                <w:b w:val="0"/>
                <w:bCs w:val="0"/>
              </w:rPr>
            </w:pPr>
            <w:r w:rsidRPr="0015468C">
              <w:rPr>
                <w:color w:val="FFFFFF"/>
              </w:rPr>
              <w:t>Opening Date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8FFE" w14:textId="77777777" w:rsidR="005B0796" w:rsidRPr="0015468C" w:rsidRDefault="005B0796">
            <w:pPr>
              <w:rPr>
                <w:b w:val="0"/>
                <w:bCs w:val="0"/>
              </w:rPr>
            </w:pPr>
            <w:r w:rsidRPr="0015468C">
              <w:rPr>
                <w:color w:val="FFFFFF"/>
              </w:rPr>
              <w:t>Opening Time</w:t>
            </w:r>
          </w:p>
        </w:tc>
      </w:tr>
      <w:tr w:rsidR="005B0796" w:rsidRPr="0085146C" w14:paraId="2F2ADBDA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F2B1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VIC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3936" w14:textId="77777777" w:rsidR="005B0796" w:rsidRPr="00CE4FB6" w:rsidRDefault="005B0796">
            <w:r w:rsidRPr="00CE4FB6">
              <w:rPr>
                <w:color w:val="000000"/>
              </w:rPr>
              <w:t>Thursday 22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75FB" w14:textId="77777777" w:rsidR="005B0796" w:rsidRPr="00CE4FB6" w:rsidRDefault="005B0796">
            <w:r w:rsidRPr="00CE4FB6">
              <w:rPr>
                <w:color w:val="000000"/>
              </w:rPr>
              <w:t>12.00pm AEDT</w:t>
            </w:r>
          </w:p>
        </w:tc>
      </w:tr>
      <w:tr w:rsidR="005B0796" w:rsidRPr="0085146C" w14:paraId="43B6E2DB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007B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NT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30B2" w14:textId="77777777" w:rsidR="005B0796" w:rsidRPr="00CE4FB6" w:rsidRDefault="005B0796">
            <w:r w:rsidRPr="00CE4FB6">
              <w:t>Friday 23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F77A" w14:textId="77777777" w:rsidR="005B0796" w:rsidRPr="00CE4FB6" w:rsidRDefault="005B0796">
            <w:r w:rsidRPr="00CE4FB6">
              <w:t>12.00pm ACST</w:t>
            </w:r>
          </w:p>
        </w:tc>
      </w:tr>
      <w:tr w:rsidR="005B0796" w:rsidRPr="0085146C" w14:paraId="04FA4C38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B5BD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SA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E6C2" w14:textId="77777777" w:rsidR="005B0796" w:rsidRPr="00CE4FB6" w:rsidRDefault="005B0796">
            <w:r w:rsidRPr="00CE4FB6">
              <w:t>Friday 23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64D0" w14:textId="77777777" w:rsidR="005B0796" w:rsidRPr="00CE4FB6" w:rsidRDefault="005B0796">
            <w:r w:rsidRPr="00CE4FB6">
              <w:t>12.00pm ACDT</w:t>
            </w:r>
          </w:p>
        </w:tc>
      </w:tr>
      <w:tr w:rsidR="005B0796" w:rsidRPr="0085146C" w14:paraId="647BABD8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ACDB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NSW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FCFC" w14:textId="77777777" w:rsidR="005B0796" w:rsidRPr="00CE4FB6" w:rsidRDefault="005B0796">
            <w:r w:rsidRPr="00CE4FB6">
              <w:rPr>
                <w:color w:val="000000"/>
              </w:rPr>
              <w:t>Monday 26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4EED" w14:textId="77777777" w:rsidR="005B0796" w:rsidRPr="00CE4FB6" w:rsidRDefault="005B0796">
            <w:r w:rsidRPr="00CE4FB6">
              <w:rPr>
                <w:color w:val="000000"/>
              </w:rPr>
              <w:t>12.00pm AEDT</w:t>
            </w:r>
          </w:p>
        </w:tc>
      </w:tr>
      <w:tr w:rsidR="005B0796" w:rsidRPr="0085146C" w14:paraId="18DFC9BB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5DD3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lastRenderedPageBreak/>
              <w:t>WA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581E" w14:textId="77777777" w:rsidR="005B0796" w:rsidRPr="00CE4FB6" w:rsidRDefault="005B0796">
            <w:r w:rsidRPr="00CE4FB6">
              <w:t>Tuesday 27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6977" w14:textId="77777777" w:rsidR="005B0796" w:rsidRPr="00CE4FB6" w:rsidRDefault="005B0796">
            <w:r w:rsidRPr="00CE4FB6">
              <w:t>12.00pm AWST</w:t>
            </w:r>
          </w:p>
        </w:tc>
      </w:tr>
      <w:tr w:rsidR="005B0796" w:rsidRPr="0085146C" w14:paraId="25EF9679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DA0E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TAS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418" w14:textId="77777777" w:rsidR="005B0796" w:rsidRPr="00CE4FB6" w:rsidRDefault="005B0796">
            <w:r w:rsidRPr="00CE4FB6">
              <w:t>Tuesday 27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33F9" w14:textId="77777777" w:rsidR="005B0796" w:rsidRPr="00CE4FB6" w:rsidRDefault="005B0796">
            <w:r w:rsidRPr="00CE4FB6">
              <w:t>12.00pm AEDT</w:t>
            </w:r>
          </w:p>
        </w:tc>
      </w:tr>
      <w:tr w:rsidR="005B0796" w:rsidRPr="0085146C" w14:paraId="33EF5384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7094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ACT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C8B1" w14:textId="77777777" w:rsidR="005B0796" w:rsidRPr="00CE4FB6" w:rsidRDefault="005B0796">
            <w:r w:rsidRPr="00CE4FB6">
              <w:t>Tuesday 27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E991" w14:textId="77777777" w:rsidR="005B0796" w:rsidRPr="00CE4FB6" w:rsidRDefault="005B0796">
            <w:r w:rsidRPr="00CE4FB6">
              <w:t>12.00pm AEDT</w:t>
            </w:r>
          </w:p>
        </w:tc>
      </w:tr>
      <w:tr w:rsidR="005B0796" w:rsidRPr="0085146C" w14:paraId="1BE8ACA8" w14:textId="77777777" w:rsidTr="00565668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C1E5" w14:textId="77777777" w:rsidR="005B0796" w:rsidRPr="00565668" w:rsidRDefault="005B0796" w:rsidP="00565668">
            <w:pPr>
              <w:spacing w:after="160" w:line="259" w:lineRule="auto"/>
              <w:rPr>
                <w:b/>
                <w:bCs/>
              </w:rPr>
            </w:pPr>
            <w:r w:rsidRPr="00565668">
              <w:rPr>
                <w:b/>
                <w:bCs/>
              </w:rPr>
              <w:t>QLD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7151" w14:textId="77777777" w:rsidR="005B0796" w:rsidRPr="00CE4FB6" w:rsidRDefault="005B0796">
            <w:r w:rsidRPr="00CE4FB6">
              <w:rPr>
                <w:color w:val="000000"/>
              </w:rPr>
              <w:t>Wednesday 28 February 2024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0579" w14:textId="77777777" w:rsidR="005B0796" w:rsidRPr="00CE4FB6" w:rsidRDefault="005B0796">
            <w:r w:rsidRPr="00CE4FB6">
              <w:rPr>
                <w:color w:val="000000"/>
              </w:rPr>
              <w:t>12.00pm AEST</w:t>
            </w:r>
          </w:p>
        </w:tc>
      </w:tr>
      <w:bookmarkEnd w:id="0"/>
    </w:tbl>
    <w:p w14:paraId="442EBEFB" w14:textId="77777777" w:rsidR="002F08D1" w:rsidRPr="006B5D51" w:rsidRDefault="002F08D1" w:rsidP="002F08D1">
      <w:pPr>
        <w:rPr>
          <w:rFonts w:eastAsia="Times New Roman" w:cstheme="minorHAnsi"/>
          <w:sz w:val="24"/>
          <w:szCs w:val="24"/>
        </w:rPr>
      </w:pPr>
    </w:p>
    <w:p w14:paraId="1D7B8206" w14:textId="71D14B1A" w:rsidR="002F08D1" w:rsidRPr="006B5D51" w:rsidRDefault="002F08D1" w:rsidP="001B1616">
      <w:pPr>
        <w:pStyle w:val="ListNumber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6B5D51">
        <w:rPr>
          <w:rFonts w:asciiTheme="minorHAnsi" w:hAnsiTheme="minorHAnsi" w:cstheme="minorHAnsi"/>
          <w:sz w:val="24"/>
          <w:szCs w:val="24"/>
        </w:rPr>
        <w:t>Applications are scheduled to close at 5:00pm Australian Eastern Daylight Time on 8 April 2024 in all jurisdictions. As this is a demand driven grant opportunity, applications may close earlier than this date if the available funding for the grant opportunity has been exhausted.</w:t>
      </w:r>
    </w:p>
    <w:p w14:paraId="5A85479F" w14:textId="77777777" w:rsidR="00C266A6" w:rsidRPr="000077D8" w:rsidRDefault="00C266A6" w:rsidP="00170E17">
      <w:pPr>
        <w:pStyle w:val="Heading2"/>
      </w:pPr>
      <w:r w:rsidRPr="000077D8">
        <w:t>My jurisdiction round opens later. Will I be disadvantaged?</w:t>
      </w:r>
    </w:p>
    <w:p w14:paraId="461997D9" w14:textId="77777777" w:rsidR="00C266A6" w:rsidRDefault="00C266A6" w:rsidP="00C266A6">
      <w:pPr>
        <w:spacing w:after="0" w:line="240" w:lineRule="auto"/>
      </w:pPr>
    </w:p>
    <w:p w14:paraId="786C748E" w14:textId="77777777" w:rsidR="00BD458E" w:rsidRDefault="00BD458E" w:rsidP="002343B4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Grant</w:t>
      </w:r>
      <w:r>
        <w:rPr>
          <w:sz w:val="24"/>
          <w:szCs w:val="24"/>
        </w:rPr>
        <w:t xml:space="preserve"> funding is distributed </w:t>
      </w:r>
      <w:r w:rsidRPr="008B4A8C">
        <w:rPr>
          <w:sz w:val="24"/>
          <w:szCs w:val="24"/>
        </w:rPr>
        <w:t>between the states and territories based on the distribution of small and medium businesses across the country.</w:t>
      </w:r>
    </w:p>
    <w:p w14:paraId="09ACDC7D" w14:textId="77777777" w:rsidR="00BD458E" w:rsidRDefault="00BD458E" w:rsidP="002343B4">
      <w:pPr>
        <w:spacing w:after="0" w:line="240" w:lineRule="auto"/>
        <w:rPr>
          <w:sz w:val="24"/>
          <w:szCs w:val="24"/>
        </w:rPr>
      </w:pPr>
    </w:p>
    <w:p w14:paraId="6FC4EE33" w14:textId="3B67C5CF" w:rsidR="002343B4" w:rsidRDefault="00BD458E" w:rsidP="002343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t</w:t>
      </w:r>
      <w:r w:rsidR="00C266A6" w:rsidRPr="004B6560">
        <w:rPr>
          <w:sz w:val="24"/>
          <w:szCs w:val="24"/>
        </w:rPr>
        <w:t>he</w:t>
      </w:r>
      <w:r w:rsidR="00D34AC0">
        <w:rPr>
          <w:sz w:val="24"/>
          <w:szCs w:val="24"/>
        </w:rPr>
        <w:t xml:space="preserve">re is dedicated </w:t>
      </w:r>
      <w:r w:rsidR="00C266A6" w:rsidRPr="004B6560">
        <w:rPr>
          <w:sz w:val="24"/>
          <w:szCs w:val="24"/>
        </w:rPr>
        <w:t xml:space="preserve">funding </w:t>
      </w:r>
      <w:r w:rsidR="00D34AC0">
        <w:rPr>
          <w:sz w:val="24"/>
          <w:szCs w:val="24"/>
        </w:rPr>
        <w:t xml:space="preserve">amount for each state or territory, </w:t>
      </w:r>
      <w:r w:rsidR="00C266A6" w:rsidRPr="004B6560">
        <w:rPr>
          <w:sz w:val="24"/>
          <w:szCs w:val="24"/>
        </w:rPr>
        <w:t xml:space="preserve">you will only be competing against </w:t>
      </w:r>
      <w:r w:rsidR="00D34AC0">
        <w:rPr>
          <w:sz w:val="24"/>
          <w:szCs w:val="24"/>
        </w:rPr>
        <w:t xml:space="preserve">others </w:t>
      </w:r>
      <w:r w:rsidR="00C266A6" w:rsidRPr="004B6560">
        <w:rPr>
          <w:sz w:val="24"/>
          <w:szCs w:val="24"/>
        </w:rPr>
        <w:t xml:space="preserve">in the jurisdiction you are applying for. </w:t>
      </w:r>
    </w:p>
    <w:p w14:paraId="70F31EB3" w14:textId="77777777" w:rsidR="002343B4" w:rsidRDefault="002343B4" w:rsidP="002343B4">
      <w:pPr>
        <w:spacing w:after="0" w:line="240" w:lineRule="auto"/>
        <w:rPr>
          <w:sz w:val="24"/>
          <w:szCs w:val="24"/>
        </w:rPr>
      </w:pPr>
    </w:p>
    <w:p w14:paraId="19218B2A" w14:textId="61DF8828" w:rsidR="00C266A6" w:rsidRPr="004B6560" w:rsidRDefault="002343B4" w:rsidP="00C266A6">
      <w:pPr>
        <w:spacing w:after="0" w:line="240" w:lineRule="auto"/>
        <w:rPr>
          <w:rFonts w:eastAsia="Times New Roman"/>
          <w:color w:val="000000"/>
          <w:sz w:val="24"/>
          <w:szCs w:val="24"/>
          <w:lang w:eastAsia="en-AU"/>
        </w:rPr>
      </w:pP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You must apply </w:t>
      </w:r>
      <w:r>
        <w:rPr>
          <w:rFonts w:eastAsia="Times New Roman"/>
          <w:color w:val="000000"/>
          <w:sz w:val="24"/>
          <w:szCs w:val="24"/>
          <w:lang w:eastAsia="en-AU"/>
        </w:rPr>
        <w:t>in the application round for</w:t>
      </w: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 the state or territory where your </w:t>
      </w:r>
      <w:r>
        <w:rPr>
          <w:rFonts w:eastAsia="Times New Roman"/>
          <w:color w:val="000000"/>
          <w:sz w:val="24"/>
          <w:szCs w:val="24"/>
          <w:lang w:eastAsia="en-AU"/>
        </w:rPr>
        <w:t xml:space="preserve">grant </w:t>
      </w: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project </w:t>
      </w:r>
      <w:r>
        <w:rPr>
          <w:rFonts w:eastAsia="Times New Roman"/>
          <w:color w:val="000000"/>
          <w:sz w:val="24"/>
          <w:szCs w:val="24"/>
          <w:lang w:eastAsia="en-AU"/>
        </w:rPr>
        <w:t>will be</w:t>
      </w: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 physically located. </w:t>
      </w:r>
    </w:p>
    <w:p w14:paraId="14D9699B" w14:textId="26A8B246" w:rsidR="001B4864" w:rsidRDefault="001B4864" w:rsidP="0065536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27429EA4" w14:textId="77777777" w:rsidR="00AA450F" w:rsidRPr="00655367" w:rsidRDefault="00AA450F" w:rsidP="00170E17">
      <w:pPr>
        <w:pStyle w:val="Heading2"/>
      </w:pPr>
      <w:r w:rsidRPr="00655367">
        <w:t>How will the grants be distributed across states and territories?</w:t>
      </w:r>
    </w:p>
    <w:p w14:paraId="41CCB5D2" w14:textId="77777777" w:rsidR="00AA450F" w:rsidRDefault="00AA450F" w:rsidP="00AA450F">
      <w:pPr>
        <w:spacing w:after="0" w:line="240" w:lineRule="auto"/>
        <w:rPr>
          <w:sz w:val="24"/>
          <w:szCs w:val="24"/>
        </w:rPr>
      </w:pPr>
    </w:p>
    <w:p w14:paraId="656814A0" w14:textId="77777777" w:rsidR="00AA450F" w:rsidRDefault="00AA450F" w:rsidP="00AA450F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The grants will be awarded to businesses who meet the eligibility criteria on a first-come, first-served basis</w:t>
      </w:r>
      <w:r w:rsidRPr="00995027">
        <w:rPr>
          <w:sz w:val="24"/>
          <w:szCs w:val="24"/>
        </w:rPr>
        <w:t xml:space="preserve"> in order of application receipt, until the funding is exhausted in each jurisdiction</w:t>
      </w:r>
      <w:r w:rsidRPr="008B4A8C">
        <w:rPr>
          <w:sz w:val="24"/>
          <w:szCs w:val="24"/>
        </w:rPr>
        <w:t>. Grant</w:t>
      </w:r>
      <w:r>
        <w:rPr>
          <w:sz w:val="24"/>
          <w:szCs w:val="24"/>
        </w:rPr>
        <w:t xml:space="preserve"> funding is distributed </w:t>
      </w:r>
      <w:r w:rsidRPr="008B4A8C">
        <w:rPr>
          <w:sz w:val="24"/>
          <w:szCs w:val="24"/>
        </w:rPr>
        <w:t xml:space="preserve">between the states and territories based on the distribution of small and medium businesses across the country. </w:t>
      </w:r>
    </w:p>
    <w:p w14:paraId="64EC2812" w14:textId="77777777" w:rsidR="00AA450F" w:rsidRDefault="00AA450F" w:rsidP="00AA450F">
      <w:pPr>
        <w:spacing w:after="0" w:line="240" w:lineRule="auto"/>
        <w:rPr>
          <w:sz w:val="24"/>
          <w:szCs w:val="24"/>
        </w:rPr>
      </w:pPr>
    </w:p>
    <w:p w14:paraId="0E590E74" w14:textId="77777777" w:rsidR="00E24DF1" w:rsidRDefault="00E24DF1" w:rsidP="00AA450F">
      <w:pPr>
        <w:spacing w:after="0" w:line="240" w:lineRule="auto"/>
        <w:rPr>
          <w:rFonts w:eastAsia="Times New Roman"/>
          <w:color w:val="000000"/>
          <w:sz w:val="24"/>
          <w:szCs w:val="24"/>
          <w:lang w:eastAsia="en-AU"/>
        </w:rPr>
      </w:pP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You must apply </w:t>
      </w:r>
      <w:r>
        <w:rPr>
          <w:rFonts w:eastAsia="Times New Roman"/>
          <w:color w:val="000000"/>
          <w:sz w:val="24"/>
          <w:szCs w:val="24"/>
          <w:lang w:eastAsia="en-AU"/>
        </w:rPr>
        <w:t>in the application round for</w:t>
      </w: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 the state or territory where your </w:t>
      </w:r>
      <w:r>
        <w:rPr>
          <w:rFonts w:eastAsia="Times New Roman"/>
          <w:color w:val="000000"/>
          <w:sz w:val="24"/>
          <w:szCs w:val="24"/>
          <w:lang w:eastAsia="en-AU"/>
        </w:rPr>
        <w:t xml:space="preserve">grant </w:t>
      </w: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project </w:t>
      </w:r>
      <w:r>
        <w:rPr>
          <w:rFonts w:eastAsia="Times New Roman"/>
          <w:color w:val="000000"/>
          <w:sz w:val="24"/>
          <w:szCs w:val="24"/>
          <w:lang w:eastAsia="en-AU"/>
        </w:rPr>
        <w:t>will be</w:t>
      </w:r>
      <w:r w:rsidRPr="00E43B4C">
        <w:rPr>
          <w:rFonts w:eastAsia="Times New Roman"/>
          <w:color w:val="000000"/>
          <w:sz w:val="24"/>
          <w:szCs w:val="24"/>
          <w:lang w:eastAsia="en-AU"/>
        </w:rPr>
        <w:t xml:space="preserve"> physically located. </w:t>
      </w:r>
    </w:p>
    <w:p w14:paraId="3250A74D" w14:textId="77777777" w:rsidR="00AA450F" w:rsidRDefault="00AA450F" w:rsidP="00AA450F">
      <w:pPr>
        <w:spacing w:after="0" w:line="240" w:lineRule="auto"/>
        <w:rPr>
          <w:sz w:val="24"/>
          <w:szCs w:val="24"/>
        </w:rPr>
      </w:pPr>
    </w:p>
    <w:p w14:paraId="5B2F0705" w14:textId="363476FB" w:rsidR="00AA450F" w:rsidRDefault="00AA450F" w:rsidP="00AA450F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Please refer to the grant guidelines for more information.</w:t>
      </w:r>
    </w:p>
    <w:p w14:paraId="687C931A" w14:textId="77777777" w:rsidR="006C47D1" w:rsidRPr="008B4A8C" w:rsidRDefault="006C47D1" w:rsidP="00AA450F">
      <w:pPr>
        <w:spacing w:after="0" w:line="240" w:lineRule="auto"/>
        <w:rPr>
          <w:sz w:val="24"/>
          <w:szCs w:val="24"/>
        </w:rPr>
      </w:pPr>
    </w:p>
    <w:p w14:paraId="5C412ED1" w14:textId="360EADF1" w:rsidR="00251FAF" w:rsidRPr="00655367" w:rsidRDefault="00251FAF" w:rsidP="00170E17">
      <w:pPr>
        <w:pStyle w:val="Heading2"/>
      </w:pPr>
      <w:r w:rsidRPr="00655367">
        <w:t xml:space="preserve">Can an applicant apply for Round 2 if they received funding in Round 1? </w:t>
      </w:r>
    </w:p>
    <w:p w14:paraId="7D8501BD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4BADEFDA" w14:textId="340007FF" w:rsidR="00251FAF" w:rsidRDefault="0064697E" w:rsidP="00655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are not eligible for a grant in Round 2 if you were successful and received funding in Round 1. </w:t>
      </w:r>
    </w:p>
    <w:p w14:paraId="21CD7BBD" w14:textId="77777777" w:rsidR="00C74D4E" w:rsidRDefault="00C74D4E" w:rsidP="00655367">
      <w:pPr>
        <w:spacing w:after="0" w:line="240" w:lineRule="auto"/>
        <w:rPr>
          <w:sz w:val="24"/>
          <w:szCs w:val="24"/>
        </w:rPr>
      </w:pPr>
    </w:p>
    <w:p w14:paraId="17767518" w14:textId="77777777" w:rsidR="00AC3B70" w:rsidRPr="00AC3B70" w:rsidRDefault="00AC3B70" w:rsidP="00AC3B70">
      <w:pPr>
        <w:shd w:val="clear" w:color="auto" w:fill="FFFFFF" w:themeFill="background1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AC3B70">
        <w:rPr>
          <w:rFonts w:cstheme="minorHAnsi"/>
          <w:kern w:val="2"/>
          <w:sz w:val="24"/>
          <w:szCs w:val="24"/>
          <w14:ligatures w14:val="standardContextual"/>
        </w:rPr>
        <w:t>If a business applied in Round 1 and did not receive funding, we encourage them to consider reapplying for Round 2.</w:t>
      </w:r>
    </w:p>
    <w:p w14:paraId="326ADBD1" w14:textId="77777777" w:rsidR="00D011F1" w:rsidRDefault="00D011F1" w:rsidP="00655367">
      <w:pPr>
        <w:spacing w:after="0" w:line="240" w:lineRule="auto"/>
        <w:rPr>
          <w:sz w:val="24"/>
          <w:szCs w:val="24"/>
        </w:rPr>
      </w:pPr>
    </w:p>
    <w:p w14:paraId="013ACFF3" w14:textId="69D03A9B" w:rsidR="00F71952" w:rsidRDefault="00F71952" w:rsidP="00170E17">
      <w:pPr>
        <w:pStyle w:val="Heading2"/>
      </w:pPr>
      <w:r w:rsidRPr="00A85AD9">
        <w:t xml:space="preserve">Can </w:t>
      </w:r>
      <w:r w:rsidR="00371EB7">
        <w:t xml:space="preserve">I apply for more than one </w:t>
      </w:r>
      <w:r w:rsidR="00A85AD9" w:rsidRPr="00A85AD9">
        <w:t>grant</w:t>
      </w:r>
      <w:r w:rsidR="00481EB7">
        <w:t xml:space="preserve"> for different projects</w:t>
      </w:r>
      <w:r w:rsidR="00A85AD9" w:rsidRPr="00A85AD9">
        <w:t xml:space="preserve">? </w:t>
      </w:r>
    </w:p>
    <w:p w14:paraId="4327E6FD" w14:textId="722D91FC" w:rsidR="0049429D" w:rsidRDefault="007647F9" w:rsidP="00655367">
      <w:pPr>
        <w:spacing w:after="0" w:line="240" w:lineRule="auto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68049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You can only receive one grant per applicant (as determined by </w:t>
      </w:r>
      <w:r w:rsidR="00D6748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your</w:t>
      </w:r>
      <w:r w:rsidRPr="00680492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ABN). If you submit more than one application, only the first eligible application will be funded.</w:t>
      </w:r>
    </w:p>
    <w:p w14:paraId="4C8BE1BE" w14:textId="77777777" w:rsidR="002C06EF" w:rsidRDefault="002C06EF" w:rsidP="00655367">
      <w:pPr>
        <w:spacing w:after="0" w:line="240" w:lineRule="auto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6CE99965" w14:textId="59FDEA78" w:rsidR="002C06EF" w:rsidRPr="001B1616" w:rsidRDefault="002C06EF" w:rsidP="00655367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Your </w:t>
      </w:r>
      <w:r w:rsidR="00D0075F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application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can include one or more </w:t>
      </w:r>
      <w:r w:rsidR="001B3C2D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eligible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activities</w:t>
      </w:r>
      <w:r w:rsidR="00F147F6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11AE87D" w14:textId="77777777" w:rsidR="0049429D" w:rsidRDefault="0049429D" w:rsidP="0065536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AD7558F" w14:textId="6CD561EE" w:rsidR="00251FAF" w:rsidRPr="00655367" w:rsidRDefault="00251FAF" w:rsidP="00170E17">
      <w:pPr>
        <w:pStyle w:val="Heading2"/>
      </w:pPr>
      <w:r w:rsidRPr="00655367">
        <w:t>Can I receive funding if my project also receives funding from another government program?</w:t>
      </w:r>
    </w:p>
    <w:p w14:paraId="13AC3484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2ACD193A" w14:textId="77777777" w:rsidR="00655367" w:rsidRDefault="00251FAF" w:rsidP="00655367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You are not eligible for funding if your project, for which you are seeking funding under this grant program, receives funding from another Commonwealth, state or territory government program. </w:t>
      </w:r>
    </w:p>
    <w:p w14:paraId="4F5EBD73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61FA4735" w14:textId="194D8E74" w:rsidR="00251FAF" w:rsidRPr="008B4A8C" w:rsidRDefault="00251FAF" w:rsidP="00655367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In this context ‘funding’ includes, but is not limited to, grants, rebates, contributions, </w:t>
      </w:r>
      <w:proofErr w:type="gramStart"/>
      <w:r w:rsidRPr="008B4A8C">
        <w:rPr>
          <w:sz w:val="24"/>
          <w:szCs w:val="24"/>
        </w:rPr>
        <w:t>certifications</w:t>
      </w:r>
      <w:proofErr w:type="gramEnd"/>
      <w:r w:rsidRPr="008B4A8C">
        <w:rPr>
          <w:sz w:val="24"/>
          <w:szCs w:val="24"/>
        </w:rPr>
        <w:t xml:space="preserve"> and certificates that have a value and any other form of financial assistance.</w:t>
      </w:r>
    </w:p>
    <w:p w14:paraId="323563E8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3FF34203" w14:textId="77777777" w:rsidR="00655367" w:rsidRDefault="00251FAF" w:rsidP="00655367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You may apply for a grant under this grant program in addition to other funding from other Commonwealth, state or territory government programs, however, if your application is successful for any </w:t>
      </w:r>
      <w:proofErr w:type="gramStart"/>
      <w:r w:rsidRPr="008B4A8C">
        <w:rPr>
          <w:sz w:val="24"/>
          <w:szCs w:val="24"/>
        </w:rPr>
        <w:t>program</w:t>
      </w:r>
      <w:proofErr w:type="gramEnd"/>
      <w:r w:rsidRPr="008B4A8C">
        <w:rPr>
          <w:sz w:val="24"/>
          <w:szCs w:val="24"/>
        </w:rPr>
        <w:t xml:space="preserve"> you must elect whether to proceed with this grant program only or the alternative funding program. </w:t>
      </w:r>
    </w:p>
    <w:p w14:paraId="751CBD96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1EE72B92" w14:textId="72384E32" w:rsidR="00251FAF" w:rsidRDefault="00251FAF" w:rsidP="00655367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If you enter a grant agreement under this grant program you cannot receive other funding for the same activities from other Commonwealth, state or territory programs.</w:t>
      </w:r>
    </w:p>
    <w:p w14:paraId="40487771" w14:textId="77777777" w:rsidR="00763DCE" w:rsidRDefault="00763DCE" w:rsidP="00655367">
      <w:pPr>
        <w:spacing w:after="0" w:line="240" w:lineRule="auto"/>
        <w:rPr>
          <w:sz w:val="24"/>
          <w:szCs w:val="24"/>
        </w:rPr>
      </w:pPr>
    </w:p>
    <w:p w14:paraId="576A811D" w14:textId="448F9424" w:rsidR="00AC3B17" w:rsidRPr="00995027" w:rsidRDefault="00AC3B17" w:rsidP="00170E17">
      <w:pPr>
        <w:pStyle w:val="Heading2"/>
      </w:pPr>
      <w:r w:rsidRPr="00995027">
        <w:t>What can the grant money be used for?</w:t>
      </w:r>
    </w:p>
    <w:p w14:paraId="00ADBB54" w14:textId="77777777" w:rsidR="00AC3B17" w:rsidRDefault="00AC3B17" w:rsidP="00AC3B17">
      <w:pPr>
        <w:spacing w:after="0" w:line="240" w:lineRule="auto"/>
        <w:rPr>
          <w:sz w:val="24"/>
          <w:szCs w:val="24"/>
        </w:rPr>
      </w:pPr>
    </w:p>
    <w:p w14:paraId="2BE82AF3" w14:textId="1B0A9974" w:rsidR="00AC3B17" w:rsidRPr="00995027" w:rsidRDefault="00AC3B17" w:rsidP="00995027">
      <w:pPr>
        <w:spacing w:after="0" w:line="240" w:lineRule="auto"/>
        <w:rPr>
          <w:sz w:val="24"/>
          <w:szCs w:val="24"/>
        </w:rPr>
      </w:pPr>
      <w:r w:rsidRPr="00995027">
        <w:rPr>
          <w:sz w:val="24"/>
          <w:szCs w:val="24"/>
        </w:rPr>
        <w:t xml:space="preserve">Grants from $10,000 to $25,000 can be used to cover up to 100% of eligible project expenditure. </w:t>
      </w:r>
    </w:p>
    <w:p w14:paraId="4FFA8BA9" w14:textId="77777777" w:rsidR="00AC3B17" w:rsidRDefault="00AC3B17" w:rsidP="00AC3B17">
      <w:pPr>
        <w:spacing w:after="0" w:line="240" w:lineRule="auto"/>
        <w:rPr>
          <w:sz w:val="24"/>
          <w:szCs w:val="24"/>
        </w:rPr>
      </w:pPr>
    </w:p>
    <w:p w14:paraId="04C477F5" w14:textId="6A5EC00C" w:rsidR="00AC3B17" w:rsidRPr="00995027" w:rsidRDefault="00AC3B17" w:rsidP="00995027">
      <w:pPr>
        <w:spacing w:after="0" w:line="240" w:lineRule="auto"/>
        <w:rPr>
          <w:sz w:val="24"/>
          <w:szCs w:val="24"/>
        </w:rPr>
      </w:pPr>
      <w:r w:rsidRPr="00995027">
        <w:rPr>
          <w:sz w:val="24"/>
          <w:szCs w:val="24"/>
        </w:rPr>
        <w:t>Eligible projects must:</w:t>
      </w:r>
    </w:p>
    <w:p w14:paraId="003AB704" w14:textId="77777777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 xml:space="preserve">be aimed at reducing the energy consumption of a business in </w:t>
      </w:r>
      <w:proofErr w:type="gramStart"/>
      <w:r w:rsidRPr="00995027">
        <w:rPr>
          <w:rFonts w:eastAsia="Times New Roman" w:cstheme="minorHAnsi"/>
          <w:sz w:val="24"/>
          <w:szCs w:val="24"/>
        </w:rPr>
        <w:t>Australia</w:t>
      </w:r>
      <w:proofErr w:type="gramEnd"/>
    </w:p>
    <w:p w14:paraId="678BD317" w14:textId="77777777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>have at least $10,000 in eligible expenditure.</w:t>
      </w:r>
    </w:p>
    <w:p w14:paraId="5619EBF2" w14:textId="77777777" w:rsidR="0015468C" w:rsidRDefault="0015468C" w:rsidP="0015468C">
      <w:pPr>
        <w:spacing w:after="0" w:line="240" w:lineRule="auto"/>
        <w:rPr>
          <w:sz w:val="24"/>
          <w:szCs w:val="24"/>
        </w:rPr>
      </w:pPr>
    </w:p>
    <w:p w14:paraId="673476DE" w14:textId="37BD96FE" w:rsidR="0015468C" w:rsidRPr="0015468C" w:rsidRDefault="0015468C" w:rsidP="0015468C">
      <w:pPr>
        <w:spacing w:after="0" w:line="240" w:lineRule="auto"/>
        <w:rPr>
          <w:sz w:val="24"/>
          <w:szCs w:val="24"/>
        </w:rPr>
      </w:pPr>
      <w:r w:rsidRPr="0015468C">
        <w:rPr>
          <w:sz w:val="24"/>
          <w:szCs w:val="24"/>
        </w:rPr>
        <w:t>Appendix B in the grant guidelines provides a detailed list of eligible activities, you must select activities from the list. You can select more than one activity.</w:t>
      </w:r>
    </w:p>
    <w:p w14:paraId="323B8515" w14:textId="77777777" w:rsidR="00DC43FA" w:rsidRDefault="00DC43FA" w:rsidP="00AC3B17">
      <w:pPr>
        <w:spacing w:after="0" w:line="240" w:lineRule="auto"/>
        <w:rPr>
          <w:sz w:val="24"/>
          <w:szCs w:val="24"/>
        </w:rPr>
      </w:pPr>
    </w:p>
    <w:p w14:paraId="7A2E13DD" w14:textId="0E1E0F3E" w:rsidR="00AC3B17" w:rsidRPr="00995027" w:rsidRDefault="00AC3B17" w:rsidP="00995027">
      <w:pPr>
        <w:spacing w:after="0" w:line="240" w:lineRule="auto"/>
        <w:rPr>
          <w:sz w:val="24"/>
          <w:szCs w:val="24"/>
        </w:rPr>
      </w:pPr>
      <w:r w:rsidRPr="00995027">
        <w:rPr>
          <w:sz w:val="24"/>
          <w:szCs w:val="24"/>
        </w:rPr>
        <w:t>A project may include the following activities:</w:t>
      </w:r>
    </w:p>
    <w:p w14:paraId="54BCECD6" w14:textId="6D6DDD69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>an energy audit of a business site or part of the site</w:t>
      </w:r>
      <w:r w:rsidR="006C47D1">
        <w:rPr>
          <w:rFonts w:eastAsia="Times New Roman" w:cstheme="minorHAnsi"/>
          <w:sz w:val="24"/>
          <w:szCs w:val="24"/>
        </w:rPr>
        <w:t xml:space="preserve"> to AS/NZS 3598</w:t>
      </w:r>
    </w:p>
    <w:p w14:paraId="6ED6A8C7" w14:textId="33743B73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 xml:space="preserve">the design, and installation of </w:t>
      </w:r>
      <w:r w:rsidR="006C47D1">
        <w:rPr>
          <w:rFonts w:eastAsia="Times New Roman" w:cstheme="minorHAnsi"/>
          <w:sz w:val="24"/>
          <w:szCs w:val="24"/>
        </w:rPr>
        <w:t xml:space="preserve">new eligible </w:t>
      </w:r>
      <w:r w:rsidRPr="00995027">
        <w:rPr>
          <w:rFonts w:eastAsia="Times New Roman" w:cstheme="minorHAnsi"/>
          <w:sz w:val="24"/>
          <w:szCs w:val="24"/>
        </w:rPr>
        <w:t>equipment, including any necessary wiring or other electrical work</w:t>
      </w:r>
      <w:r w:rsidR="006C47D1">
        <w:rPr>
          <w:rFonts w:eastAsia="Times New Roman" w:cstheme="minorHAnsi"/>
          <w:sz w:val="24"/>
          <w:szCs w:val="24"/>
        </w:rPr>
        <w:t xml:space="preserve"> required to enable the </w:t>
      </w:r>
      <w:proofErr w:type="gramStart"/>
      <w:r w:rsidR="006C47D1">
        <w:rPr>
          <w:rFonts w:eastAsia="Times New Roman" w:cstheme="minorHAnsi"/>
          <w:sz w:val="24"/>
          <w:szCs w:val="24"/>
        </w:rPr>
        <w:t>project</w:t>
      </w:r>
      <w:proofErr w:type="gramEnd"/>
    </w:p>
    <w:p w14:paraId="3C15CEBB" w14:textId="243AA2DE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 xml:space="preserve">measuring, </w:t>
      </w:r>
      <w:proofErr w:type="gramStart"/>
      <w:r w:rsidRPr="00995027">
        <w:rPr>
          <w:rFonts w:eastAsia="Times New Roman" w:cstheme="minorHAnsi"/>
          <w:sz w:val="24"/>
          <w:szCs w:val="24"/>
        </w:rPr>
        <w:t>monitoring</w:t>
      </w:r>
      <w:proofErr w:type="gramEnd"/>
      <w:r w:rsidRPr="00995027">
        <w:rPr>
          <w:rFonts w:eastAsia="Times New Roman" w:cstheme="minorHAnsi"/>
          <w:sz w:val="24"/>
          <w:szCs w:val="24"/>
        </w:rPr>
        <w:t xml:space="preserve"> and recording energy usage</w:t>
      </w:r>
    </w:p>
    <w:p w14:paraId="2BA8C044" w14:textId="77777777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>the commissioning or tuning of equipment installed.</w:t>
      </w:r>
    </w:p>
    <w:p w14:paraId="383D70E9" w14:textId="77777777" w:rsidR="00CF7E0D" w:rsidRDefault="00CF7E0D" w:rsidP="00995027">
      <w:pPr>
        <w:spacing w:after="0" w:line="240" w:lineRule="auto"/>
        <w:rPr>
          <w:sz w:val="24"/>
          <w:szCs w:val="24"/>
        </w:rPr>
      </w:pPr>
    </w:p>
    <w:p w14:paraId="03E4AC80" w14:textId="1271F129" w:rsidR="00AC3B17" w:rsidRPr="00995027" w:rsidRDefault="00AC3B17" w:rsidP="00995027">
      <w:pPr>
        <w:spacing w:after="0" w:line="240" w:lineRule="auto"/>
        <w:rPr>
          <w:sz w:val="24"/>
          <w:szCs w:val="24"/>
        </w:rPr>
      </w:pPr>
      <w:r w:rsidRPr="00995027">
        <w:rPr>
          <w:sz w:val="24"/>
          <w:szCs w:val="24"/>
        </w:rPr>
        <w:t xml:space="preserve">For </w:t>
      </w:r>
      <w:proofErr w:type="gramStart"/>
      <w:r w:rsidRPr="00995027">
        <w:rPr>
          <w:sz w:val="24"/>
          <w:szCs w:val="24"/>
        </w:rPr>
        <w:t>example</w:t>
      </w:r>
      <w:proofErr w:type="gramEnd"/>
      <w:r w:rsidRPr="00995027">
        <w:rPr>
          <w:sz w:val="24"/>
          <w:szCs w:val="24"/>
        </w:rPr>
        <w:t xml:space="preserve"> grant funds could be used by: </w:t>
      </w:r>
    </w:p>
    <w:p w14:paraId="76BA5C06" w14:textId="77777777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>a motel to update its air conditioning, install wall or ceiling insulation, or replace an existing pool pump with a variable speed pump.</w:t>
      </w:r>
    </w:p>
    <w:p w14:paraId="666954DA" w14:textId="77777777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lastRenderedPageBreak/>
        <w:t xml:space="preserve">a small supermarket to replace refrigerated display cabinets with a new high efficiency </w:t>
      </w:r>
      <w:proofErr w:type="gramStart"/>
      <w:r w:rsidRPr="00995027">
        <w:rPr>
          <w:rFonts w:eastAsia="Times New Roman" w:cstheme="minorHAnsi"/>
          <w:sz w:val="24"/>
          <w:szCs w:val="24"/>
        </w:rPr>
        <w:t>unit, or</w:t>
      </w:r>
      <w:proofErr w:type="gramEnd"/>
      <w:r w:rsidRPr="00995027">
        <w:rPr>
          <w:rFonts w:eastAsia="Times New Roman" w:cstheme="minorHAnsi"/>
          <w:sz w:val="24"/>
          <w:szCs w:val="24"/>
        </w:rPr>
        <w:t xml:space="preserve"> replace the refrigeration compressor.</w:t>
      </w:r>
    </w:p>
    <w:p w14:paraId="108BB1C5" w14:textId="77777777" w:rsidR="00AC3B17" w:rsidRPr="00995027" w:rsidRDefault="00AC3B17" w:rsidP="00995027">
      <w:pPr>
        <w:pStyle w:val="ListParagraph"/>
        <w:numPr>
          <w:ilvl w:val="0"/>
          <w:numId w:val="8"/>
        </w:numPr>
        <w:tabs>
          <w:tab w:val="left" w:pos="3969"/>
        </w:tabs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995027">
        <w:rPr>
          <w:rFonts w:eastAsia="Times New Roman" w:cstheme="minorHAnsi"/>
          <w:sz w:val="24"/>
          <w:szCs w:val="24"/>
        </w:rPr>
        <w:t>A medium size manufacturing facility to install a power factor correction unit to reduce the maximum amount of power required at the site.</w:t>
      </w:r>
    </w:p>
    <w:p w14:paraId="716732B3" w14:textId="77777777" w:rsidR="00AC3B17" w:rsidRDefault="00AC3B17" w:rsidP="00AC3B17">
      <w:pPr>
        <w:spacing w:after="0" w:line="240" w:lineRule="auto"/>
        <w:rPr>
          <w:rFonts w:eastAsia="Calibri" w:cstheme="minorHAnsi"/>
        </w:rPr>
      </w:pPr>
    </w:p>
    <w:p w14:paraId="445A1888" w14:textId="0B22517F" w:rsidR="00ED41C5" w:rsidRDefault="00F30B19" w:rsidP="0065536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Round 1,</w:t>
      </w:r>
      <w:r w:rsidR="00A30301">
        <w:rPr>
          <w:rFonts w:cstheme="minorHAnsi"/>
          <w:sz w:val="24"/>
          <w:szCs w:val="24"/>
        </w:rPr>
        <w:t xml:space="preserve"> the </w:t>
      </w:r>
      <w:r w:rsidR="0015468C">
        <w:rPr>
          <w:rFonts w:cstheme="minorHAnsi"/>
          <w:sz w:val="24"/>
          <w:szCs w:val="24"/>
        </w:rPr>
        <w:t xml:space="preserve">most common </w:t>
      </w:r>
      <w:r w:rsidR="00A30301">
        <w:rPr>
          <w:rFonts w:cstheme="minorHAnsi"/>
          <w:sz w:val="24"/>
          <w:szCs w:val="24"/>
        </w:rPr>
        <w:t xml:space="preserve">projects included </w:t>
      </w:r>
      <w:r w:rsidR="00044F1C">
        <w:rPr>
          <w:rFonts w:cstheme="minorHAnsi"/>
          <w:sz w:val="24"/>
          <w:szCs w:val="24"/>
        </w:rPr>
        <w:t xml:space="preserve">heating and cooling upgrades, </w:t>
      </w:r>
      <w:r w:rsidR="0000388F">
        <w:rPr>
          <w:rFonts w:cstheme="minorHAnsi"/>
          <w:sz w:val="24"/>
          <w:szCs w:val="24"/>
        </w:rPr>
        <w:t>upgrades to motors compressors and pumps</w:t>
      </w:r>
      <w:r w:rsidR="00667507">
        <w:rPr>
          <w:rFonts w:cstheme="minorHAnsi"/>
          <w:sz w:val="24"/>
          <w:szCs w:val="24"/>
        </w:rPr>
        <w:t xml:space="preserve">, </w:t>
      </w:r>
      <w:r w:rsidR="007F023F">
        <w:rPr>
          <w:rFonts w:cstheme="minorHAnsi"/>
          <w:sz w:val="24"/>
          <w:szCs w:val="24"/>
        </w:rPr>
        <w:t xml:space="preserve">replacement of </w:t>
      </w:r>
      <w:r w:rsidR="00F6292F">
        <w:rPr>
          <w:rFonts w:cstheme="minorHAnsi"/>
          <w:sz w:val="24"/>
          <w:szCs w:val="24"/>
        </w:rPr>
        <w:t xml:space="preserve">commercial refrigerators and </w:t>
      </w:r>
      <w:r w:rsidR="00A06494">
        <w:rPr>
          <w:rFonts w:cstheme="minorHAnsi"/>
          <w:sz w:val="24"/>
          <w:szCs w:val="24"/>
        </w:rPr>
        <w:t xml:space="preserve">energy audits and </w:t>
      </w:r>
      <w:r w:rsidR="007F023F">
        <w:rPr>
          <w:rFonts w:cstheme="minorHAnsi"/>
          <w:sz w:val="24"/>
          <w:szCs w:val="24"/>
        </w:rPr>
        <w:t xml:space="preserve">energy </w:t>
      </w:r>
      <w:r w:rsidR="00A06494">
        <w:rPr>
          <w:rFonts w:cstheme="minorHAnsi"/>
          <w:sz w:val="24"/>
          <w:szCs w:val="24"/>
        </w:rPr>
        <w:t xml:space="preserve">monitoring systems. </w:t>
      </w:r>
    </w:p>
    <w:p w14:paraId="20064036" w14:textId="77777777" w:rsidR="006C47D1" w:rsidRDefault="006C47D1" w:rsidP="00655367">
      <w:pPr>
        <w:spacing w:after="0" w:line="240" w:lineRule="auto"/>
        <w:rPr>
          <w:rFonts w:cstheme="minorHAnsi"/>
          <w:sz w:val="24"/>
          <w:szCs w:val="24"/>
        </w:rPr>
      </w:pPr>
    </w:p>
    <w:p w14:paraId="103DCC8C" w14:textId="321380B9" w:rsidR="006C47D1" w:rsidRDefault="006C47D1" w:rsidP="0065536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choose to apply for an energy audit, you may wish to review this </w:t>
      </w:r>
      <w:hyperlink r:id="rId13" w:anchor="/energyauditing" w:history="1">
        <w:r w:rsidRPr="006C47D1">
          <w:rPr>
            <w:rStyle w:val="Hyperlink"/>
            <w:rFonts w:cstheme="minorHAnsi"/>
            <w:sz w:val="24"/>
            <w:szCs w:val="24"/>
          </w:rPr>
          <w:t>Quick Reference Guide to Energy Auditing</w:t>
        </w:r>
      </w:hyperlink>
      <w:r>
        <w:rPr>
          <w:rFonts w:cstheme="minorHAnsi"/>
          <w:sz w:val="24"/>
          <w:szCs w:val="24"/>
        </w:rPr>
        <w:t>.</w:t>
      </w:r>
    </w:p>
    <w:p w14:paraId="7C2D11ED" w14:textId="77777777" w:rsidR="0085075D" w:rsidRDefault="0085075D" w:rsidP="00655367">
      <w:pPr>
        <w:spacing w:after="0" w:line="240" w:lineRule="auto"/>
        <w:rPr>
          <w:rFonts w:cstheme="minorHAnsi"/>
          <w:sz w:val="24"/>
          <w:szCs w:val="24"/>
        </w:rPr>
      </w:pPr>
    </w:p>
    <w:p w14:paraId="788CA407" w14:textId="5DCD2618" w:rsidR="00447A72" w:rsidRDefault="00447A72" w:rsidP="00170E17">
      <w:pPr>
        <w:pStyle w:val="Heading2"/>
      </w:pPr>
      <w:r>
        <w:t>What evidence of costs should I provide for my project items?</w:t>
      </w:r>
    </w:p>
    <w:p w14:paraId="2374C7B5" w14:textId="3989DA55" w:rsidR="00447A72" w:rsidRDefault="00447A72" w:rsidP="00D73980">
      <w:pPr>
        <w:spacing w:after="0" w:line="240" w:lineRule="auto"/>
        <w:rPr>
          <w:rFonts w:cstheme="minorHAnsi"/>
          <w:b/>
          <w:iCs/>
          <w:color w:val="000000" w:themeColor="text1"/>
          <w:sz w:val="28"/>
          <w:szCs w:val="28"/>
        </w:rPr>
      </w:pPr>
    </w:p>
    <w:p w14:paraId="29EE55EA" w14:textId="52C3F6CB" w:rsidR="00447A72" w:rsidRPr="008B4A8C" w:rsidRDefault="00447A72" w:rsidP="00447A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Applicants will need to attach </w:t>
      </w:r>
      <w:r w:rsidR="004628F3">
        <w:rPr>
          <w:sz w:val="24"/>
          <w:szCs w:val="24"/>
        </w:rPr>
        <w:t xml:space="preserve">evidence of costs for their project items and/or activities. Evidence could include a </w:t>
      </w:r>
      <w:proofErr w:type="gramStart"/>
      <w:r w:rsidR="004628F3">
        <w:rPr>
          <w:sz w:val="24"/>
          <w:szCs w:val="24"/>
        </w:rPr>
        <w:t>quote</w:t>
      </w:r>
      <w:proofErr w:type="gramEnd"/>
      <w:r w:rsidR="004628F3">
        <w:rPr>
          <w:sz w:val="24"/>
          <w:szCs w:val="24"/>
        </w:rPr>
        <w:t xml:space="preserve"> or a catalogue/website advertised price for the item</w:t>
      </w:r>
      <w:r w:rsidRPr="008B4A8C">
        <w:rPr>
          <w:sz w:val="24"/>
          <w:szCs w:val="24"/>
        </w:rPr>
        <w:t>.</w:t>
      </w:r>
    </w:p>
    <w:p w14:paraId="3762ACE7" w14:textId="77777777" w:rsidR="00447A72" w:rsidRDefault="00447A72" w:rsidP="00447A72">
      <w:pPr>
        <w:spacing w:after="0" w:line="240" w:lineRule="auto"/>
        <w:rPr>
          <w:sz w:val="24"/>
          <w:szCs w:val="24"/>
        </w:rPr>
      </w:pPr>
    </w:p>
    <w:p w14:paraId="295BF424" w14:textId="1F921A8E" w:rsidR="00447A72" w:rsidRPr="004628F3" w:rsidRDefault="004628F3" w:rsidP="00D73980">
      <w:pPr>
        <w:spacing w:after="0" w:line="240" w:lineRule="auto"/>
        <w:rPr>
          <w:sz w:val="24"/>
          <w:szCs w:val="24"/>
        </w:rPr>
      </w:pPr>
      <w:r w:rsidRPr="004628F3">
        <w:rPr>
          <w:sz w:val="24"/>
          <w:szCs w:val="24"/>
        </w:rPr>
        <w:t>It is good practice to seek multiple quotes.</w:t>
      </w:r>
    </w:p>
    <w:p w14:paraId="640F70DA" w14:textId="77777777" w:rsidR="00447A72" w:rsidRDefault="00447A72" w:rsidP="00D73980">
      <w:pPr>
        <w:spacing w:after="0" w:line="240" w:lineRule="auto"/>
        <w:rPr>
          <w:rFonts w:cstheme="minorHAnsi"/>
          <w:b/>
          <w:iCs/>
          <w:color w:val="000000" w:themeColor="text1"/>
          <w:sz w:val="28"/>
          <w:szCs w:val="28"/>
        </w:rPr>
      </w:pPr>
    </w:p>
    <w:p w14:paraId="6A3D6DD2" w14:textId="5B3E1A87" w:rsidR="00D73980" w:rsidRPr="00655367" w:rsidRDefault="00D73980" w:rsidP="00170E17">
      <w:pPr>
        <w:pStyle w:val="Heading2"/>
      </w:pPr>
      <w:r w:rsidRPr="00655367">
        <w:t>What is the grant selection process?</w:t>
      </w:r>
    </w:p>
    <w:p w14:paraId="51AB0773" w14:textId="77777777" w:rsidR="00D73980" w:rsidRDefault="00D73980" w:rsidP="00D73980">
      <w:pPr>
        <w:spacing w:after="0" w:line="240" w:lineRule="auto"/>
        <w:rPr>
          <w:sz w:val="24"/>
          <w:szCs w:val="24"/>
        </w:rPr>
      </w:pPr>
    </w:p>
    <w:p w14:paraId="2949B1C7" w14:textId="48B35AEF" w:rsidR="00D73980" w:rsidRDefault="00D73980" w:rsidP="00D73980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The program uses a demand driven selection process. First, applications must meet the eligibility criteria. If eligible, grants will be awarded to eligible applicants on a first come, first served basis until the funding is exhausted</w:t>
      </w:r>
      <w:r>
        <w:rPr>
          <w:sz w:val="24"/>
          <w:szCs w:val="24"/>
        </w:rPr>
        <w:t xml:space="preserve"> in each state</w:t>
      </w:r>
      <w:r w:rsidR="00F84A9C">
        <w:rPr>
          <w:sz w:val="24"/>
          <w:szCs w:val="24"/>
        </w:rPr>
        <w:t xml:space="preserve"> or territory</w:t>
      </w:r>
      <w:r w:rsidRPr="008B4A8C">
        <w:rPr>
          <w:sz w:val="24"/>
          <w:szCs w:val="24"/>
        </w:rPr>
        <w:t xml:space="preserve">. </w:t>
      </w:r>
    </w:p>
    <w:p w14:paraId="13666498" w14:textId="77777777" w:rsidR="00FA57D1" w:rsidRDefault="00FA57D1" w:rsidP="00D73980">
      <w:pPr>
        <w:spacing w:after="0" w:line="240" w:lineRule="auto"/>
        <w:rPr>
          <w:sz w:val="24"/>
          <w:szCs w:val="24"/>
        </w:rPr>
      </w:pPr>
    </w:p>
    <w:p w14:paraId="25A8ACA7" w14:textId="06DF4875" w:rsidR="00FA57D1" w:rsidRDefault="00FA57D1" w:rsidP="00D739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Applications will be checked to ensure they meet the eligibility criteria in order of application receipt.</w:t>
      </w:r>
    </w:p>
    <w:p w14:paraId="774A035D" w14:textId="77777777" w:rsidR="00FA57D1" w:rsidRDefault="00FA57D1" w:rsidP="00D73980">
      <w:pPr>
        <w:spacing w:after="0" w:line="240" w:lineRule="auto"/>
        <w:rPr>
          <w:sz w:val="24"/>
          <w:szCs w:val="24"/>
        </w:rPr>
      </w:pPr>
    </w:p>
    <w:p w14:paraId="1D1FFAE4" w14:textId="2B9EDD29" w:rsidR="00FA57D1" w:rsidRDefault="00FA57D1" w:rsidP="00D739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Program Delegate in the Department of Industry, Science and Resources approves grants based on the eligibility criteria and the availability of grant funds in the relevant jurisdiction.</w:t>
      </w:r>
    </w:p>
    <w:p w14:paraId="0B35E175" w14:textId="77777777" w:rsidR="00D73980" w:rsidRDefault="00D73980" w:rsidP="00D73980">
      <w:pPr>
        <w:spacing w:after="0" w:line="240" w:lineRule="auto"/>
        <w:rPr>
          <w:sz w:val="24"/>
          <w:szCs w:val="24"/>
        </w:rPr>
      </w:pPr>
    </w:p>
    <w:p w14:paraId="6B6910BE" w14:textId="5A9D8FD1" w:rsidR="00655367" w:rsidRPr="001B5053" w:rsidRDefault="008F0BF8" w:rsidP="00170E17">
      <w:pPr>
        <w:pStyle w:val="Heading2"/>
      </w:pPr>
      <w:r w:rsidRPr="001B5053">
        <w:t>Will I be contacted if I ma</w:t>
      </w:r>
      <w:r w:rsidR="001B5053" w:rsidRPr="001B5053">
        <w:t>k</w:t>
      </w:r>
      <w:r w:rsidRPr="001B5053">
        <w:t xml:space="preserve">e a mistake in my application? </w:t>
      </w:r>
    </w:p>
    <w:p w14:paraId="4FC026FA" w14:textId="77777777" w:rsidR="008F0BF8" w:rsidRDefault="008F0BF8" w:rsidP="00655367">
      <w:pPr>
        <w:spacing w:after="0" w:line="240" w:lineRule="auto"/>
        <w:rPr>
          <w:sz w:val="24"/>
          <w:szCs w:val="24"/>
        </w:rPr>
      </w:pPr>
    </w:p>
    <w:p w14:paraId="49ABDA62" w14:textId="0DA26E9C" w:rsidR="008F0BF8" w:rsidRDefault="008F0BF8" w:rsidP="00655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Applications must be complete, with correct information and all mandatory documentation attached upon application su</w:t>
      </w:r>
      <w:r w:rsidR="001B5053">
        <w:rPr>
          <w:sz w:val="24"/>
          <w:szCs w:val="24"/>
        </w:rPr>
        <w:t>bmission.</w:t>
      </w:r>
    </w:p>
    <w:p w14:paraId="76DD2E3A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18A773BB" w14:textId="4C06318E" w:rsidR="00655367" w:rsidRDefault="001B5053" w:rsidP="00655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Department will not contact you if the application is incomplete or mandatory documents missing. </w:t>
      </w:r>
    </w:p>
    <w:p w14:paraId="10083A61" w14:textId="1F6E1938" w:rsidR="00655367" w:rsidRDefault="00655367" w:rsidP="00655367">
      <w:pPr>
        <w:spacing w:after="0" w:line="240" w:lineRule="auto"/>
        <w:rPr>
          <w:b/>
          <w:bCs/>
          <w:sz w:val="28"/>
          <w:szCs w:val="28"/>
        </w:rPr>
      </w:pPr>
    </w:p>
    <w:p w14:paraId="6497F54C" w14:textId="77777777" w:rsidR="001B7462" w:rsidRDefault="001B7462" w:rsidP="00655367">
      <w:pPr>
        <w:spacing w:after="0" w:line="240" w:lineRule="auto"/>
        <w:rPr>
          <w:sz w:val="24"/>
          <w:szCs w:val="24"/>
        </w:rPr>
      </w:pPr>
    </w:p>
    <w:p w14:paraId="7B7558DC" w14:textId="77777777" w:rsidR="00D73980" w:rsidRPr="00655367" w:rsidRDefault="00D73980" w:rsidP="00170E17">
      <w:pPr>
        <w:pStyle w:val="Heading2"/>
      </w:pPr>
      <w:r w:rsidRPr="00655367">
        <w:t>Will there be more funding opportunities offered under the Energy Efficiency Grants program?</w:t>
      </w:r>
    </w:p>
    <w:p w14:paraId="5FDEED0D" w14:textId="77777777" w:rsidR="00D73980" w:rsidRDefault="00D73980" w:rsidP="00D73980">
      <w:pPr>
        <w:spacing w:after="0" w:line="240" w:lineRule="auto"/>
        <w:rPr>
          <w:sz w:val="24"/>
          <w:szCs w:val="24"/>
        </w:rPr>
      </w:pPr>
    </w:p>
    <w:p w14:paraId="1F28335B" w14:textId="76C2095F" w:rsidR="00D73980" w:rsidRDefault="00EF1C95" w:rsidP="00D739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D73980">
        <w:rPr>
          <w:sz w:val="24"/>
          <w:szCs w:val="24"/>
        </w:rPr>
        <w:t xml:space="preserve">o further funding </w:t>
      </w:r>
      <w:r w:rsidR="008D1306">
        <w:rPr>
          <w:sz w:val="24"/>
          <w:szCs w:val="24"/>
        </w:rPr>
        <w:t xml:space="preserve">is </w:t>
      </w:r>
      <w:r w:rsidR="00D73980">
        <w:rPr>
          <w:sz w:val="24"/>
          <w:szCs w:val="24"/>
        </w:rPr>
        <w:t>available under the program</w:t>
      </w:r>
      <w:r>
        <w:rPr>
          <w:sz w:val="24"/>
          <w:szCs w:val="24"/>
        </w:rPr>
        <w:t>.</w:t>
      </w:r>
    </w:p>
    <w:p w14:paraId="12174F9F" w14:textId="77777777" w:rsidR="00D73980" w:rsidRDefault="00D73980" w:rsidP="00655367">
      <w:pPr>
        <w:spacing w:after="0" w:line="240" w:lineRule="auto"/>
        <w:rPr>
          <w:sz w:val="24"/>
          <w:szCs w:val="24"/>
        </w:rPr>
      </w:pPr>
    </w:p>
    <w:p w14:paraId="323C5CB8" w14:textId="77777777" w:rsidR="001B7462" w:rsidRPr="00655367" w:rsidRDefault="001B7462" w:rsidP="00170E17">
      <w:pPr>
        <w:pStyle w:val="Heading2"/>
      </w:pPr>
      <w:r w:rsidRPr="00655367">
        <w:lastRenderedPageBreak/>
        <w:t>When will businesses find out if they have been successful in getting a grant?</w:t>
      </w:r>
    </w:p>
    <w:p w14:paraId="50BDD4C9" w14:textId="77777777" w:rsidR="001B7462" w:rsidRDefault="001B7462" w:rsidP="001B7462">
      <w:pPr>
        <w:spacing w:after="0" w:line="240" w:lineRule="auto"/>
        <w:rPr>
          <w:sz w:val="24"/>
          <w:szCs w:val="24"/>
        </w:rPr>
      </w:pPr>
    </w:p>
    <w:p w14:paraId="1D9909F9" w14:textId="77777777" w:rsidR="001B7462" w:rsidRDefault="001B7462" w:rsidP="001B7462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 xml:space="preserve">It is anticipated that applicants will be contacted </w:t>
      </w:r>
      <w:r>
        <w:rPr>
          <w:sz w:val="24"/>
          <w:szCs w:val="24"/>
        </w:rPr>
        <w:t xml:space="preserve">in writing </w:t>
      </w:r>
      <w:r w:rsidRPr="008B4A8C">
        <w:rPr>
          <w:sz w:val="24"/>
          <w:szCs w:val="24"/>
        </w:rPr>
        <w:t>on or after June 202</w:t>
      </w:r>
      <w:r>
        <w:rPr>
          <w:sz w:val="24"/>
          <w:szCs w:val="24"/>
        </w:rPr>
        <w:t>4</w:t>
      </w:r>
      <w:r w:rsidRPr="008B4A8C">
        <w:rPr>
          <w:sz w:val="24"/>
          <w:szCs w:val="24"/>
        </w:rPr>
        <w:t xml:space="preserve"> with the outcome of their application.</w:t>
      </w:r>
    </w:p>
    <w:p w14:paraId="13205EF7" w14:textId="77777777" w:rsidR="001B7462" w:rsidRDefault="001B7462" w:rsidP="001B7462">
      <w:pPr>
        <w:spacing w:after="0" w:line="240" w:lineRule="auto"/>
        <w:rPr>
          <w:sz w:val="24"/>
          <w:szCs w:val="24"/>
        </w:rPr>
      </w:pPr>
    </w:p>
    <w:p w14:paraId="5BE7E479" w14:textId="77777777" w:rsidR="001B7462" w:rsidRDefault="001B7462" w:rsidP="001B74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Acceptance of the grant application form through the online portal does not automatically constitute approval of the grant. Each application is subject to a check against the eligibility criteria and confirmation there is sufficient funding available within the allocated state budget. </w:t>
      </w:r>
    </w:p>
    <w:p w14:paraId="6A34DF61" w14:textId="77777777" w:rsidR="001B7462" w:rsidRDefault="001B7462" w:rsidP="001B7462">
      <w:pPr>
        <w:spacing w:after="0" w:line="240" w:lineRule="auto"/>
        <w:rPr>
          <w:sz w:val="24"/>
          <w:szCs w:val="24"/>
        </w:rPr>
      </w:pPr>
    </w:p>
    <w:p w14:paraId="096A7BE3" w14:textId="77777777" w:rsidR="001B7462" w:rsidRDefault="001B7462" w:rsidP="001B74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successful, you will be required to enter into a legally binding grant agreement with the Commonwealth.   </w:t>
      </w:r>
    </w:p>
    <w:p w14:paraId="1844DA6F" w14:textId="77777777" w:rsidR="00487A4B" w:rsidRDefault="00487A4B" w:rsidP="00487A4B">
      <w:pPr>
        <w:spacing w:after="0" w:line="240" w:lineRule="auto"/>
        <w:rPr>
          <w:b/>
          <w:bCs/>
          <w:sz w:val="28"/>
          <w:szCs w:val="28"/>
        </w:rPr>
      </w:pPr>
    </w:p>
    <w:p w14:paraId="46027C69" w14:textId="13D784A9" w:rsidR="00487A4B" w:rsidRPr="00995027" w:rsidRDefault="00487A4B" w:rsidP="00170E17">
      <w:pPr>
        <w:pStyle w:val="Heading2"/>
      </w:pPr>
      <w:r w:rsidRPr="00995027">
        <w:t xml:space="preserve">How will this program help </w:t>
      </w:r>
      <w:r w:rsidR="00C37254">
        <w:t>businesses</w:t>
      </w:r>
      <w:r w:rsidRPr="00995027">
        <w:t xml:space="preserve"> reduce their energy costs and achieve emission savings?</w:t>
      </w:r>
    </w:p>
    <w:p w14:paraId="362DA2B4" w14:textId="77777777" w:rsidR="00C37254" w:rsidRDefault="00C37254" w:rsidP="00C37254">
      <w:pPr>
        <w:spacing w:after="0" w:line="240" w:lineRule="auto"/>
        <w:rPr>
          <w:sz w:val="24"/>
          <w:szCs w:val="24"/>
        </w:rPr>
      </w:pPr>
    </w:p>
    <w:p w14:paraId="686BA98D" w14:textId="316621DB" w:rsidR="00487A4B" w:rsidRPr="00995027" w:rsidRDefault="00487A4B" w:rsidP="00995027">
      <w:pPr>
        <w:spacing w:after="0" w:line="240" w:lineRule="auto"/>
        <w:rPr>
          <w:sz w:val="24"/>
          <w:szCs w:val="24"/>
        </w:rPr>
      </w:pPr>
      <w:r w:rsidRPr="00995027">
        <w:rPr>
          <w:sz w:val="24"/>
          <w:szCs w:val="24"/>
        </w:rPr>
        <w:t xml:space="preserve">The eligible grant activities cover a broad range of activities that aim to improve energy efficiency practices and increase uptake of energy efficient technologies. </w:t>
      </w:r>
    </w:p>
    <w:p w14:paraId="2F2A183C" w14:textId="77777777" w:rsidR="00C37254" w:rsidRDefault="00C37254" w:rsidP="00C37254">
      <w:pPr>
        <w:spacing w:after="0" w:line="240" w:lineRule="auto"/>
        <w:rPr>
          <w:sz w:val="24"/>
          <w:szCs w:val="24"/>
        </w:rPr>
      </w:pPr>
    </w:p>
    <w:p w14:paraId="05546529" w14:textId="0684C945" w:rsidR="00487A4B" w:rsidRPr="00995027" w:rsidRDefault="00487A4B" w:rsidP="00995027">
      <w:pPr>
        <w:spacing w:after="0" w:line="240" w:lineRule="auto"/>
        <w:rPr>
          <w:sz w:val="24"/>
          <w:szCs w:val="24"/>
        </w:rPr>
      </w:pPr>
      <w:r w:rsidRPr="00995027">
        <w:rPr>
          <w:sz w:val="24"/>
          <w:szCs w:val="24"/>
        </w:rPr>
        <w:t>Implementing energy efficient practices and technologies will mean SMEs will use less energy to achieve the same outcomes.</w:t>
      </w:r>
    </w:p>
    <w:p w14:paraId="7B9D473A" w14:textId="77777777" w:rsidR="00655367" w:rsidRDefault="00655367" w:rsidP="00655367">
      <w:pPr>
        <w:spacing w:after="0" w:line="240" w:lineRule="auto"/>
        <w:rPr>
          <w:sz w:val="24"/>
          <w:szCs w:val="24"/>
        </w:rPr>
      </w:pPr>
    </w:p>
    <w:p w14:paraId="11EE7448" w14:textId="3718420C" w:rsidR="00C85378" w:rsidRDefault="00C85378" w:rsidP="00655367">
      <w:pPr>
        <w:spacing w:after="0" w:line="240" w:lineRule="auto"/>
        <w:rPr>
          <w:sz w:val="24"/>
          <w:szCs w:val="24"/>
        </w:rPr>
      </w:pPr>
      <w:r w:rsidRPr="008B4A8C">
        <w:rPr>
          <w:sz w:val="24"/>
          <w:szCs w:val="24"/>
        </w:rPr>
        <w:t>For further guidance on applying, go to</w:t>
      </w:r>
      <w:r w:rsidR="00243FFF">
        <w:rPr>
          <w:sz w:val="24"/>
          <w:szCs w:val="24"/>
        </w:rPr>
        <w:t xml:space="preserve"> </w:t>
      </w:r>
      <w:hyperlink r:id="rId14" w:history="1">
        <w:r w:rsidR="00243FFF" w:rsidRPr="00243FFF">
          <w:rPr>
            <w:rStyle w:val="Hyperlink"/>
            <w:sz w:val="24"/>
            <w:szCs w:val="24"/>
          </w:rPr>
          <w:t>business.gov.au</w:t>
        </w:r>
      </w:hyperlink>
      <w:r w:rsidRPr="008B4A8C">
        <w:rPr>
          <w:sz w:val="24"/>
          <w:szCs w:val="24"/>
        </w:rPr>
        <w:t xml:space="preserve">, </w:t>
      </w:r>
      <w:hyperlink r:id="rId15" w:history="1">
        <w:r w:rsidR="00243FFF">
          <w:rPr>
            <w:rStyle w:val="Hyperlink"/>
            <w:sz w:val="24"/>
            <w:szCs w:val="24"/>
          </w:rPr>
          <w:t>grants.gov.au</w:t>
        </w:r>
      </w:hyperlink>
      <w:r w:rsidRPr="008B4A8C">
        <w:rPr>
          <w:sz w:val="24"/>
          <w:szCs w:val="24"/>
        </w:rPr>
        <w:t>, or call 13 28 46.</w:t>
      </w:r>
    </w:p>
    <w:sectPr w:rsidR="00C85378" w:rsidSect="002D3B21">
      <w:footerReference w:type="default" r:id="rId16"/>
      <w:headerReference w:type="first" r:id="rId17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D60D" w14:textId="77777777" w:rsidR="006812C2" w:rsidRDefault="006812C2" w:rsidP="008B4A8C">
      <w:pPr>
        <w:spacing w:after="0" w:line="240" w:lineRule="auto"/>
      </w:pPr>
      <w:r>
        <w:separator/>
      </w:r>
    </w:p>
  </w:endnote>
  <w:endnote w:type="continuationSeparator" w:id="0">
    <w:p w14:paraId="7272EFE0" w14:textId="77777777" w:rsidR="006812C2" w:rsidRDefault="006812C2" w:rsidP="008B4A8C">
      <w:pPr>
        <w:spacing w:after="0" w:line="240" w:lineRule="auto"/>
      </w:pPr>
      <w:r>
        <w:continuationSeparator/>
      </w:r>
    </w:p>
  </w:endnote>
  <w:endnote w:type="continuationNotice" w:id="1">
    <w:p w14:paraId="6A198C8C" w14:textId="77777777" w:rsidR="006812C2" w:rsidRDefault="00681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DBC5" w14:textId="0DB0C509" w:rsidR="007C5C8F" w:rsidRPr="007C5C8F" w:rsidRDefault="009D64F0" w:rsidP="007C5C8F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Additional information</w:t>
    </w:r>
    <w:r w:rsidR="007C5C8F" w:rsidRPr="007C5C8F">
      <w:rPr>
        <w:sz w:val="16"/>
        <w:szCs w:val="16"/>
      </w:rPr>
      <w:t xml:space="preserve"> for Energy Efficiency Grants for Small and Medium Enterprises – Round </w:t>
    </w:r>
    <w:r w:rsidR="00E93DAC">
      <w:rPr>
        <w:sz w:val="16"/>
        <w:szCs w:val="16"/>
      </w:rPr>
      <w:t>2</w:t>
    </w:r>
  </w:p>
  <w:p w14:paraId="013CD2BB" w14:textId="77777777" w:rsidR="007C5C8F" w:rsidRDefault="007C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D202" w14:textId="77777777" w:rsidR="006812C2" w:rsidRDefault="006812C2" w:rsidP="008B4A8C">
      <w:pPr>
        <w:spacing w:after="0" w:line="240" w:lineRule="auto"/>
      </w:pPr>
      <w:r>
        <w:separator/>
      </w:r>
    </w:p>
  </w:footnote>
  <w:footnote w:type="continuationSeparator" w:id="0">
    <w:p w14:paraId="205345A9" w14:textId="77777777" w:rsidR="006812C2" w:rsidRDefault="006812C2" w:rsidP="008B4A8C">
      <w:pPr>
        <w:spacing w:after="0" w:line="240" w:lineRule="auto"/>
      </w:pPr>
      <w:r>
        <w:continuationSeparator/>
      </w:r>
    </w:p>
  </w:footnote>
  <w:footnote w:type="continuationNotice" w:id="1">
    <w:p w14:paraId="775C27D4" w14:textId="77777777" w:rsidR="006812C2" w:rsidRDefault="00681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9DED" w14:textId="5EFCA68C" w:rsidR="002D3B21" w:rsidRDefault="002D3B21" w:rsidP="002D3B21">
    <w:pPr>
      <w:pStyle w:val="Header"/>
      <w:spacing w:after="240"/>
    </w:pPr>
    <w:r>
      <w:rPr>
        <w:noProof/>
      </w:rPr>
      <w:drawing>
        <wp:inline distT="0" distB="0" distL="0" distR="0" wp14:anchorId="50A9622A" wp14:editId="103D61E1">
          <wp:extent cx="4002024" cy="1014984"/>
          <wp:effectExtent l="0" t="0" r="0" b="0"/>
          <wp:docPr id="7" name="Picture 7" descr="Australian Government | Department of Industry, Science and Resources | 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| Department of Industry, Science and Resources | 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024" cy="101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96D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6B91"/>
    <w:multiLevelType w:val="hybridMultilevel"/>
    <w:tmpl w:val="CD3C0F52"/>
    <w:lvl w:ilvl="0" w:tplc="E4309FC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CCE870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D10C46DE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BDEAAA2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8EACF3C4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ACD076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598661A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58D4271C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B74A48C6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1D156CA9"/>
    <w:multiLevelType w:val="hybridMultilevel"/>
    <w:tmpl w:val="AA18FC56"/>
    <w:lvl w:ilvl="0" w:tplc="A0383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1D38"/>
    <w:multiLevelType w:val="hybridMultilevel"/>
    <w:tmpl w:val="649E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56429"/>
    <w:multiLevelType w:val="multilevel"/>
    <w:tmpl w:val="CCE02DA2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eastAsia="Calibri" w:hAnsi="Arial" w:cs="Times New Roman"/>
        <w:i w:val="0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</w:lvl>
    <w:lvl w:ilvl="3">
      <w:start w:val="1"/>
      <w:numFmt w:val="none"/>
      <w:pStyle w:val="ListNumber4"/>
      <w:lvlText w:val="%4"/>
      <w:lvlJc w:val="left"/>
      <w:pPr>
        <w:ind w:left="1476" w:hanging="369"/>
      </w:pPr>
    </w:lvl>
    <w:lvl w:ilvl="4">
      <w:start w:val="1"/>
      <w:numFmt w:val="none"/>
      <w:pStyle w:val="ListNumber5"/>
      <w:lvlText w:val=""/>
      <w:lvlJc w:val="left"/>
      <w:pPr>
        <w:ind w:left="1845" w:hanging="369"/>
      </w:pPr>
    </w:lvl>
    <w:lvl w:ilvl="5">
      <w:start w:val="1"/>
      <w:numFmt w:val="none"/>
      <w:lvlText w:val=""/>
      <w:lvlJc w:val="left"/>
      <w:pPr>
        <w:ind w:left="2214" w:hanging="369"/>
      </w:pPr>
    </w:lvl>
    <w:lvl w:ilvl="6">
      <w:start w:val="1"/>
      <w:numFmt w:val="none"/>
      <w:lvlText w:val=""/>
      <w:lvlJc w:val="left"/>
      <w:pPr>
        <w:ind w:left="2583" w:hanging="369"/>
      </w:pPr>
    </w:lvl>
    <w:lvl w:ilvl="7">
      <w:start w:val="1"/>
      <w:numFmt w:val="none"/>
      <w:lvlText w:val=""/>
      <w:lvlJc w:val="left"/>
      <w:pPr>
        <w:ind w:left="2952" w:hanging="369"/>
      </w:pPr>
    </w:lvl>
    <w:lvl w:ilvl="8">
      <w:start w:val="1"/>
      <w:numFmt w:val="none"/>
      <w:lvlText w:val=""/>
      <w:lvlJc w:val="left"/>
      <w:pPr>
        <w:ind w:left="3321" w:hanging="369"/>
      </w:pPr>
    </w:lvl>
  </w:abstractNum>
  <w:abstractNum w:abstractNumId="5" w15:restartNumberingAfterBreak="0">
    <w:nsid w:val="65FF2A47"/>
    <w:multiLevelType w:val="hybridMultilevel"/>
    <w:tmpl w:val="3476F988"/>
    <w:lvl w:ilvl="0" w:tplc="0C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682F2EC4"/>
    <w:multiLevelType w:val="hybridMultilevel"/>
    <w:tmpl w:val="D66C8F02"/>
    <w:lvl w:ilvl="0" w:tplc="0C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7CF2"/>
    <w:multiLevelType w:val="hybridMultilevel"/>
    <w:tmpl w:val="55504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52702">
    <w:abstractNumId w:val="2"/>
  </w:num>
  <w:num w:numId="2" w16cid:durableId="427391571">
    <w:abstractNumId w:val="2"/>
  </w:num>
  <w:num w:numId="3" w16cid:durableId="2140995822">
    <w:abstractNumId w:val="3"/>
  </w:num>
  <w:num w:numId="4" w16cid:durableId="1483540549">
    <w:abstractNumId w:val="7"/>
  </w:num>
  <w:num w:numId="5" w16cid:durableId="1462727110">
    <w:abstractNumId w:val="1"/>
  </w:num>
  <w:num w:numId="6" w16cid:durableId="806701837">
    <w:abstractNumId w:val="6"/>
  </w:num>
  <w:num w:numId="7" w16cid:durableId="1636715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122704">
    <w:abstractNumId w:val="5"/>
  </w:num>
  <w:num w:numId="9" w16cid:durableId="72883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C"/>
    <w:rsid w:val="00000CEC"/>
    <w:rsid w:val="0000388F"/>
    <w:rsid w:val="00006FAB"/>
    <w:rsid w:val="000212B4"/>
    <w:rsid w:val="00026CAD"/>
    <w:rsid w:val="00033655"/>
    <w:rsid w:val="00036E3A"/>
    <w:rsid w:val="00044F1C"/>
    <w:rsid w:val="00045CC0"/>
    <w:rsid w:val="0005125F"/>
    <w:rsid w:val="000563CB"/>
    <w:rsid w:val="00066AA2"/>
    <w:rsid w:val="000A3BFD"/>
    <w:rsid w:val="000B2A1C"/>
    <w:rsid w:val="000C3591"/>
    <w:rsid w:val="00102107"/>
    <w:rsid w:val="00102FAC"/>
    <w:rsid w:val="00124B0C"/>
    <w:rsid w:val="00126024"/>
    <w:rsid w:val="00134CBA"/>
    <w:rsid w:val="00142322"/>
    <w:rsid w:val="0015468C"/>
    <w:rsid w:val="0017013B"/>
    <w:rsid w:val="00170E17"/>
    <w:rsid w:val="00177E98"/>
    <w:rsid w:val="0018108C"/>
    <w:rsid w:val="00182AF9"/>
    <w:rsid w:val="00184559"/>
    <w:rsid w:val="001A2940"/>
    <w:rsid w:val="001B1616"/>
    <w:rsid w:val="001B1CE2"/>
    <w:rsid w:val="001B3C2D"/>
    <w:rsid w:val="001B4864"/>
    <w:rsid w:val="001B5053"/>
    <w:rsid w:val="001B7462"/>
    <w:rsid w:val="001C6D93"/>
    <w:rsid w:val="00226930"/>
    <w:rsid w:val="00231DB1"/>
    <w:rsid w:val="002340B8"/>
    <w:rsid w:val="002343B4"/>
    <w:rsid w:val="00243FFF"/>
    <w:rsid w:val="00245A1D"/>
    <w:rsid w:val="002470D8"/>
    <w:rsid w:val="00251FAF"/>
    <w:rsid w:val="002663A5"/>
    <w:rsid w:val="00283DD5"/>
    <w:rsid w:val="0028466F"/>
    <w:rsid w:val="00286F7E"/>
    <w:rsid w:val="00290A6B"/>
    <w:rsid w:val="00291E91"/>
    <w:rsid w:val="00296198"/>
    <w:rsid w:val="002A3556"/>
    <w:rsid w:val="002A3E39"/>
    <w:rsid w:val="002A53C5"/>
    <w:rsid w:val="002B3080"/>
    <w:rsid w:val="002B30AB"/>
    <w:rsid w:val="002C06EF"/>
    <w:rsid w:val="002D3B21"/>
    <w:rsid w:val="002D704C"/>
    <w:rsid w:val="002E4354"/>
    <w:rsid w:val="002F08D1"/>
    <w:rsid w:val="00300792"/>
    <w:rsid w:val="00310363"/>
    <w:rsid w:val="003215FC"/>
    <w:rsid w:val="00323ECF"/>
    <w:rsid w:val="00337EAD"/>
    <w:rsid w:val="00345126"/>
    <w:rsid w:val="00364817"/>
    <w:rsid w:val="00371EB7"/>
    <w:rsid w:val="00381013"/>
    <w:rsid w:val="00384B2C"/>
    <w:rsid w:val="00395210"/>
    <w:rsid w:val="003A33FB"/>
    <w:rsid w:val="003B0425"/>
    <w:rsid w:val="003B2701"/>
    <w:rsid w:val="003C2070"/>
    <w:rsid w:val="003C3C1B"/>
    <w:rsid w:val="003D5A57"/>
    <w:rsid w:val="003D7748"/>
    <w:rsid w:val="003E55FC"/>
    <w:rsid w:val="004039D0"/>
    <w:rsid w:val="00420DEE"/>
    <w:rsid w:val="00430CBD"/>
    <w:rsid w:val="00447A72"/>
    <w:rsid w:val="0045774D"/>
    <w:rsid w:val="004628F3"/>
    <w:rsid w:val="004746EF"/>
    <w:rsid w:val="00474A9E"/>
    <w:rsid w:val="00481EB7"/>
    <w:rsid w:val="004851AB"/>
    <w:rsid w:val="00487A48"/>
    <w:rsid w:val="00487A4B"/>
    <w:rsid w:val="0049429D"/>
    <w:rsid w:val="004A2DE7"/>
    <w:rsid w:val="004B036F"/>
    <w:rsid w:val="004B318A"/>
    <w:rsid w:val="004B6560"/>
    <w:rsid w:val="004C34E7"/>
    <w:rsid w:val="004E5037"/>
    <w:rsid w:val="004F06B3"/>
    <w:rsid w:val="004F71D9"/>
    <w:rsid w:val="00504357"/>
    <w:rsid w:val="00504807"/>
    <w:rsid w:val="00505998"/>
    <w:rsid w:val="00511921"/>
    <w:rsid w:val="00514F9C"/>
    <w:rsid w:val="00531C42"/>
    <w:rsid w:val="00545E82"/>
    <w:rsid w:val="00546E00"/>
    <w:rsid w:val="005535D9"/>
    <w:rsid w:val="00557ACC"/>
    <w:rsid w:val="00565668"/>
    <w:rsid w:val="005728B0"/>
    <w:rsid w:val="00576D92"/>
    <w:rsid w:val="00595692"/>
    <w:rsid w:val="005A2601"/>
    <w:rsid w:val="005B0796"/>
    <w:rsid w:val="005D36DF"/>
    <w:rsid w:val="005E04EF"/>
    <w:rsid w:val="005E0FA4"/>
    <w:rsid w:val="005E1915"/>
    <w:rsid w:val="005F7891"/>
    <w:rsid w:val="006013E3"/>
    <w:rsid w:val="00613E34"/>
    <w:rsid w:val="00622DF9"/>
    <w:rsid w:val="006300EC"/>
    <w:rsid w:val="006326D4"/>
    <w:rsid w:val="00646743"/>
    <w:rsid w:val="0064697E"/>
    <w:rsid w:val="00655367"/>
    <w:rsid w:val="006629DA"/>
    <w:rsid w:val="00667507"/>
    <w:rsid w:val="00670187"/>
    <w:rsid w:val="00673BE1"/>
    <w:rsid w:val="0067564A"/>
    <w:rsid w:val="00675EAD"/>
    <w:rsid w:val="00680492"/>
    <w:rsid w:val="006812C2"/>
    <w:rsid w:val="006903E8"/>
    <w:rsid w:val="00694750"/>
    <w:rsid w:val="006955E3"/>
    <w:rsid w:val="006B2000"/>
    <w:rsid w:val="006B469E"/>
    <w:rsid w:val="006B5D51"/>
    <w:rsid w:val="006C47D1"/>
    <w:rsid w:val="006C5148"/>
    <w:rsid w:val="006E0967"/>
    <w:rsid w:val="006E2015"/>
    <w:rsid w:val="00701D2B"/>
    <w:rsid w:val="00704643"/>
    <w:rsid w:val="00716738"/>
    <w:rsid w:val="00723BD0"/>
    <w:rsid w:val="007272FC"/>
    <w:rsid w:val="00733941"/>
    <w:rsid w:val="0073798B"/>
    <w:rsid w:val="007532C0"/>
    <w:rsid w:val="007538C4"/>
    <w:rsid w:val="00757A29"/>
    <w:rsid w:val="007620F3"/>
    <w:rsid w:val="00763DCE"/>
    <w:rsid w:val="007647F9"/>
    <w:rsid w:val="007729E1"/>
    <w:rsid w:val="00776319"/>
    <w:rsid w:val="00787EA9"/>
    <w:rsid w:val="007979DA"/>
    <w:rsid w:val="007A1BD9"/>
    <w:rsid w:val="007A20B4"/>
    <w:rsid w:val="007B39A1"/>
    <w:rsid w:val="007C5C8F"/>
    <w:rsid w:val="007D3990"/>
    <w:rsid w:val="007E61A3"/>
    <w:rsid w:val="007F023F"/>
    <w:rsid w:val="0080151B"/>
    <w:rsid w:val="008108E8"/>
    <w:rsid w:val="00815085"/>
    <w:rsid w:val="00825C3E"/>
    <w:rsid w:val="0082743F"/>
    <w:rsid w:val="0083214A"/>
    <w:rsid w:val="00835273"/>
    <w:rsid w:val="00836131"/>
    <w:rsid w:val="0083776F"/>
    <w:rsid w:val="00837B6F"/>
    <w:rsid w:val="00837C9A"/>
    <w:rsid w:val="00844ADC"/>
    <w:rsid w:val="0085075D"/>
    <w:rsid w:val="0085146C"/>
    <w:rsid w:val="00853A5A"/>
    <w:rsid w:val="0086337D"/>
    <w:rsid w:val="00863AF2"/>
    <w:rsid w:val="00871381"/>
    <w:rsid w:val="00877A3E"/>
    <w:rsid w:val="008A1469"/>
    <w:rsid w:val="008A1BBE"/>
    <w:rsid w:val="008A42FF"/>
    <w:rsid w:val="008B4A8C"/>
    <w:rsid w:val="008C7C5D"/>
    <w:rsid w:val="008D10FA"/>
    <w:rsid w:val="008D1306"/>
    <w:rsid w:val="008E6572"/>
    <w:rsid w:val="008F0BF8"/>
    <w:rsid w:val="008F108A"/>
    <w:rsid w:val="00921443"/>
    <w:rsid w:val="00955934"/>
    <w:rsid w:val="00965866"/>
    <w:rsid w:val="00970C66"/>
    <w:rsid w:val="00972D43"/>
    <w:rsid w:val="00981281"/>
    <w:rsid w:val="0098208E"/>
    <w:rsid w:val="00995027"/>
    <w:rsid w:val="009B0E86"/>
    <w:rsid w:val="009B1239"/>
    <w:rsid w:val="009B292C"/>
    <w:rsid w:val="009B6018"/>
    <w:rsid w:val="009C1973"/>
    <w:rsid w:val="009D64F0"/>
    <w:rsid w:val="009D7AEB"/>
    <w:rsid w:val="009E09E0"/>
    <w:rsid w:val="009E55F1"/>
    <w:rsid w:val="009F03C6"/>
    <w:rsid w:val="00A06494"/>
    <w:rsid w:val="00A07497"/>
    <w:rsid w:val="00A1110B"/>
    <w:rsid w:val="00A124C6"/>
    <w:rsid w:val="00A27524"/>
    <w:rsid w:val="00A30301"/>
    <w:rsid w:val="00A350D3"/>
    <w:rsid w:val="00A37CEB"/>
    <w:rsid w:val="00A40B1C"/>
    <w:rsid w:val="00A43B14"/>
    <w:rsid w:val="00A4506B"/>
    <w:rsid w:val="00A6060F"/>
    <w:rsid w:val="00A62E4D"/>
    <w:rsid w:val="00A65DC8"/>
    <w:rsid w:val="00A82EE1"/>
    <w:rsid w:val="00A85AD9"/>
    <w:rsid w:val="00A85C25"/>
    <w:rsid w:val="00A8792B"/>
    <w:rsid w:val="00AA23D0"/>
    <w:rsid w:val="00AA2C9F"/>
    <w:rsid w:val="00AA450F"/>
    <w:rsid w:val="00AA7C84"/>
    <w:rsid w:val="00AB6923"/>
    <w:rsid w:val="00AB76D0"/>
    <w:rsid w:val="00AC3B17"/>
    <w:rsid w:val="00AC3B70"/>
    <w:rsid w:val="00AC69C3"/>
    <w:rsid w:val="00AD2EEB"/>
    <w:rsid w:val="00B00636"/>
    <w:rsid w:val="00B10BD6"/>
    <w:rsid w:val="00B277F9"/>
    <w:rsid w:val="00B279B5"/>
    <w:rsid w:val="00B371CF"/>
    <w:rsid w:val="00B43D83"/>
    <w:rsid w:val="00B6081F"/>
    <w:rsid w:val="00B60F01"/>
    <w:rsid w:val="00B61259"/>
    <w:rsid w:val="00B6364C"/>
    <w:rsid w:val="00B745A2"/>
    <w:rsid w:val="00B82989"/>
    <w:rsid w:val="00B858CA"/>
    <w:rsid w:val="00BA0274"/>
    <w:rsid w:val="00BB7566"/>
    <w:rsid w:val="00BC3FC9"/>
    <w:rsid w:val="00BD458E"/>
    <w:rsid w:val="00BE6FF7"/>
    <w:rsid w:val="00BF12FB"/>
    <w:rsid w:val="00BF410D"/>
    <w:rsid w:val="00C043C7"/>
    <w:rsid w:val="00C045BE"/>
    <w:rsid w:val="00C266A6"/>
    <w:rsid w:val="00C37254"/>
    <w:rsid w:val="00C46314"/>
    <w:rsid w:val="00C53BEE"/>
    <w:rsid w:val="00C549FE"/>
    <w:rsid w:val="00C55E85"/>
    <w:rsid w:val="00C74D4E"/>
    <w:rsid w:val="00C82A3F"/>
    <w:rsid w:val="00C85378"/>
    <w:rsid w:val="00C92D67"/>
    <w:rsid w:val="00C9308A"/>
    <w:rsid w:val="00CA5389"/>
    <w:rsid w:val="00CC224F"/>
    <w:rsid w:val="00CD1A7B"/>
    <w:rsid w:val="00CD6225"/>
    <w:rsid w:val="00CD7726"/>
    <w:rsid w:val="00CE4FB6"/>
    <w:rsid w:val="00CE5D17"/>
    <w:rsid w:val="00CF10B0"/>
    <w:rsid w:val="00CF7E0D"/>
    <w:rsid w:val="00D0075F"/>
    <w:rsid w:val="00D011F1"/>
    <w:rsid w:val="00D272E6"/>
    <w:rsid w:val="00D34AC0"/>
    <w:rsid w:val="00D35350"/>
    <w:rsid w:val="00D51C6D"/>
    <w:rsid w:val="00D52A30"/>
    <w:rsid w:val="00D56F82"/>
    <w:rsid w:val="00D61FD0"/>
    <w:rsid w:val="00D620FB"/>
    <w:rsid w:val="00D6748C"/>
    <w:rsid w:val="00D73980"/>
    <w:rsid w:val="00D94305"/>
    <w:rsid w:val="00DA6719"/>
    <w:rsid w:val="00DB21E3"/>
    <w:rsid w:val="00DC43FA"/>
    <w:rsid w:val="00DE00C1"/>
    <w:rsid w:val="00DE3EB3"/>
    <w:rsid w:val="00DF6511"/>
    <w:rsid w:val="00DF717D"/>
    <w:rsid w:val="00DF7312"/>
    <w:rsid w:val="00E24DF1"/>
    <w:rsid w:val="00E511E4"/>
    <w:rsid w:val="00E54228"/>
    <w:rsid w:val="00E54EF2"/>
    <w:rsid w:val="00E82967"/>
    <w:rsid w:val="00E93DAC"/>
    <w:rsid w:val="00E97479"/>
    <w:rsid w:val="00EC4875"/>
    <w:rsid w:val="00ED31FF"/>
    <w:rsid w:val="00ED41C5"/>
    <w:rsid w:val="00EE63C1"/>
    <w:rsid w:val="00EF1C95"/>
    <w:rsid w:val="00EF4908"/>
    <w:rsid w:val="00F022D0"/>
    <w:rsid w:val="00F050FE"/>
    <w:rsid w:val="00F147F6"/>
    <w:rsid w:val="00F207DF"/>
    <w:rsid w:val="00F30B19"/>
    <w:rsid w:val="00F34D94"/>
    <w:rsid w:val="00F365CC"/>
    <w:rsid w:val="00F36A7D"/>
    <w:rsid w:val="00F45159"/>
    <w:rsid w:val="00F6292F"/>
    <w:rsid w:val="00F71952"/>
    <w:rsid w:val="00F828C4"/>
    <w:rsid w:val="00F84A9C"/>
    <w:rsid w:val="00FA13B7"/>
    <w:rsid w:val="00FA57D1"/>
    <w:rsid w:val="00FB33D9"/>
    <w:rsid w:val="00FB670E"/>
    <w:rsid w:val="00FD7A84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F89D"/>
  <w15:chartTrackingRefBased/>
  <w15:docId w15:val="{5F095163-0569-4425-8C99-6F2CC49E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E17"/>
    <w:pPr>
      <w:spacing w:after="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E17"/>
    <w:pPr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4875"/>
    <w:pPr>
      <w:spacing w:after="0" w:line="240" w:lineRule="auto"/>
    </w:pPr>
  </w:style>
  <w:style w:type="paragraph" w:styleId="ListParagraph">
    <w:name w:val="List Paragraph"/>
    <w:aliases w:val="AR bullet 1,Bullet Point,Bullet Points,Bullet point,Bullet points,Bulletr List Paragraph,CV text,Content descriptions,Dot pt,L,List Paragraph - bullets,List Paragraph1,List Paragraph11,NFP GP Bulleted List,Recommendation,bullet point list"/>
    <w:basedOn w:val="Normal"/>
    <w:link w:val="ListParagraphChar"/>
    <w:uiPriority w:val="34"/>
    <w:qFormat/>
    <w:rsid w:val="003A33FB"/>
    <w:pPr>
      <w:ind w:left="720"/>
      <w:contextualSpacing/>
    </w:pPr>
  </w:style>
  <w:style w:type="character" w:customStyle="1" w:styleId="ListParagraphChar">
    <w:name w:val="List Paragraph Char"/>
    <w:aliases w:val="AR bullet 1 Char,Bullet Point Char,Bullet Points Char,Bullet point Char,Bullet points Char,Bulletr List Paragraph Char,CV text Char,Content descriptions Char,Dot pt Char,L Char,List Paragraph - bullets Char,List Paragraph1 Char"/>
    <w:basedOn w:val="DefaultParagraphFont"/>
    <w:link w:val="ListParagraph"/>
    <w:uiPriority w:val="34"/>
    <w:qFormat/>
    <w:rsid w:val="00AA2C9F"/>
  </w:style>
  <w:style w:type="character" w:styleId="CommentReference">
    <w:name w:val="annotation reference"/>
    <w:basedOn w:val="DefaultParagraphFont"/>
    <w:uiPriority w:val="99"/>
    <w:semiHidden/>
    <w:unhideWhenUsed/>
    <w:rsid w:val="00DF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1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8C"/>
  </w:style>
  <w:style w:type="paragraph" w:styleId="Footer">
    <w:name w:val="footer"/>
    <w:basedOn w:val="Normal"/>
    <w:link w:val="FooterChar"/>
    <w:uiPriority w:val="99"/>
    <w:unhideWhenUsed/>
    <w:rsid w:val="008B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8C"/>
  </w:style>
  <w:style w:type="character" w:styleId="Hyperlink">
    <w:name w:val="Hyperlink"/>
    <w:basedOn w:val="DefaultParagraphFont"/>
    <w:uiPriority w:val="99"/>
    <w:unhideWhenUsed/>
    <w:rsid w:val="00B63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6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64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26024"/>
  </w:style>
  <w:style w:type="character" w:customStyle="1" w:styleId="eop">
    <w:name w:val="eop"/>
    <w:basedOn w:val="DefaultParagraphFont"/>
    <w:rsid w:val="00126024"/>
  </w:style>
  <w:style w:type="paragraph" w:styleId="NormalWeb">
    <w:name w:val="Normal (Web)"/>
    <w:basedOn w:val="Normal"/>
    <w:uiPriority w:val="99"/>
    <w:semiHidden/>
    <w:unhideWhenUsed/>
    <w:rsid w:val="0031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2">
    <w:name w:val="List Bullet 2"/>
    <w:basedOn w:val="Normal"/>
    <w:uiPriority w:val="99"/>
    <w:semiHidden/>
    <w:unhideWhenUsed/>
    <w:rsid w:val="00AC3B70"/>
    <w:pPr>
      <w:numPr>
        <w:numId w:val="6"/>
      </w:numPr>
      <w:contextualSpacing/>
    </w:pPr>
    <w:rPr>
      <w:kern w:val="2"/>
      <w14:ligatures w14:val="standardContextual"/>
    </w:rPr>
  </w:style>
  <w:style w:type="paragraph" w:styleId="ListNumber">
    <w:name w:val="List Number"/>
    <w:basedOn w:val="Normal"/>
    <w:uiPriority w:val="99"/>
    <w:unhideWhenUsed/>
    <w:qFormat/>
    <w:rsid w:val="002F08D1"/>
    <w:pPr>
      <w:numPr>
        <w:numId w:val="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2">
    <w:name w:val="List Number 2"/>
    <w:basedOn w:val="Normal"/>
    <w:uiPriority w:val="99"/>
    <w:semiHidden/>
    <w:unhideWhenUsed/>
    <w:rsid w:val="002F08D1"/>
    <w:pPr>
      <w:numPr>
        <w:ilvl w:val="1"/>
        <w:numId w:val="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3">
    <w:name w:val="List Number 3"/>
    <w:basedOn w:val="Normal"/>
    <w:uiPriority w:val="99"/>
    <w:semiHidden/>
    <w:unhideWhenUsed/>
    <w:rsid w:val="002F08D1"/>
    <w:pPr>
      <w:numPr>
        <w:ilvl w:val="2"/>
        <w:numId w:val="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semiHidden/>
    <w:unhideWhenUsed/>
    <w:rsid w:val="002F08D1"/>
    <w:pPr>
      <w:numPr>
        <w:ilvl w:val="3"/>
        <w:numId w:val="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semiHidden/>
    <w:unhideWhenUsed/>
    <w:rsid w:val="002F08D1"/>
    <w:pPr>
      <w:numPr>
        <w:ilvl w:val="4"/>
        <w:numId w:val="7"/>
      </w:numPr>
      <w:spacing w:after="200" w:line="276" w:lineRule="auto"/>
    </w:pPr>
    <w:rPr>
      <w:rFonts w:ascii="Arial" w:eastAsia="Calibri" w:hAnsi="Arial" w:cs="Times New Roman"/>
    </w:rPr>
  </w:style>
  <w:style w:type="paragraph" w:customStyle="1" w:styleId="paragraph">
    <w:name w:val="paragraph"/>
    <w:basedOn w:val="Normal"/>
    <w:rsid w:val="00D5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56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656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5656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5656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656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70E17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E17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ec.org.au/for-energy-users/tools-methodologies-menu/energyaudi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Details/C2022C0030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rants.gov.au/Go/Show?GoUuid=eed7e155-a4f0-4a8a-85ee-b3f83cb48bac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usiness.gov.au/EEGSME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Frequently Asked Questions</TermName>
          <TermId xmlns="http://schemas.microsoft.com/office/infopath/2007/PartnerControls">752e88a4-b1d1-4a20-8d2b-1e0e29e3494a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40022</Value>
      <Value>5063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2c17a0e117468761c3b07d8d2e4998c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4e234635d5b8f7b84c636248f6f8cd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47CEA-EB22-4E9E-B7C0-A3C3EC4CE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35598-A6A1-42C0-917D-BB3B40C13DA8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2a251b7e-61e4-4816-a71f-b295a9ad20fb"/>
  </ds:schemaRefs>
</ds:datastoreItem>
</file>

<file path=customXml/itemProps3.xml><?xml version="1.0" encoding="utf-8"?>
<ds:datastoreItem xmlns:ds="http://schemas.openxmlformats.org/officeDocument/2006/customXml" ds:itemID="{6CF4A389-E4CF-4C0F-AB43-9894FC6E7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F2EEE-8397-4F2F-B233-7B46F805AA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B874C3-FCA5-4F25-B354-11EC063FC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Grants for SMEs Round 2 Additional information</dc:title>
  <dc:subject/>
  <dc:creator/>
  <cp:keywords/>
  <dc:description/>
  <cp:lastModifiedBy>Cooper, Colin</cp:lastModifiedBy>
  <cp:revision>8</cp:revision>
  <cp:lastPrinted>2024-02-21T04:06:00Z</cp:lastPrinted>
  <dcterms:created xsi:type="dcterms:W3CDTF">2024-02-21T03:41:00Z</dcterms:created>
  <dcterms:modified xsi:type="dcterms:W3CDTF">2024-02-21T04:27:00Z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5063;#Frequently Asked Questions|752e88a4-b1d1-4a20-8d2b-1e0e29e3494a</vt:lpwstr>
  </property>
  <property fmtid="{D5CDD505-2E9C-101B-9397-08002B2CF9AE}" pid="5" name="DocHub_SecurityClassification">
    <vt:lpwstr>40022;#OFFICIAL:Sensitive|11f6fb0b-52ce-4109-8f7f-521b2a62f692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