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5C0C" w14:textId="0BB5F21D" w:rsidR="0066416C" w:rsidRDefault="00B123DA" w:rsidP="0066416C">
      <w:pPr>
        <w:spacing w:after="600"/>
      </w:pPr>
      <w:bookmarkStart w:id="0" w:name="_Toc19289801"/>
      <w:r>
        <w:rPr>
          <w:noProof/>
        </w:rPr>
        <w:drawing>
          <wp:inline distT="0" distB="0" distL="0" distR="0" wp14:anchorId="09B1D875" wp14:editId="61F62632">
            <wp:extent cx="5115527" cy="708878"/>
            <wp:effectExtent l="0" t="0" r="0" b="0"/>
            <wp:docPr id="6" name="Picture 6" descr="Australian Government | Department of Industry, Science and Resources | Critical Technologies Challeng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 Department of Industry, Science and Resources | Critical Technologies Challenge Program"/>
                    <pic:cNvPicPr/>
                  </pic:nvPicPr>
                  <pic:blipFill>
                    <a:blip r:embed="rId12"/>
                    <a:stretch>
                      <a:fillRect/>
                    </a:stretch>
                  </pic:blipFill>
                  <pic:spPr>
                    <a:xfrm>
                      <a:off x="0" y="0"/>
                      <a:ext cx="5115527" cy="708878"/>
                    </a:xfrm>
                    <a:prstGeom prst="rect">
                      <a:avLst/>
                    </a:prstGeom>
                  </pic:spPr>
                </pic:pic>
              </a:graphicData>
            </a:graphic>
          </wp:inline>
        </w:drawing>
      </w:r>
    </w:p>
    <w:bookmarkStart w:id="1" w:name="_Toc161934506" w:displacedByCustomXml="next"/>
    <w:bookmarkEnd w:id="1" w:displacedByCustomXml="next"/>
    <w:bookmarkStart w:id="2" w:name="_Toc155191311" w:displacedByCustomXml="next"/>
    <w:bookmarkEnd w:id="2" w:displacedByCustomXml="next"/>
    <w:bookmarkStart w:id="3" w:name="_Toc144911604" w:displacedByCustomXml="next"/>
    <w:bookmarkEnd w:id="3" w:displacedByCustomXml="next"/>
    <w:bookmarkStart w:id="4" w:name="_Toc161931319" w:displacedByCustomXml="next"/>
    <w:bookmarkEnd w:id="4" w:displacedByCustomXml="next"/>
    <w:bookmarkEnd w:id="0" w:displacedByCustomXml="next"/>
    <w:bookmarkStart w:id="5" w:name="_Toc164854357" w:displacedByCustomXml="next"/>
    <w:sdt>
      <w:sdtPr>
        <w:rPr>
          <w:rFonts w:asciiTheme="minorHAnsi" w:eastAsiaTheme="minorEastAsia" w:hAnsiTheme="minorHAnsi" w:cstheme="minorBidi"/>
          <w:color w:val="auto"/>
          <w:sz w:val="22"/>
          <w:szCs w:val="22"/>
        </w:rPr>
        <w:id w:val="-2088995269"/>
        <w:docPartObj>
          <w:docPartGallery w:val="Cover Pages"/>
          <w:docPartUnique/>
        </w:docPartObj>
      </w:sdtPr>
      <w:sdtEndPr>
        <w:rPr>
          <w:sz w:val="20"/>
          <w:szCs w:val="20"/>
        </w:rPr>
      </w:sdtEndPr>
      <w:sdtContent>
        <w:bookmarkEnd w:id="5" w:displacedByCustomXml="prev"/>
        <w:p w14:paraId="37AD1F5A" w14:textId="32C1E6DC" w:rsidR="0066416C" w:rsidRDefault="00341398" w:rsidP="00BE1F20">
          <w:pPr>
            <w:pStyle w:val="Heading1"/>
            <w:spacing w:before="5400"/>
          </w:pPr>
          <w:r w:rsidRPr="009760B3">
            <w:t xml:space="preserve">Round 1 </w:t>
          </w:r>
          <w:r>
            <w:t>–</w:t>
          </w:r>
          <w:r w:rsidRPr="009760B3">
            <w:t xml:space="preserve"> Stage 1 Feasibility</w:t>
          </w:r>
        </w:p>
        <w:p w14:paraId="07988E26" w14:textId="509220BA" w:rsidR="0066416C" w:rsidRDefault="009760B3" w:rsidP="0066416C">
          <w:pPr>
            <w:pStyle w:val="Subtitle"/>
            <w:spacing w:after="480"/>
            <w:rPr>
              <w:bCs/>
              <w:iCs/>
              <w:sz w:val="26"/>
              <w:szCs w:val="26"/>
            </w:rPr>
          </w:pPr>
          <w:r>
            <w:t>Applicant Information Package</w:t>
          </w:r>
          <w:r w:rsidR="00341398">
            <w:t xml:space="preserve"> </w:t>
          </w:r>
        </w:p>
        <w:p w14:paraId="0292021A" w14:textId="5C1B9051" w:rsidR="0066416C" w:rsidRDefault="005E0386" w:rsidP="0066416C">
          <w:pPr>
            <w:pStyle w:val="Authoranddate"/>
            <w:spacing w:after="600"/>
            <w:rPr>
              <w:sz w:val="32"/>
              <w:szCs w:val="32"/>
            </w:rPr>
          </w:pPr>
          <w:r>
            <w:rPr>
              <w:sz w:val="32"/>
              <w:szCs w:val="32"/>
            </w:rPr>
            <w:t>April 2024</w:t>
          </w:r>
        </w:p>
        <w:p w14:paraId="36B6A475" w14:textId="0DB347F9" w:rsidR="0066416C" w:rsidRPr="00423B2E" w:rsidRDefault="0066416C" w:rsidP="00BE1F20">
          <w:pPr>
            <w:pStyle w:val="Footer"/>
            <w:spacing w:before="4000"/>
            <w:rPr>
              <w:iCs/>
              <w:color w:val="391731" w:themeColor="accent1"/>
              <w:sz w:val="22"/>
            </w:rPr>
          </w:pPr>
          <w:r w:rsidRPr="00B123DA">
            <w:rPr>
              <w:bCs/>
              <w:iCs/>
              <w:color w:val="7A3972" w:themeColor="text2"/>
              <w:sz w:val="22"/>
            </w:rPr>
            <w:t>|</w:t>
          </w:r>
          <w:r w:rsidRPr="002F60C0">
            <w:rPr>
              <w:b/>
              <w:bCs/>
              <w:iCs/>
              <w:color w:val="391731" w:themeColor="accent1"/>
              <w:sz w:val="22"/>
            </w:rPr>
            <w:t xml:space="preserve"> </w:t>
          </w:r>
          <w:r w:rsidR="00BA3FE6">
            <w:rPr>
              <w:b/>
              <w:bCs/>
              <w:iCs/>
              <w:color w:val="391731" w:themeColor="accent1"/>
              <w:sz w:val="22"/>
            </w:rPr>
            <w:t>business</w:t>
          </w:r>
          <w:r w:rsidRPr="002F60C0">
            <w:rPr>
              <w:b/>
              <w:bCs/>
              <w:iCs/>
              <w:color w:val="391731" w:themeColor="accent1"/>
              <w:sz w:val="22"/>
            </w:rPr>
            <w:t>.</w:t>
          </w:r>
          <w:r w:rsidRPr="002F60C0">
            <w:rPr>
              <w:iCs/>
              <w:color w:val="391731" w:themeColor="accent1"/>
              <w:sz w:val="22"/>
            </w:rPr>
            <w:t>gov.au</w:t>
          </w:r>
          <w:r>
            <w:rPr>
              <w:iCs/>
              <w:color w:val="391731" w:themeColor="accent1"/>
              <w:sz w:val="22"/>
            </w:rPr>
            <w:t>/</w:t>
          </w:r>
          <w:proofErr w:type="spellStart"/>
          <w:r w:rsidR="00BA3FE6" w:rsidRPr="00BA3FE6">
            <w:rPr>
              <w:iCs/>
              <w:color w:val="391731" w:themeColor="accent1"/>
              <w:sz w:val="22"/>
            </w:rPr>
            <w:t>c</w:t>
          </w:r>
          <w:r w:rsidR="00BB0536">
            <w:rPr>
              <w:iCs/>
              <w:color w:val="391731" w:themeColor="accent1"/>
              <w:sz w:val="22"/>
            </w:rPr>
            <w:t>tcp</w:t>
          </w:r>
          <w:proofErr w:type="spellEnd"/>
          <w:r w:rsidRPr="00423D13">
            <w:rPr>
              <w:sz w:val="24"/>
              <w:szCs w:val="24"/>
            </w:rPr>
            <w:br w:type="page"/>
          </w:r>
        </w:p>
        <w:p w14:paraId="390FA479" w14:textId="77777777" w:rsidR="0066416C" w:rsidRDefault="0066416C" w:rsidP="0066416C">
          <w:pPr>
            <w:pStyle w:val="Heading2"/>
          </w:pPr>
          <w:bookmarkStart w:id="6" w:name="_Toc19023739"/>
          <w:bookmarkStart w:id="7" w:name="_Toc19289802"/>
          <w:bookmarkStart w:id="8" w:name="_Toc144911605"/>
          <w:bookmarkStart w:id="9" w:name="_Toc155191312"/>
          <w:bookmarkStart w:id="10" w:name="_Toc161931320"/>
          <w:bookmarkStart w:id="11" w:name="_Toc164854358"/>
          <w:bookmarkStart w:id="12" w:name="_Hlk158040788"/>
          <w:r w:rsidRPr="001D216A">
            <w:lastRenderedPageBreak/>
            <w:t>Copyright</w:t>
          </w:r>
          <w:bookmarkEnd w:id="6"/>
          <w:bookmarkEnd w:id="7"/>
          <w:bookmarkEnd w:id="8"/>
          <w:bookmarkEnd w:id="9"/>
          <w:bookmarkEnd w:id="10"/>
          <w:bookmarkEnd w:id="11"/>
        </w:p>
        <w:p w14:paraId="282584A2" w14:textId="090CF893" w:rsidR="0066416C" w:rsidRPr="0068286F" w:rsidRDefault="0066416C" w:rsidP="0066416C">
          <w:pPr>
            <w:rPr>
              <w:rStyle w:val="Strong"/>
            </w:rPr>
          </w:pPr>
          <w:r w:rsidRPr="0068286F">
            <w:rPr>
              <w:rStyle w:val="Strong"/>
            </w:rPr>
            <w:t xml:space="preserve">© Commonwealth of </w:t>
          </w:r>
          <w:r w:rsidRPr="000F2564">
            <w:rPr>
              <w:rStyle w:val="Strong"/>
            </w:rPr>
            <w:t>Australia</w:t>
          </w:r>
          <w:r w:rsidR="008113E9">
            <w:rPr>
              <w:rStyle w:val="Strong"/>
            </w:rPr>
            <w:t xml:space="preserve"> 2024</w:t>
          </w:r>
        </w:p>
        <w:p w14:paraId="425E0A0D" w14:textId="77777777" w:rsidR="0066416C" w:rsidRPr="0068286F" w:rsidRDefault="0066416C" w:rsidP="0066416C">
          <w:pPr>
            <w:rPr>
              <w:rStyle w:val="Strong"/>
            </w:rPr>
          </w:pPr>
          <w:r w:rsidRPr="0068286F">
            <w:rPr>
              <w:rStyle w:val="Strong"/>
            </w:rPr>
            <w:t>Ownership of intellectual property rights</w:t>
          </w:r>
        </w:p>
        <w:p w14:paraId="2CB46E57" w14:textId="77777777" w:rsidR="0066416C" w:rsidRDefault="0066416C" w:rsidP="0066416C">
          <w:r>
            <w:t>Unless otherwise noted, copyright (and any other intellectual property rights, if any) in this publication is owned by the Commonwealth of Australia.</w:t>
          </w:r>
        </w:p>
        <w:p w14:paraId="20F9BC60" w14:textId="77777777" w:rsidR="0066416C" w:rsidRPr="001D216A" w:rsidRDefault="0066416C" w:rsidP="0066416C">
          <w:pPr>
            <w:rPr>
              <w:rStyle w:val="Strong"/>
            </w:rPr>
          </w:pPr>
          <w:r>
            <w:rPr>
              <w:b/>
              <w:noProof/>
              <w:lang w:eastAsia="en-AU"/>
            </w:rPr>
            <w:drawing>
              <wp:inline distT="0" distB="0" distL="0" distR="0" wp14:anchorId="5A4BD7CC" wp14:editId="2AA28334">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27BC6E44" w14:textId="77777777" w:rsidR="0066416C" w:rsidRPr="001D216A" w:rsidRDefault="00F82254" w:rsidP="0066416C">
          <w:pPr>
            <w:rPr>
              <w:rStyle w:val="Strong"/>
            </w:rPr>
          </w:pPr>
          <w:hyperlink r:id="rId14" w:history="1">
            <w:r w:rsidR="009B4687" w:rsidRPr="001E0B1D">
              <w:rPr>
                <w:rStyle w:val="Hyperlink"/>
                <w:b/>
                <w:bCs/>
              </w:rPr>
              <w:t>Creative Commons Attribution 4.0 International Licence CC BY 4.0</w:t>
            </w:r>
          </w:hyperlink>
        </w:p>
        <w:p w14:paraId="02DEF3CF" w14:textId="77777777" w:rsidR="0066416C" w:rsidRPr="0066416C" w:rsidRDefault="0066416C" w:rsidP="0066416C">
          <w:r w:rsidRPr="0066416C">
            <w:t>All material in this publication is licensed under a Creative Commons Attribution 4.0 International Licence, with the exception of:</w:t>
          </w:r>
        </w:p>
        <w:p w14:paraId="3E3BFC27" w14:textId="77777777" w:rsidR="0066416C" w:rsidRPr="00C66984" w:rsidRDefault="0066416C" w:rsidP="00C66984">
          <w:pPr>
            <w:pStyle w:val="ListParagraph"/>
          </w:pPr>
          <w:r w:rsidRPr="0066416C">
            <w:t xml:space="preserve">the </w:t>
          </w:r>
          <w:r w:rsidRPr="00C66984">
            <w:t>Commonwealth Coat of Arms</w:t>
          </w:r>
        </w:p>
        <w:p w14:paraId="1E45479A" w14:textId="77777777" w:rsidR="0066416C" w:rsidRPr="00C66984" w:rsidRDefault="0066416C" w:rsidP="00C66984">
          <w:pPr>
            <w:pStyle w:val="ListParagraph"/>
          </w:pPr>
          <w:r w:rsidRPr="00C66984">
            <w:t>content supplied by third parties</w:t>
          </w:r>
        </w:p>
        <w:p w14:paraId="62D8AAD9" w14:textId="77777777" w:rsidR="0066416C" w:rsidRPr="00C66984" w:rsidRDefault="0066416C" w:rsidP="00C66984">
          <w:pPr>
            <w:pStyle w:val="ListParagraph"/>
          </w:pPr>
          <w:r w:rsidRPr="00C66984">
            <w:t>logos</w:t>
          </w:r>
        </w:p>
        <w:p w14:paraId="2D1F20BF" w14:textId="77777777" w:rsidR="0066416C" w:rsidRPr="0066416C" w:rsidRDefault="0066416C" w:rsidP="00C66984">
          <w:pPr>
            <w:pStyle w:val="ListParagraph"/>
          </w:pPr>
          <w:r w:rsidRPr="00C66984">
            <w:t>any material protected</w:t>
          </w:r>
          <w:r w:rsidRPr="0066416C">
            <w:t xml:space="preserve"> by trademark or otherwise noted in this publication.</w:t>
          </w:r>
        </w:p>
        <w:p w14:paraId="1E381807" w14:textId="77777777" w:rsidR="0066416C" w:rsidRPr="0066416C" w:rsidRDefault="0066416C" w:rsidP="0066416C">
          <w:r w:rsidRPr="0066416C">
            <w:t xml:space="preserve">Creative Commons Attribution 4.0 International Licence is a standard form licence agreement that allows you to copy, distribute, transmit and adapt this publication provided you attribute the work. </w:t>
          </w:r>
          <w:r w:rsidRPr="00393784">
            <w:t>A </w:t>
          </w:r>
          <w:r w:rsidRPr="0066416C">
            <w:t xml:space="preserve">summary of the licence terms is available from </w:t>
          </w:r>
          <w:hyperlink r:id="rId15" w:history="1">
            <w:r w:rsidRPr="00DB39DE">
              <w:rPr>
                <w:rStyle w:val="Hyperlink"/>
              </w:rPr>
              <w:t>https://creativecommons.org/licenses/by/4.0/</w:t>
            </w:r>
          </w:hyperlink>
          <w:r w:rsidRPr="0066416C">
            <w:t xml:space="preserve">. The full licence terms are available from </w:t>
          </w:r>
          <w:hyperlink r:id="rId16" w:history="1">
            <w:r w:rsidRPr="00DB39DE">
              <w:rPr>
                <w:rStyle w:val="Hyperlink"/>
              </w:rPr>
              <w:t>https://creativecommons.org/licenses/by/4.0/legalcode</w:t>
            </w:r>
          </w:hyperlink>
          <w:r w:rsidRPr="0066416C">
            <w:t>.</w:t>
          </w:r>
        </w:p>
        <w:p w14:paraId="68FE99CF" w14:textId="4B4E0146" w:rsidR="000F50CE" w:rsidRPr="008113E9" w:rsidRDefault="000F50CE" w:rsidP="008113E9">
          <w:pPr>
            <w:rPr>
              <w:i/>
              <w:iCs/>
            </w:rPr>
          </w:pPr>
          <w:r>
            <w:t>Content contained herein should be attributed as</w:t>
          </w:r>
          <w:r w:rsidR="008113E9">
            <w:t xml:space="preserve"> </w:t>
          </w:r>
          <w:r w:rsidR="008113E9" w:rsidRPr="008113E9">
            <w:rPr>
              <w:i/>
              <w:iCs/>
            </w:rPr>
            <w:t>Critical Technologies Challenge Program Round 1 - Stage 1 Feasibility Applicant Information Package</w:t>
          </w:r>
          <w:r w:rsidRPr="008113E9">
            <w:rPr>
              <w:i/>
              <w:iCs/>
            </w:rPr>
            <w:t>, Australian Government Department of Industry, Science and Resources.</w:t>
          </w:r>
        </w:p>
        <w:p w14:paraId="0A5F8F2A" w14:textId="77777777" w:rsidR="00B81C11" w:rsidRDefault="0066416C" w:rsidP="009B4687">
          <w:r w:rsidRPr="0066416C">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082F7D6A" w14:textId="77777777" w:rsidR="00B81C11" w:rsidRPr="001D216A" w:rsidRDefault="00B81C11" w:rsidP="00B81C11">
          <w:pPr>
            <w:pStyle w:val="Heading2"/>
          </w:pPr>
          <w:bookmarkStart w:id="13" w:name="_Toc19023740"/>
          <w:bookmarkStart w:id="14" w:name="_Toc19289803"/>
          <w:bookmarkStart w:id="15" w:name="_Toc144911606"/>
          <w:bookmarkStart w:id="16" w:name="_Toc155191314"/>
          <w:bookmarkStart w:id="17" w:name="_Toc164854359"/>
          <w:r w:rsidRPr="001D216A">
            <w:t>Disclaimer</w:t>
          </w:r>
          <w:bookmarkEnd w:id="13"/>
          <w:bookmarkEnd w:id="14"/>
          <w:bookmarkEnd w:id="15"/>
          <w:bookmarkEnd w:id="16"/>
          <w:bookmarkEnd w:id="17"/>
        </w:p>
        <w:p w14:paraId="20EAEE80" w14:textId="731E00E6" w:rsidR="00B81C11" w:rsidRDefault="00B81C11" w:rsidP="00B81C11">
          <w:r>
            <w:t xml:space="preserve">The purpose of this publication is to </w:t>
          </w:r>
          <w:r w:rsidR="00042A95">
            <w:t>provide information for potential applicants for Round 1 Stage 1 Feasibility of the Critical Technologies Challenge Program</w:t>
          </w:r>
          <w:r>
            <w:t>.</w:t>
          </w:r>
        </w:p>
        <w:p w14:paraId="6FCC77AB" w14:textId="77777777" w:rsidR="00B81C11" w:rsidRDefault="00B81C11" w:rsidP="00B81C11">
          <w:r>
            <w:t>The Commonwealth as represented by the Department of Industry, Science</w:t>
          </w:r>
          <w:r w:rsidR="005C111D">
            <w:t xml:space="preserve"> </w:t>
          </w:r>
          <w:r>
            <w:t>and Resources has exercised due care and skill in the preparation and compilation of the information in this publication.</w:t>
          </w:r>
        </w:p>
        <w:p w14:paraId="1217CCCA" w14:textId="77777777" w:rsidR="00B81C11" w:rsidRDefault="00B81C11" w:rsidP="00B81C11">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361829FD" w14:textId="77777777" w:rsidR="00B81C11" w:rsidRPr="00527381" w:rsidRDefault="00B81C11" w:rsidP="009B4687">
          <w:r>
            <w:t>The Commonwealth accepts no responsibility or liability for any damage, loss or expense incurred as a result of the reliance on information contained in this publication. This publication does not indicate commitment by the Commonwealth to a particular course of action.</w:t>
          </w:r>
        </w:p>
        <w:p w14:paraId="696C0829" w14:textId="77777777" w:rsidR="00DD41C7" w:rsidRDefault="0066416C" w:rsidP="0066416C">
          <w:pPr>
            <w:sectPr w:rsidR="00DD41C7" w:rsidSect="00DD41C7">
              <w:headerReference w:type="default" r:id="rId17"/>
              <w:footerReference w:type="default" r:id="rId18"/>
              <w:headerReference w:type="first" r:id="rId19"/>
              <w:footerReference w:type="first" r:id="rId20"/>
              <w:pgSz w:w="11906" w:h="16838"/>
              <w:pgMar w:top="1276" w:right="1440" w:bottom="1440" w:left="1440" w:header="851" w:footer="708" w:gutter="0"/>
              <w:pgNumType w:fmt="lowerRoman" w:start="1"/>
              <w:cols w:space="708"/>
              <w:titlePg/>
              <w:docGrid w:linePitch="360"/>
            </w:sectPr>
          </w:pPr>
          <w:r>
            <w:br w:type="page"/>
          </w:r>
        </w:p>
        <w:sdt>
          <w:sdtPr>
            <w:rPr>
              <w:rFonts w:asciiTheme="minorHAnsi" w:eastAsiaTheme="minorEastAsia" w:hAnsiTheme="minorHAnsi" w:cstheme="minorBidi"/>
              <w:color w:val="auto"/>
              <w:sz w:val="20"/>
              <w:szCs w:val="20"/>
              <w:lang w:val="en-AU"/>
            </w:rPr>
            <w:id w:val="1578165311"/>
            <w:docPartObj>
              <w:docPartGallery w:val="Table of Contents"/>
              <w:docPartUnique/>
            </w:docPartObj>
          </w:sdtPr>
          <w:sdtEndPr>
            <w:rPr>
              <w:b/>
              <w:bCs/>
              <w:noProof/>
            </w:rPr>
          </w:sdtEndPr>
          <w:sdtContent>
            <w:p w14:paraId="7081F245" w14:textId="77777777" w:rsidR="00612AD0" w:rsidRDefault="00612AD0">
              <w:pPr>
                <w:pStyle w:val="TOCHeading"/>
              </w:pPr>
              <w:r>
                <w:t>Contents</w:t>
              </w:r>
            </w:p>
            <w:p w14:paraId="1570C8A1" w14:textId="76026F19" w:rsidR="00134177" w:rsidRDefault="00612AD0" w:rsidP="00C739F2">
              <w:pPr>
                <w:pStyle w:val="TOC1"/>
                <w:rPr>
                  <w:rFonts w:eastAsiaTheme="minorEastAsia"/>
                  <w:noProof/>
                  <w:kern w:val="2"/>
                  <w:sz w:val="22"/>
                  <w:lang w:eastAsia="en-AU"/>
                  <w14:ligatures w14:val="standardContextual"/>
                </w:rPr>
              </w:pPr>
              <w:r>
                <w:fldChar w:fldCharType="begin"/>
              </w:r>
              <w:r>
                <w:instrText xml:space="preserve"> TOC \o "1-3" \h \z \u </w:instrText>
              </w:r>
              <w:r>
                <w:fldChar w:fldCharType="separate"/>
              </w:r>
              <w:r w:rsidR="00C739F2" w:rsidDel="00C739F2">
                <w:rPr>
                  <w:noProof/>
                </w:rPr>
                <w:t xml:space="preserve"> </w:t>
              </w:r>
            </w:p>
            <w:p w14:paraId="22CD822F" w14:textId="57A8DC52" w:rsidR="00134177" w:rsidRDefault="00F82254" w:rsidP="001108B7">
              <w:pPr>
                <w:pStyle w:val="TOC1"/>
                <w:rPr>
                  <w:rFonts w:eastAsiaTheme="minorEastAsia"/>
                  <w:noProof/>
                  <w:kern w:val="2"/>
                  <w:sz w:val="22"/>
                  <w:lang w:eastAsia="en-AU"/>
                  <w14:ligatures w14:val="standardContextual"/>
                </w:rPr>
              </w:pPr>
              <w:hyperlink w:anchor="_Toc164854358" w:history="1">
                <w:r w:rsidR="00134177" w:rsidRPr="00D17DAA">
                  <w:rPr>
                    <w:rStyle w:val="Hyperlink"/>
                    <w:noProof/>
                  </w:rPr>
                  <w:t>Copyright</w:t>
                </w:r>
                <w:r w:rsidR="00134177">
                  <w:rPr>
                    <w:noProof/>
                    <w:webHidden/>
                  </w:rPr>
                  <w:tab/>
                </w:r>
                <w:r w:rsidR="00134177">
                  <w:rPr>
                    <w:noProof/>
                    <w:webHidden/>
                  </w:rPr>
                  <w:fldChar w:fldCharType="begin"/>
                </w:r>
                <w:r w:rsidR="00134177">
                  <w:rPr>
                    <w:noProof/>
                    <w:webHidden/>
                  </w:rPr>
                  <w:instrText xml:space="preserve"> PAGEREF _Toc164854358 \h </w:instrText>
                </w:r>
                <w:r w:rsidR="00134177">
                  <w:rPr>
                    <w:noProof/>
                    <w:webHidden/>
                  </w:rPr>
                </w:r>
                <w:r w:rsidR="00134177">
                  <w:rPr>
                    <w:noProof/>
                    <w:webHidden/>
                  </w:rPr>
                  <w:fldChar w:fldCharType="separate"/>
                </w:r>
                <w:r>
                  <w:rPr>
                    <w:noProof/>
                    <w:webHidden/>
                  </w:rPr>
                  <w:t>ii</w:t>
                </w:r>
                <w:r w:rsidR="00134177">
                  <w:rPr>
                    <w:noProof/>
                    <w:webHidden/>
                  </w:rPr>
                  <w:fldChar w:fldCharType="end"/>
                </w:r>
              </w:hyperlink>
            </w:p>
            <w:p w14:paraId="410819AB" w14:textId="07B374DC" w:rsidR="00134177" w:rsidRDefault="00F82254" w:rsidP="007947C0">
              <w:pPr>
                <w:pStyle w:val="TOC2"/>
                <w:rPr>
                  <w:rFonts w:eastAsiaTheme="minorEastAsia"/>
                  <w:noProof/>
                  <w:kern w:val="2"/>
                  <w:sz w:val="22"/>
                  <w:lang w:eastAsia="en-AU"/>
                  <w14:ligatures w14:val="standardContextual"/>
                </w:rPr>
              </w:pPr>
              <w:hyperlink w:anchor="_Toc164854359" w:history="1">
                <w:r w:rsidR="00134177" w:rsidRPr="00D17DAA">
                  <w:rPr>
                    <w:rStyle w:val="Hyperlink"/>
                    <w:noProof/>
                  </w:rPr>
                  <w:t>Disclaimer</w:t>
                </w:r>
                <w:r w:rsidR="00134177">
                  <w:rPr>
                    <w:noProof/>
                    <w:webHidden/>
                  </w:rPr>
                  <w:tab/>
                </w:r>
                <w:r w:rsidR="00134177">
                  <w:rPr>
                    <w:noProof/>
                    <w:webHidden/>
                  </w:rPr>
                  <w:fldChar w:fldCharType="begin"/>
                </w:r>
                <w:r w:rsidR="00134177">
                  <w:rPr>
                    <w:noProof/>
                    <w:webHidden/>
                  </w:rPr>
                  <w:instrText xml:space="preserve"> PAGEREF _Toc164854359 \h </w:instrText>
                </w:r>
                <w:r w:rsidR="00134177">
                  <w:rPr>
                    <w:noProof/>
                    <w:webHidden/>
                  </w:rPr>
                </w:r>
                <w:r w:rsidR="00134177">
                  <w:rPr>
                    <w:noProof/>
                    <w:webHidden/>
                  </w:rPr>
                  <w:fldChar w:fldCharType="separate"/>
                </w:r>
                <w:r>
                  <w:rPr>
                    <w:noProof/>
                    <w:webHidden/>
                  </w:rPr>
                  <w:t>ii</w:t>
                </w:r>
                <w:r w:rsidR="00134177">
                  <w:rPr>
                    <w:noProof/>
                    <w:webHidden/>
                  </w:rPr>
                  <w:fldChar w:fldCharType="end"/>
                </w:r>
              </w:hyperlink>
            </w:p>
            <w:p w14:paraId="6ECD91BB" w14:textId="57854361" w:rsidR="00134177" w:rsidRDefault="00F82254" w:rsidP="007947C0">
              <w:pPr>
                <w:pStyle w:val="TOC2"/>
                <w:rPr>
                  <w:rFonts w:eastAsiaTheme="minorEastAsia"/>
                  <w:noProof/>
                  <w:kern w:val="2"/>
                  <w:sz w:val="22"/>
                  <w:lang w:eastAsia="en-AU"/>
                  <w14:ligatures w14:val="standardContextual"/>
                </w:rPr>
              </w:pPr>
              <w:hyperlink w:anchor="_Toc164854360" w:history="1">
                <w:r w:rsidR="00134177" w:rsidRPr="00D17DAA">
                  <w:rPr>
                    <w:rStyle w:val="Hyperlink"/>
                    <w:noProof/>
                  </w:rPr>
                  <w:t>Frequently asked questions</w:t>
                </w:r>
                <w:r w:rsidR="00134177">
                  <w:rPr>
                    <w:noProof/>
                    <w:webHidden/>
                  </w:rPr>
                  <w:tab/>
                </w:r>
                <w:r w:rsidR="00134177">
                  <w:rPr>
                    <w:noProof/>
                    <w:webHidden/>
                  </w:rPr>
                  <w:fldChar w:fldCharType="begin"/>
                </w:r>
                <w:r w:rsidR="00134177">
                  <w:rPr>
                    <w:noProof/>
                    <w:webHidden/>
                  </w:rPr>
                  <w:instrText xml:space="preserve"> PAGEREF _Toc164854360 \h </w:instrText>
                </w:r>
                <w:r w:rsidR="00134177">
                  <w:rPr>
                    <w:noProof/>
                    <w:webHidden/>
                  </w:rPr>
                </w:r>
                <w:r w:rsidR="00134177">
                  <w:rPr>
                    <w:noProof/>
                    <w:webHidden/>
                  </w:rPr>
                  <w:fldChar w:fldCharType="separate"/>
                </w:r>
                <w:r>
                  <w:rPr>
                    <w:noProof/>
                    <w:webHidden/>
                  </w:rPr>
                  <w:t>4</w:t>
                </w:r>
                <w:r w:rsidR="00134177">
                  <w:rPr>
                    <w:noProof/>
                    <w:webHidden/>
                  </w:rPr>
                  <w:fldChar w:fldCharType="end"/>
                </w:r>
              </w:hyperlink>
            </w:p>
            <w:p w14:paraId="5F5CA041" w14:textId="1E1208D1" w:rsidR="00134177" w:rsidRDefault="00F82254" w:rsidP="00BB0536">
              <w:pPr>
                <w:pStyle w:val="TOC3"/>
                <w:rPr>
                  <w:rFonts w:eastAsiaTheme="minorEastAsia"/>
                  <w:noProof/>
                  <w:kern w:val="2"/>
                  <w:sz w:val="22"/>
                  <w:lang w:eastAsia="en-AU"/>
                  <w14:ligatures w14:val="standardContextual"/>
                </w:rPr>
              </w:pPr>
              <w:hyperlink w:anchor="_Toc164854361" w:history="1">
                <w:r w:rsidR="00134177" w:rsidRPr="00D17DAA">
                  <w:rPr>
                    <w:rStyle w:val="Hyperlink"/>
                    <w:noProof/>
                  </w:rPr>
                  <w:t>The Program</w:t>
                </w:r>
                <w:r w:rsidR="00134177">
                  <w:rPr>
                    <w:noProof/>
                    <w:webHidden/>
                  </w:rPr>
                  <w:tab/>
                </w:r>
                <w:r w:rsidR="00134177">
                  <w:rPr>
                    <w:noProof/>
                    <w:webHidden/>
                  </w:rPr>
                  <w:fldChar w:fldCharType="begin"/>
                </w:r>
                <w:r w:rsidR="00134177">
                  <w:rPr>
                    <w:noProof/>
                    <w:webHidden/>
                  </w:rPr>
                  <w:instrText xml:space="preserve"> PAGEREF _Toc164854361 \h </w:instrText>
                </w:r>
                <w:r w:rsidR="00134177">
                  <w:rPr>
                    <w:noProof/>
                    <w:webHidden/>
                  </w:rPr>
                </w:r>
                <w:r w:rsidR="00134177">
                  <w:rPr>
                    <w:noProof/>
                    <w:webHidden/>
                  </w:rPr>
                  <w:fldChar w:fldCharType="separate"/>
                </w:r>
                <w:r>
                  <w:rPr>
                    <w:noProof/>
                    <w:webHidden/>
                  </w:rPr>
                  <w:t>4</w:t>
                </w:r>
                <w:r w:rsidR="00134177">
                  <w:rPr>
                    <w:noProof/>
                    <w:webHidden/>
                  </w:rPr>
                  <w:fldChar w:fldCharType="end"/>
                </w:r>
              </w:hyperlink>
            </w:p>
            <w:p w14:paraId="7F7CB80C" w14:textId="6891C6F3" w:rsidR="00134177" w:rsidRDefault="00F82254" w:rsidP="00BB0536">
              <w:pPr>
                <w:pStyle w:val="TOC3"/>
                <w:rPr>
                  <w:rFonts w:eastAsiaTheme="minorEastAsia"/>
                  <w:noProof/>
                  <w:kern w:val="2"/>
                  <w:sz w:val="22"/>
                  <w:lang w:eastAsia="en-AU"/>
                  <w14:ligatures w14:val="standardContextual"/>
                </w:rPr>
              </w:pPr>
              <w:hyperlink w:anchor="_Toc164854362" w:history="1">
                <w:r w:rsidR="00134177" w:rsidRPr="00D17DAA">
                  <w:rPr>
                    <w:rStyle w:val="Hyperlink"/>
                    <w:noProof/>
                  </w:rPr>
                  <w:t>The challenges</w:t>
                </w:r>
                <w:r w:rsidR="00134177">
                  <w:rPr>
                    <w:noProof/>
                    <w:webHidden/>
                  </w:rPr>
                  <w:tab/>
                </w:r>
                <w:r w:rsidR="00134177">
                  <w:rPr>
                    <w:noProof/>
                    <w:webHidden/>
                  </w:rPr>
                  <w:fldChar w:fldCharType="begin"/>
                </w:r>
                <w:r w:rsidR="00134177">
                  <w:rPr>
                    <w:noProof/>
                    <w:webHidden/>
                  </w:rPr>
                  <w:instrText xml:space="preserve"> PAGEREF _Toc164854362 \h </w:instrText>
                </w:r>
                <w:r w:rsidR="00134177">
                  <w:rPr>
                    <w:noProof/>
                    <w:webHidden/>
                  </w:rPr>
                </w:r>
                <w:r w:rsidR="00134177">
                  <w:rPr>
                    <w:noProof/>
                    <w:webHidden/>
                  </w:rPr>
                  <w:fldChar w:fldCharType="separate"/>
                </w:r>
                <w:r>
                  <w:rPr>
                    <w:noProof/>
                    <w:webHidden/>
                  </w:rPr>
                  <w:t>4</w:t>
                </w:r>
                <w:r w:rsidR="00134177">
                  <w:rPr>
                    <w:noProof/>
                    <w:webHidden/>
                  </w:rPr>
                  <w:fldChar w:fldCharType="end"/>
                </w:r>
              </w:hyperlink>
            </w:p>
            <w:p w14:paraId="6EADADC6" w14:textId="4035B49F" w:rsidR="00134177" w:rsidRDefault="00F82254" w:rsidP="00BB0536">
              <w:pPr>
                <w:pStyle w:val="TOC3"/>
                <w:rPr>
                  <w:rFonts w:eastAsiaTheme="minorEastAsia"/>
                  <w:noProof/>
                  <w:kern w:val="2"/>
                  <w:sz w:val="22"/>
                  <w:lang w:eastAsia="en-AU"/>
                  <w14:ligatures w14:val="standardContextual"/>
                </w:rPr>
              </w:pPr>
              <w:hyperlink w:anchor="_Toc164854363" w:history="1">
                <w:r w:rsidR="00134177" w:rsidRPr="00D17DAA">
                  <w:rPr>
                    <w:rStyle w:val="Hyperlink"/>
                    <w:noProof/>
                  </w:rPr>
                  <w:t>Applications</w:t>
                </w:r>
                <w:r w:rsidR="00134177">
                  <w:rPr>
                    <w:noProof/>
                    <w:webHidden/>
                  </w:rPr>
                  <w:tab/>
                </w:r>
                <w:r w:rsidR="00134177">
                  <w:rPr>
                    <w:noProof/>
                    <w:webHidden/>
                  </w:rPr>
                  <w:fldChar w:fldCharType="begin"/>
                </w:r>
                <w:r w:rsidR="00134177">
                  <w:rPr>
                    <w:noProof/>
                    <w:webHidden/>
                  </w:rPr>
                  <w:instrText xml:space="preserve"> PAGEREF _Toc164854363 \h </w:instrText>
                </w:r>
                <w:r w:rsidR="00134177">
                  <w:rPr>
                    <w:noProof/>
                    <w:webHidden/>
                  </w:rPr>
                </w:r>
                <w:r w:rsidR="00134177">
                  <w:rPr>
                    <w:noProof/>
                    <w:webHidden/>
                  </w:rPr>
                  <w:fldChar w:fldCharType="separate"/>
                </w:r>
                <w:r>
                  <w:rPr>
                    <w:noProof/>
                    <w:webHidden/>
                  </w:rPr>
                  <w:t>6</w:t>
                </w:r>
                <w:r w:rsidR="00134177">
                  <w:rPr>
                    <w:noProof/>
                    <w:webHidden/>
                  </w:rPr>
                  <w:fldChar w:fldCharType="end"/>
                </w:r>
              </w:hyperlink>
            </w:p>
            <w:p w14:paraId="17F08A3B" w14:textId="45780F83" w:rsidR="00134177" w:rsidRDefault="00F82254" w:rsidP="00BB0536">
              <w:pPr>
                <w:pStyle w:val="TOC3"/>
                <w:rPr>
                  <w:rFonts w:eastAsiaTheme="minorEastAsia"/>
                  <w:noProof/>
                  <w:kern w:val="2"/>
                  <w:sz w:val="22"/>
                  <w:lang w:eastAsia="en-AU"/>
                  <w14:ligatures w14:val="standardContextual"/>
                </w:rPr>
              </w:pPr>
              <w:hyperlink w:anchor="_Toc164854364" w:history="1">
                <w:r w:rsidR="00134177" w:rsidRPr="00D17DAA">
                  <w:rPr>
                    <w:rStyle w:val="Hyperlink"/>
                    <w:noProof/>
                  </w:rPr>
                  <w:t>Delivery</w:t>
                </w:r>
                <w:r w:rsidR="00134177">
                  <w:rPr>
                    <w:noProof/>
                    <w:webHidden/>
                  </w:rPr>
                  <w:tab/>
                </w:r>
                <w:r w:rsidR="00134177">
                  <w:rPr>
                    <w:noProof/>
                    <w:webHidden/>
                  </w:rPr>
                  <w:fldChar w:fldCharType="begin"/>
                </w:r>
                <w:r w:rsidR="00134177">
                  <w:rPr>
                    <w:noProof/>
                    <w:webHidden/>
                  </w:rPr>
                  <w:instrText xml:space="preserve"> PAGEREF _Toc164854364 \h </w:instrText>
                </w:r>
                <w:r w:rsidR="00134177">
                  <w:rPr>
                    <w:noProof/>
                    <w:webHidden/>
                  </w:rPr>
                </w:r>
                <w:r w:rsidR="00134177">
                  <w:rPr>
                    <w:noProof/>
                    <w:webHidden/>
                  </w:rPr>
                  <w:fldChar w:fldCharType="separate"/>
                </w:r>
                <w:r>
                  <w:rPr>
                    <w:noProof/>
                    <w:webHidden/>
                  </w:rPr>
                  <w:t>7</w:t>
                </w:r>
                <w:r w:rsidR="00134177">
                  <w:rPr>
                    <w:noProof/>
                    <w:webHidden/>
                  </w:rPr>
                  <w:fldChar w:fldCharType="end"/>
                </w:r>
              </w:hyperlink>
            </w:p>
            <w:p w14:paraId="01F3B24F" w14:textId="29DE687A" w:rsidR="00134177" w:rsidRDefault="00F82254" w:rsidP="00BB0536">
              <w:pPr>
                <w:pStyle w:val="TOC3"/>
                <w:rPr>
                  <w:rFonts w:eastAsiaTheme="minorEastAsia"/>
                  <w:noProof/>
                  <w:kern w:val="2"/>
                  <w:sz w:val="22"/>
                  <w:lang w:eastAsia="en-AU"/>
                  <w14:ligatures w14:val="standardContextual"/>
                </w:rPr>
              </w:pPr>
              <w:hyperlink w:anchor="_Toc164854365" w:history="1">
                <w:r w:rsidR="00134177" w:rsidRPr="00D17DAA">
                  <w:rPr>
                    <w:rStyle w:val="Hyperlink"/>
                    <w:noProof/>
                  </w:rPr>
                  <w:t>Need more information?</w:t>
                </w:r>
                <w:r w:rsidR="00134177">
                  <w:rPr>
                    <w:noProof/>
                    <w:webHidden/>
                  </w:rPr>
                  <w:tab/>
                </w:r>
                <w:r w:rsidR="00134177">
                  <w:rPr>
                    <w:noProof/>
                    <w:webHidden/>
                  </w:rPr>
                  <w:fldChar w:fldCharType="begin"/>
                </w:r>
                <w:r w:rsidR="00134177">
                  <w:rPr>
                    <w:noProof/>
                    <w:webHidden/>
                  </w:rPr>
                  <w:instrText xml:space="preserve"> PAGEREF _Toc164854365 \h </w:instrText>
                </w:r>
                <w:r w:rsidR="00134177">
                  <w:rPr>
                    <w:noProof/>
                    <w:webHidden/>
                  </w:rPr>
                </w:r>
                <w:r w:rsidR="00134177">
                  <w:rPr>
                    <w:noProof/>
                    <w:webHidden/>
                  </w:rPr>
                  <w:fldChar w:fldCharType="separate"/>
                </w:r>
                <w:r>
                  <w:rPr>
                    <w:noProof/>
                    <w:webHidden/>
                  </w:rPr>
                  <w:t>7</w:t>
                </w:r>
                <w:r w:rsidR="00134177">
                  <w:rPr>
                    <w:noProof/>
                    <w:webHidden/>
                  </w:rPr>
                  <w:fldChar w:fldCharType="end"/>
                </w:r>
              </w:hyperlink>
            </w:p>
            <w:p w14:paraId="7D0C2F00" w14:textId="3B8E9E55" w:rsidR="00134177" w:rsidRDefault="00F82254" w:rsidP="007947C0">
              <w:pPr>
                <w:pStyle w:val="TOC2"/>
                <w:rPr>
                  <w:rFonts w:eastAsiaTheme="minorEastAsia"/>
                  <w:noProof/>
                  <w:kern w:val="2"/>
                  <w:sz w:val="22"/>
                  <w:lang w:eastAsia="en-AU"/>
                  <w14:ligatures w14:val="standardContextual"/>
                </w:rPr>
              </w:pPr>
              <w:hyperlink w:anchor="_Toc164854366" w:history="1">
                <w:r w:rsidR="00134177" w:rsidRPr="00D17DAA">
                  <w:rPr>
                    <w:rStyle w:val="Hyperlink"/>
                    <w:noProof/>
                  </w:rPr>
                  <w:t>Challenge 1</w:t>
                </w:r>
                <w:r w:rsidR="00134177">
                  <w:rPr>
                    <w:noProof/>
                    <w:webHidden/>
                  </w:rPr>
                  <w:tab/>
                </w:r>
                <w:r w:rsidR="00134177">
                  <w:rPr>
                    <w:noProof/>
                    <w:webHidden/>
                  </w:rPr>
                  <w:fldChar w:fldCharType="begin"/>
                </w:r>
                <w:r w:rsidR="00134177">
                  <w:rPr>
                    <w:noProof/>
                    <w:webHidden/>
                  </w:rPr>
                  <w:instrText xml:space="preserve"> PAGEREF _Toc164854366 \h </w:instrText>
                </w:r>
                <w:r w:rsidR="00134177">
                  <w:rPr>
                    <w:noProof/>
                    <w:webHidden/>
                  </w:rPr>
                </w:r>
                <w:r w:rsidR="00134177">
                  <w:rPr>
                    <w:noProof/>
                    <w:webHidden/>
                  </w:rPr>
                  <w:fldChar w:fldCharType="separate"/>
                </w:r>
                <w:r>
                  <w:rPr>
                    <w:noProof/>
                    <w:webHidden/>
                  </w:rPr>
                  <w:t>8</w:t>
                </w:r>
                <w:r w:rsidR="00134177">
                  <w:rPr>
                    <w:noProof/>
                    <w:webHidden/>
                  </w:rPr>
                  <w:fldChar w:fldCharType="end"/>
                </w:r>
              </w:hyperlink>
            </w:p>
            <w:p w14:paraId="57741CF2" w14:textId="2BA35B32" w:rsidR="00134177" w:rsidRDefault="00F82254" w:rsidP="00BB0536">
              <w:pPr>
                <w:pStyle w:val="TOC3"/>
                <w:rPr>
                  <w:rFonts w:eastAsiaTheme="minorEastAsia"/>
                  <w:noProof/>
                  <w:kern w:val="2"/>
                  <w:sz w:val="22"/>
                  <w:lang w:eastAsia="en-AU"/>
                  <w14:ligatures w14:val="standardContextual"/>
                </w:rPr>
              </w:pPr>
              <w:hyperlink w:anchor="_Toc164854367" w:history="1">
                <w:r w:rsidR="00134177" w:rsidRPr="00D17DAA">
                  <w:rPr>
                    <w:rStyle w:val="Hyperlink"/>
                    <w:noProof/>
                  </w:rPr>
                  <w:t>Optimise the performance, sustainability, and security of energy networks</w:t>
                </w:r>
                <w:r w:rsidR="00134177">
                  <w:rPr>
                    <w:noProof/>
                    <w:webHidden/>
                  </w:rPr>
                  <w:tab/>
                </w:r>
                <w:r w:rsidR="00134177">
                  <w:rPr>
                    <w:noProof/>
                    <w:webHidden/>
                  </w:rPr>
                  <w:fldChar w:fldCharType="begin"/>
                </w:r>
                <w:r w:rsidR="00134177">
                  <w:rPr>
                    <w:noProof/>
                    <w:webHidden/>
                  </w:rPr>
                  <w:instrText xml:space="preserve"> PAGEREF _Toc164854367 \h </w:instrText>
                </w:r>
                <w:r w:rsidR="00134177">
                  <w:rPr>
                    <w:noProof/>
                    <w:webHidden/>
                  </w:rPr>
                </w:r>
                <w:r w:rsidR="00134177">
                  <w:rPr>
                    <w:noProof/>
                    <w:webHidden/>
                  </w:rPr>
                  <w:fldChar w:fldCharType="separate"/>
                </w:r>
                <w:r>
                  <w:rPr>
                    <w:noProof/>
                    <w:webHidden/>
                  </w:rPr>
                  <w:t>8</w:t>
                </w:r>
                <w:r w:rsidR="00134177">
                  <w:rPr>
                    <w:noProof/>
                    <w:webHidden/>
                  </w:rPr>
                  <w:fldChar w:fldCharType="end"/>
                </w:r>
              </w:hyperlink>
            </w:p>
            <w:p w14:paraId="1C8749C1" w14:textId="35B68848" w:rsidR="00134177" w:rsidRDefault="00F82254" w:rsidP="007947C0">
              <w:pPr>
                <w:pStyle w:val="TOC2"/>
                <w:rPr>
                  <w:rFonts w:eastAsiaTheme="minorEastAsia"/>
                  <w:noProof/>
                  <w:kern w:val="2"/>
                  <w:sz w:val="22"/>
                  <w:lang w:eastAsia="en-AU"/>
                  <w14:ligatures w14:val="standardContextual"/>
                </w:rPr>
              </w:pPr>
              <w:hyperlink w:anchor="_Toc164854368" w:history="1">
                <w:r w:rsidR="00134177" w:rsidRPr="00D17DAA">
                  <w:rPr>
                    <w:rStyle w:val="Hyperlink"/>
                    <w:noProof/>
                  </w:rPr>
                  <w:t>Challenge 2</w:t>
                </w:r>
                <w:r w:rsidR="00134177">
                  <w:rPr>
                    <w:noProof/>
                    <w:webHidden/>
                  </w:rPr>
                  <w:tab/>
                </w:r>
                <w:r w:rsidR="00134177">
                  <w:rPr>
                    <w:noProof/>
                    <w:webHidden/>
                  </w:rPr>
                  <w:fldChar w:fldCharType="begin"/>
                </w:r>
                <w:r w:rsidR="00134177">
                  <w:rPr>
                    <w:noProof/>
                    <w:webHidden/>
                  </w:rPr>
                  <w:instrText xml:space="preserve"> PAGEREF _Toc164854368 \h </w:instrText>
                </w:r>
                <w:r w:rsidR="00134177">
                  <w:rPr>
                    <w:noProof/>
                    <w:webHidden/>
                  </w:rPr>
                </w:r>
                <w:r w:rsidR="00134177">
                  <w:rPr>
                    <w:noProof/>
                    <w:webHidden/>
                  </w:rPr>
                  <w:fldChar w:fldCharType="separate"/>
                </w:r>
                <w:r>
                  <w:rPr>
                    <w:noProof/>
                    <w:webHidden/>
                  </w:rPr>
                  <w:t>12</w:t>
                </w:r>
                <w:r w:rsidR="00134177">
                  <w:rPr>
                    <w:noProof/>
                    <w:webHidden/>
                  </w:rPr>
                  <w:fldChar w:fldCharType="end"/>
                </w:r>
              </w:hyperlink>
            </w:p>
            <w:p w14:paraId="0D2542CA" w14:textId="5B46CC39" w:rsidR="00134177" w:rsidRDefault="00F82254" w:rsidP="00BB0536">
              <w:pPr>
                <w:pStyle w:val="TOC3"/>
                <w:rPr>
                  <w:rFonts w:eastAsiaTheme="minorEastAsia"/>
                  <w:noProof/>
                  <w:kern w:val="2"/>
                  <w:sz w:val="22"/>
                  <w:lang w:eastAsia="en-AU"/>
                  <w14:ligatures w14:val="standardContextual"/>
                </w:rPr>
              </w:pPr>
              <w:hyperlink w:anchor="_Toc164854369" w:history="1">
                <w:r w:rsidR="00134177" w:rsidRPr="00D17DAA">
                  <w:rPr>
                    <w:rStyle w:val="Hyperlink"/>
                    <w:noProof/>
                  </w:rPr>
                  <w:t>Improve medical imaging and medical sensors to support diagnosis, treatment of disease and monitoring activities inside the human body</w:t>
                </w:r>
                <w:r w:rsidR="00134177">
                  <w:rPr>
                    <w:noProof/>
                    <w:webHidden/>
                  </w:rPr>
                  <w:tab/>
                </w:r>
                <w:r w:rsidR="00134177">
                  <w:rPr>
                    <w:noProof/>
                    <w:webHidden/>
                  </w:rPr>
                  <w:fldChar w:fldCharType="begin"/>
                </w:r>
                <w:r w:rsidR="00134177">
                  <w:rPr>
                    <w:noProof/>
                    <w:webHidden/>
                  </w:rPr>
                  <w:instrText xml:space="preserve"> PAGEREF _Toc164854369 \h </w:instrText>
                </w:r>
                <w:r w:rsidR="00134177">
                  <w:rPr>
                    <w:noProof/>
                    <w:webHidden/>
                  </w:rPr>
                </w:r>
                <w:r w:rsidR="00134177">
                  <w:rPr>
                    <w:noProof/>
                    <w:webHidden/>
                  </w:rPr>
                  <w:fldChar w:fldCharType="separate"/>
                </w:r>
                <w:r>
                  <w:rPr>
                    <w:noProof/>
                    <w:webHidden/>
                  </w:rPr>
                  <w:t>12</w:t>
                </w:r>
                <w:r w:rsidR="00134177">
                  <w:rPr>
                    <w:noProof/>
                    <w:webHidden/>
                  </w:rPr>
                  <w:fldChar w:fldCharType="end"/>
                </w:r>
              </w:hyperlink>
            </w:p>
            <w:p w14:paraId="697FF268" w14:textId="4258C7E0" w:rsidR="00134177" w:rsidRDefault="00F82254" w:rsidP="007947C0">
              <w:pPr>
                <w:pStyle w:val="TOC2"/>
                <w:rPr>
                  <w:rFonts w:eastAsiaTheme="minorEastAsia"/>
                  <w:noProof/>
                  <w:kern w:val="2"/>
                  <w:sz w:val="22"/>
                  <w:lang w:eastAsia="en-AU"/>
                  <w14:ligatures w14:val="standardContextual"/>
                </w:rPr>
              </w:pPr>
              <w:hyperlink w:anchor="_Toc164854370" w:history="1">
                <w:r w:rsidR="00134177" w:rsidRPr="00D17DAA">
                  <w:rPr>
                    <w:rStyle w:val="Hyperlink"/>
                    <w:noProof/>
                  </w:rPr>
                  <w:t>Challenge 3</w:t>
                </w:r>
                <w:r w:rsidR="00134177">
                  <w:rPr>
                    <w:noProof/>
                    <w:webHidden/>
                  </w:rPr>
                  <w:tab/>
                </w:r>
                <w:r w:rsidR="00134177">
                  <w:rPr>
                    <w:noProof/>
                    <w:webHidden/>
                  </w:rPr>
                  <w:fldChar w:fldCharType="begin"/>
                </w:r>
                <w:r w:rsidR="00134177">
                  <w:rPr>
                    <w:noProof/>
                    <w:webHidden/>
                  </w:rPr>
                  <w:instrText xml:space="preserve"> PAGEREF _Toc164854370 \h </w:instrText>
                </w:r>
                <w:r w:rsidR="00134177">
                  <w:rPr>
                    <w:noProof/>
                    <w:webHidden/>
                  </w:rPr>
                </w:r>
                <w:r w:rsidR="00134177">
                  <w:rPr>
                    <w:noProof/>
                    <w:webHidden/>
                  </w:rPr>
                  <w:fldChar w:fldCharType="separate"/>
                </w:r>
                <w:r>
                  <w:rPr>
                    <w:noProof/>
                    <w:webHidden/>
                  </w:rPr>
                  <w:t>16</w:t>
                </w:r>
                <w:r w:rsidR="00134177">
                  <w:rPr>
                    <w:noProof/>
                    <w:webHidden/>
                  </w:rPr>
                  <w:fldChar w:fldCharType="end"/>
                </w:r>
              </w:hyperlink>
            </w:p>
            <w:p w14:paraId="6C83745E" w14:textId="7B2565A1" w:rsidR="00134177" w:rsidRDefault="00F82254" w:rsidP="00BB0536">
              <w:pPr>
                <w:pStyle w:val="TOC3"/>
                <w:rPr>
                  <w:rFonts w:eastAsiaTheme="minorEastAsia"/>
                  <w:noProof/>
                  <w:kern w:val="2"/>
                  <w:sz w:val="22"/>
                  <w:lang w:eastAsia="en-AU"/>
                  <w14:ligatures w14:val="standardContextual"/>
                </w:rPr>
              </w:pPr>
              <w:hyperlink w:anchor="_Toc164854371" w:history="1">
                <w:r w:rsidR="00134177" w:rsidRPr="00D17DAA">
                  <w:rPr>
                    <w:rStyle w:val="Hyperlink"/>
                    <w:noProof/>
                  </w:rPr>
                  <w:t xml:space="preserve">Enhance </w:t>
                </w:r>
                <w:r w:rsidR="00134177" w:rsidRPr="00D17DAA">
                  <w:rPr>
                    <w:rStyle w:val="Hyperlink"/>
                    <w:noProof/>
                    <w:lang w:val="en-US"/>
                  </w:rPr>
                  <w:t>communication with autonomous systems in varying environments</w:t>
                </w:r>
                <w:r w:rsidR="00134177">
                  <w:rPr>
                    <w:noProof/>
                    <w:webHidden/>
                  </w:rPr>
                  <w:tab/>
                </w:r>
                <w:r w:rsidR="00134177">
                  <w:rPr>
                    <w:noProof/>
                    <w:webHidden/>
                  </w:rPr>
                  <w:fldChar w:fldCharType="begin"/>
                </w:r>
                <w:r w:rsidR="00134177">
                  <w:rPr>
                    <w:noProof/>
                    <w:webHidden/>
                  </w:rPr>
                  <w:instrText xml:space="preserve"> PAGEREF _Toc164854371 \h </w:instrText>
                </w:r>
                <w:r w:rsidR="00134177">
                  <w:rPr>
                    <w:noProof/>
                    <w:webHidden/>
                  </w:rPr>
                </w:r>
                <w:r w:rsidR="00134177">
                  <w:rPr>
                    <w:noProof/>
                    <w:webHidden/>
                  </w:rPr>
                  <w:fldChar w:fldCharType="separate"/>
                </w:r>
                <w:r>
                  <w:rPr>
                    <w:noProof/>
                    <w:webHidden/>
                  </w:rPr>
                  <w:t>16</w:t>
                </w:r>
                <w:r w:rsidR="00134177">
                  <w:rPr>
                    <w:noProof/>
                    <w:webHidden/>
                  </w:rPr>
                  <w:fldChar w:fldCharType="end"/>
                </w:r>
              </w:hyperlink>
            </w:p>
            <w:p w14:paraId="0A142C45" w14:textId="23342F53" w:rsidR="00134177" w:rsidRDefault="00F82254" w:rsidP="007947C0">
              <w:pPr>
                <w:pStyle w:val="TOC2"/>
                <w:rPr>
                  <w:rFonts w:eastAsiaTheme="minorEastAsia"/>
                  <w:noProof/>
                  <w:kern w:val="2"/>
                  <w:sz w:val="22"/>
                  <w:lang w:eastAsia="en-AU"/>
                  <w14:ligatures w14:val="standardContextual"/>
                </w:rPr>
              </w:pPr>
              <w:hyperlink w:anchor="_Toc164854372" w:history="1">
                <w:r w:rsidR="00134177" w:rsidRPr="00D17DAA">
                  <w:rPr>
                    <w:rStyle w:val="Hyperlink"/>
                    <w:noProof/>
                  </w:rPr>
                  <w:t>Challenge 4</w:t>
                </w:r>
                <w:r w:rsidR="00134177">
                  <w:rPr>
                    <w:noProof/>
                    <w:webHidden/>
                  </w:rPr>
                  <w:tab/>
                </w:r>
                <w:r w:rsidR="00134177">
                  <w:rPr>
                    <w:noProof/>
                    <w:webHidden/>
                  </w:rPr>
                  <w:fldChar w:fldCharType="begin"/>
                </w:r>
                <w:r w:rsidR="00134177">
                  <w:rPr>
                    <w:noProof/>
                    <w:webHidden/>
                  </w:rPr>
                  <w:instrText xml:space="preserve"> PAGEREF _Toc164854372 \h </w:instrText>
                </w:r>
                <w:r w:rsidR="00134177">
                  <w:rPr>
                    <w:noProof/>
                    <w:webHidden/>
                  </w:rPr>
                </w:r>
                <w:r w:rsidR="00134177">
                  <w:rPr>
                    <w:noProof/>
                    <w:webHidden/>
                  </w:rPr>
                  <w:fldChar w:fldCharType="separate"/>
                </w:r>
                <w:r>
                  <w:rPr>
                    <w:noProof/>
                    <w:webHidden/>
                  </w:rPr>
                  <w:t>20</w:t>
                </w:r>
                <w:r w:rsidR="00134177">
                  <w:rPr>
                    <w:noProof/>
                    <w:webHidden/>
                  </w:rPr>
                  <w:fldChar w:fldCharType="end"/>
                </w:r>
              </w:hyperlink>
            </w:p>
            <w:p w14:paraId="42F2F8C1" w14:textId="6AD9A803" w:rsidR="00134177" w:rsidRDefault="00F82254" w:rsidP="00BB0536">
              <w:pPr>
                <w:pStyle w:val="TOC3"/>
                <w:rPr>
                  <w:rFonts w:eastAsiaTheme="minorEastAsia"/>
                  <w:noProof/>
                  <w:kern w:val="2"/>
                  <w:sz w:val="22"/>
                  <w:lang w:eastAsia="en-AU"/>
                  <w14:ligatures w14:val="standardContextual"/>
                </w:rPr>
              </w:pPr>
              <w:hyperlink w:anchor="_Toc164854373" w:history="1">
                <w:r w:rsidR="00134177" w:rsidRPr="00D17DAA">
                  <w:rPr>
                    <w:rStyle w:val="Hyperlink"/>
                    <w:noProof/>
                  </w:rPr>
                  <w:t>Optimise and reduce the impact of resource exploration, extraction, and mineral processing</w:t>
                </w:r>
                <w:r w:rsidR="00134177">
                  <w:rPr>
                    <w:noProof/>
                    <w:webHidden/>
                  </w:rPr>
                  <w:tab/>
                </w:r>
                <w:r w:rsidR="00134177">
                  <w:rPr>
                    <w:noProof/>
                    <w:webHidden/>
                  </w:rPr>
                  <w:fldChar w:fldCharType="begin"/>
                </w:r>
                <w:r w:rsidR="00134177">
                  <w:rPr>
                    <w:noProof/>
                    <w:webHidden/>
                  </w:rPr>
                  <w:instrText xml:space="preserve"> PAGEREF _Toc164854373 \h </w:instrText>
                </w:r>
                <w:r w:rsidR="00134177">
                  <w:rPr>
                    <w:noProof/>
                    <w:webHidden/>
                  </w:rPr>
                </w:r>
                <w:r w:rsidR="00134177">
                  <w:rPr>
                    <w:noProof/>
                    <w:webHidden/>
                  </w:rPr>
                  <w:fldChar w:fldCharType="separate"/>
                </w:r>
                <w:r>
                  <w:rPr>
                    <w:noProof/>
                    <w:webHidden/>
                  </w:rPr>
                  <w:t>20</w:t>
                </w:r>
                <w:r w:rsidR="00134177">
                  <w:rPr>
                    <w:noProof/>
                    <w:webHidden/>
                  </w:rPr>
                  <w:fldChar w:fldCharType="end"/>
                </w:r>
              </w:hyperlink>
            </w:p>
            <w:p w14:paraId="7E3DEBF6" w14:textId="577ED185" w:rsidR="00134177" w:rsidRDefault="00F82254" w:rsidP="007947C0">
              <w:pPr>
                <w:pStyle w:val="TOC2"/>
                <w:rPr>
                  <w:rFonts w:eastAsiaTheme="minorEastAsia"/>
                  <w:noProof/>
                  <w:kern w:val="2"/>
                  <w:sz w:val="22"/>
                  <w:lang w:eastAsia="en-AU"/>
                  <w14:ligatures w14:val="standardContextual"/>
                </w:rPr>
              </w:pPr>
              <w:hyperlink w:anchor="_Toc164854374" w:history="1">
                <w:r w:rsidR="00134177" w:rsidRPr="00D17DAA">
                  <w:rPr>
                    <w:rStyle w:val="Hyperlink"/>
                    <w:noProof/>
                  </w:rPr>
                  <w:t>Information of interest</w:t>
                </w:r>
                <w:r w:rsidR="00134177">
                  <w:rPr>
                    <w:noProof/>
                    <w:webHidden/>
                  </w:rPr>
                  <w:tab/>
                </w:r>
                <w:r w:rsidR="00134177">
                  <w:rPr>
                    <w:noProof/>
                    <w:webHidden/>
                  </w:rPr>
                  <w:fldChar w:fldCharType="begin"/>
                </w:r>
                <w:r w:rsidR="00134177">
                  <w:rPr>
                    <w:noProof/>
                    <w:webHidden/>
                  </w:rPr>
                  <w:instrText xml:space="preserve"> PAGEREF _Toc164854374 \h </w:instrText>
                </w:r>
                <w:r w:rsidR="00134177">
                  <w:rPr>
                    <w:noProof/>
                    <w:webHidden/>
                  </w:rPr>
                </w:r>
                <w:r w:rsidR="00134177">
                  <w:rPr>
                    <w:noProof/>
                    <w:webHidden/>
                  </w:rPr>
                  <w:fldChar w:fldCharType="separate"/>
                </w:r>
                <w:r>
                  <w:rPr>
                    <w:noProof/>
                    <w:webHidden/>
                  </w:rPr>
                  <w:t>24</w:t>
                </w:r>
                <w:r w:rsidR="00134177">
                  <w:rPr>
                    <w:noProof/>
                    <w:webHidden/>
                  </w:rPr>
                  <w:fldChar w:fldCharType="end"/>
                </w:r>
              </w:hyperlink>
            </w:p>
            <w:p w14:paraId="5994421A" w14:textId="28923321" w:rsidR="00596223" w:rsidRDefault="00612AD0" w:rsidP="0066416C">
              <w:pPr>
                <w:rPr>
                  <w:b/>
                  <w:bCs/>
                  <w:noProof/>
                </w:rPr>
              </w:pPr>
              <w:r>
                <w:rPr>
                  <w:b/>
                  <w:bCs/>
                  <w:noProof/>
                </w:rPr>
                <w:fldChar w:fldCharType="end"/>
              </w:r>
            </w:p>
          </w:sdtContent>
        </w:sdt>
        <w:p w14:paraId="1DC5CFC2" w14:textId="506F5171" w:rsidR="0066416C" w:rsidRDefault="0066416C" w:rsidP="0066416C">
          <w:r w:rsidRPr="00D97C11">
            <w:t xml:space="preserve"> </w:t>
          </w:r>
        </w:p>
      </w:sdtContent>
    </w:sdt>
    <w:p w14:paraId="48C013DA" w14:textId="77777777" w:rsidR="0066416C" w:rsidRDefault="0066416C" w:rsidP="0066416C">
      <w:r>
        <w:br w:type="page"/>
      </w:r>
    </w:p>
    <w:p w14:paraId="19670E47" w14:textId="77777777" w:rsidR="00596223" w:rsidRDefault="00596223" w:rsidP="00596223">
      <w:pPr>
        <w:pStyle w:val="Heading2"/>
      </w:pPr>
      <w:bookmarkStart w:id="18" w:name="_Toc164854360"/>
      <w:bookmarkStart w:id="19" w:name="_Toc161672112"/>
      <w:bookmarkEnd w:id="12"/>
      <w:r w:rsidRPr="004548DB">
        <w:lastRenderedPageBreak/>
        <w:t>Frequently asked questions</w:t>
      </w:r>
      <w:bookmarkEnd w:id="18"/>
      <w:r w:rsidRPr="004548DB">
        <w:t xml:space="preserve"> </w:t>
      </w:r>
    </w:p>
    <w:p w14:paraId="33FC2166" w14:textId="37E9A4E1" w:rsidR="00596223" w:rsidRPr="009760B3" w:rsidRDefault="00596223" w:rsidP="00596223">
      <w:pPr>
        <w:pStyle w:val="Calloutbox"/>
        <w:rPr>
          <w:rStyle w:val="IntenseReference"/>
          <w:b/>
          <w:bCs/>
          <w:smallCaps/>
        </w:rPr>
        <w:sectPr w:rsidR="00596223" w:rsidRPr="009760B3" w:rsidSect="000C197D">
          <w:headerReference w:type="default" r:id="rId21"/>
          <w:footerReference w:type="default" r:id="rId22"/>
          <w:pgSz w:w="11906" w:h="16838"/>
          <w:pgMar w:top="1440" w:right="1440" w:bottom="1440" w:left="1440" w:header="708" w:footer="708" w:gutter="0"/>
          <w:cols w:space="708"/>
          <w:docGrid w:linePitch="360"/>
        </w:sectPr>
      </w:pPr>
      <w:r w:rsidRPr="009760B3">
        <w:rPr>
          <w:b/>
          <w:bCs/>
        </w:rPr>
        <w:t>Critical Technologies Challenge Program (CTCP) Round 1 Feasibility grant opportunity</w:t>
      </w:r>
      <w:bookmarkEnd w:id="19"/>
    </w:p>
    <w:p w14:paraId="6A9A0524" w14:textId="77777777" w:rsidR="00596223" w:rsidRPr="00447025" w:rsidRDefault="00596223" w:rsidP="00596223">
      <w:pPr>
        <w:pStyle w:val="Heading3"/>
        <w:rPr>
          <w:rFonts w:cstheme="majorHAnsi"/>
        </w:rPr>
      </w:pPr>
      <w:bookmarkStart w:id="20" w:name="_Toc164854361"/>
      <w:r w:rsidRPr="00447025">
        <w:t>The Program</w:t>
      </w:r>
      <w:bookmarkEnd w:id="20"/>
    </w:p>
    <w:p w14:paraId="31C43409" w14:textId="77777777" w:rsidR="00596223" w:rsidRPr="004548DB" w:rsidRDefault="00596223" w:rsidP="00341398">
      <w:pPr>
        <w:pStyle w:val="Heading4"/>
        <w:numPr>
          <w:ilvl w:val="0"/>
          <w:numId w:val="14"/>
        </w:numPr>
        <w:ind w:left="567" w:hanging="567"/>
      </w:pPr>
      <w:r w:rsidRPr="004548DB">
        <w:t>How is the CTCP being delivered?</w:t>
      </w:r>
    </w:p>
    <w:p w14:paraId="34E62D24" w14:textId="77777777" w:rsidR="00BA24B9" w:rsidRPr="004548DB" w:rsidRDefault="00BA24B9" w:rsidP="00BA24B9">
      <w:r w:rsidRPr="004548DB">
        <w:t xml:space="preserve">The CTCP is delivered via two rounds, both comprised of two stages. Stage 1 is Feasibility, and Stage 2 is </w:t>
      </w:r>
      <w:r>
        <w:t>Demonstrator</w:t>
      </w:r>
      <w:r w:rsidRPr="004548DB">
        <w:t>. This document relates to Round 1, Stage 1 Feasibility grant</w:t>
      </w:r>
      <w:r>
        <w:t>s (Feasibility)</w:t>
      </w:r>
      <w:r w:rsidRPr="004548DB">
        <w:t>.</w:t>
      </w:r>
    </w:p>
    <w:p w14:paraId="7D5E966A" w14:textId="3DC0AA82" w:rsidR="00BA24B9" w:rsidRDefault="00BA24B9" w:rsidP="00BA24B9">
      <w:r>
        <w:t xml:space="preserve">Only projects that have completed the CTCP Feasibility stage can progress to CTCP Demonstrator stage. </w:t>
      </w:r>
    </w:p>
    <w:p w14:paraId="38D33E78" w14:textId="77777777" w:rsidR="00596223" w:rsidRPr="004548DB" w:rsidRDefault="00596223" w:rsidP="00341398">
      <w:pPr>
        <w:pStyle w:val="Heading4"/>
        <w:numPr>
          <w:ilvl w:val="0"/>
          <w:numId w:val="14"/>
        </w:numPr>
        <w:ind w:left="567" w:hanging="567"/>
      </w:pPr>
      <w:r>
        <w:t xml:space="preserve">How </w:t>
      </w:r>
      <w:r w:rsidRPr="00596223">
        <w:t>much</w:t>
      </w:r>
      <w:r>
        <w:t xml:space="preserve"> grant funding is</w:t>
      </w:r>
      <w:r w:rsidRPr="004548DB">
        <w:t xml:space="preserve"> available?</w:t>
      </w:r>
    </w:p>
    <w:p w14:paraId="1B1050A5" w14:textId="409536DD" w:rsidR="00596223" w:rsidRDefault="00596223" w:rsidP="4518202B">
      <w:pPr>
        <w:rPr>
          <w:color w:val="231F20"/>
        </w:rPr>
      </w:pPr>
      <w:r w:rsidRPr="4518202B">
        <w:rPr>
          <w:color w:val="231F20"/>
        </w:rPr>
        <w:t xml:space="preserve">The Stage 1 Feasibility grant opportunity offers funding of a </w:t>
      </w:r>
      <w:r w:rsidRPr="004548DB" w:rsidDel="00A4152A">
        <w:t xml:space="preserve">minimum </w:t>
      </w:r>
      <w:r w:rsidRPr="004548DB">
        <w:t>of</w:t>
      </w:r>
      <w:r w:rsidRPr="004548DB" w:rsidDel="00A4152A">
        <w:t xml:space="preserve"> $</w:t>
      </w:r>
      <w:r w:rsidRPr="004548DB">
        <w:t xml:space="preserve">100,000, </w:t>
      </w:r>
      <w:r w:rsidRPr="4518202B">
        <w:rPr>
          <w:color w:val="231F20"/>
        </w:rPr>
        <w:t>up to a maximum of</w:t>
      </w:r>
      <w:r w:rsidRPr="4518202B">
        <w:rPr>
          <w:color w:val="231F20"/>
          <w:spacing w:val="-28"/>
        </w:rPr>
        <w:t xml:space="preserve"> </w:t>
      </w:r>
      <w:r w:rsidRPr="4518202B">
        <w:rPr>
          <w:color w:val="231F20"/>
        </w:rPr>
        <w:t>$500,000. There is no requirement for matched funding or co</w:t>
      </w:r>
      <w:r w:rsidR="1C4F1015" w:rsidRPr="4518202B">
        <w:rPr>
          <w:color w:val="231F20"/>
        </w:rPr>
        <w:t>-</w:t>
      </w:r>
      <w:r w:rsidRPr="4518202B">
        <w:rPr>
          <w:color w:val="231F20"/>
        </w:rPr>
        <w:t>contribution.</w:t>
      </w:r>
      <w:r w:rsidR="00984398">
        <w:rPr>
          <w:color w:val="231F20"/>
        </w:rPr>
        <w:t xml:space="preserve"> Up to $5.25 million is available for Feasibility grants.</w:t>
      </w:r>
    </w:p>
    <w:p w14:paraId="0462B9C6" w14:textId="77777777" w:rsidR="00596223" w:rsidRPr="004548DB" w:rsidRDefault="00596223" w:rsidP="00341398">
      <w:pPr>
        <w:pStyle w:val="Heading4"/>
        <w:numPr>
          <w:ilvl w:val="0"/>
          <w:numId w:val="14"/>
        </w:numPr>
        <w:ind w:left="567" w:hanging="567"/>
      </w:pPr>
      <w:r w:rsidRPr="004548DB">
        <w:t>What are the objectives of the CTCP?</w:t>
      </w:r>
    </w:p>
    <w:p w14:paraId="366297C6" w14:textId="183E700A" w:rsidR="00BA24B9" w:rsidRPr="004548DB" w:rsidRDefault="00BA24B9" w:rsidP="00341398">
      <w:pPr>
        <w:rPr>
          <w:spacing w:val="-3"/>
        </w:rPr>
      </w:pPr>
      <w:r w:rsidRPr="004548DB">
        <w:t>The objectives of the CTCP</w:t>
      </w:r>
      <w:r w:rsidRPr="004548DB">
        <w:rPr>
          <w:spacing w:val="-3"/>
        </w:rPr>
        <w:t xml:space="preserve"> are </w:t>
      </w:r>
      <w:r w:rsidRPr="004548DB">
        <w:t>to</w:t>
      </w:r>
      <w:r w:rsidRPr="004548DB">
        <w:rPr>
          <w:spacing w:val="-3"/>
        </w:rPr>
        <w:t>:</w:t>
      </w:r>
    </w:p>
    <w:p w14:paraId="7F655CCB" w14:textId="77777777" w:rsidR="00BA24B9" w:rsidRPr="004548DB" w:rsidRDefault="00BA24B9" w:rsidP="00BA24B9">
      <w:pPr>
        <w:pStyle w:val="ListParagraph"/>
      </w:pPr>
      <w:r w:rsidRPr="004548DB">
        <w:t xml:space="preserve">build productive collaboration between researchers and businesses by supporting co-designed projects that focus on market-led challenges that can be solved by quantum </w:t>
      </w:r>
      <w:proofErr w:type="gramStart"/>
      <w:r w:rsidRPr="004548DB">
        <w:t>technologies</w:t>
      </w:r>
      <w:proofErr w:type="gramEnd"/>
    </w:p>
    <w:p w14:paraId="6EA5DE17" w14:textId="77777777" w:rsidR="00BA24B9" w:rsidRPr="004548DB" w:rsidRDefault="00BA24B9" w:rsidP="00BA24B9">
      <w:pPr>
        <w:pStyle w:val="ListParagraph"/>
      </w:pPr>
      <w:r w:rsidRPr="004548DB">
        <w:t>accelerate the commercialisation of quantum technologies by supporting promising projects in the early stages of technological readiness when private investment is difficult to source</w:t>
      </w:r>
    </w:p>
    <w:p w14:paraId="6C460C6B" w14:textId="77777777" w:rsidR="00BA24B9" w:rsidRPr="004548DB" w:rsidRDefault="00BA24B9" w:rsidP="00BA24B9">
      <w:pPr>
        <w:pStyle w:val="ListParagraph"/>
      </w:pPr>
      <w:r w:rsidRPr="004548DB">
        <w:t>de-risk the adoption of quantum technologies to solve nationally significant challenges across the economy</w:t>
      </w:r>
    </w:p>
    <w:p w14:paraId="56574CA5" w14:textId="77777777" w:rsidR="00BA24B9" w:rsidRDefault="00BA24B9" w:rsidP="00BA24B9">
      <w:pPr>
        <w:pStyle w:val="ListParagraph"/>
      </w:pPr>
      <w:r w:rsidRPr="004548DB">
        <w:t>foster gender equity and First Nations Peoples’ participation in the quantum industry.</w:t>
      </w:r>
    </w:p>
    <w:p w14:paraId="27C6DD6B" w14:textId="77777777" w:rsidR="00596223" w:rsidRPr="004548DB" w:rsidRDefault="00596223" w:rsidP="00341398">
      <w:pPr>
        <w:pStyle w:val="Heading4"/>
        <w:numPr>
          <w:ilvl w:val="0"/>
          <w:numId w:val="14"/>
        </w:numPr>
        <w:ind w:left="567" w:hanging="567"/>
      </w:pPr>
      <w:r w:rsidRPr="004548DB">
        <w:t xml:space="preserve">What are the objectives of the Feasibility </w:t>
      </w:r>
      <w:r>
        <w:t>grant opportunity</w:t>
      </w:r>
      <w:r w:rsidRPr="004548DB">
        <w:t>?</w:t>
      </w:r>
    </w:p>
    <w:p w14:paraId="7058DB2C" w14:textId="77777777" w:rsidR="00BA24B9" w:rsidRDefault="00BA24B9" w:rsidP="00BA24B9">
      <w:r w:rsidRPr="004548DB">
        <w:t xml:space="preserve">The objective of the Feasibility grant opportunity </w:t>
      </w:r>
      <w:r>
        <w:t xml:space="preserve">(Stage 1 of the program) </w:t>
      </w:r>
      <w:r w:rsidRPr="004548DB">
        <w:t>is to investigate how quantum technologies can provide an innovative solution to a market-led nationally significant challenge, in line with the broader objectives of the program (</w:t>
      </w:r>
      <w:r>
        <w:t>see</w:t>
      </w:r>
      <w:r w:rsidRPr="004548DB">
        <w:t xml:space="preserve"> </w:t>
      </w:r>
      <w:r w:rsidRPr="00447025">
        <w:t>Q3</w:t>
      </w:r>
      <w:r w:rsidRPr="004548DB">
        <w:t>).</w:t>
      </w:r>
    </w:p>
    <w:p w14:paraId="22F38E4C" w14:textId="77777777" w:rsidR="00596223" w:rsidRPr="004548DB" w:rsidRDefault="00596223" w:rsidP="00341398">
      <w:pPr>
        <w:pStyle w:val="Heading4"/>
        <w:numPr>
          <w:ilvl w:val="0"/>
          <w:numId w:val="14"/>
        </w:numPr>
        <w:ind w:left="567" w:hanging="567"/>
      </w:pPr>
      <w:r w:rsidRPr="004548DB">
        <w:t xml:space="preserve">What are the intended outcomes of the Feasibility </w:t>
      </w:r>
      <w:r>
        <w:t>grant opportunity</w:t>
      </w:r>
      <w:r w:rsidRPr="004548DB">
        <w:t>?</w:t>
      </w:r>
    </w:p>
    <w:p w14:paraId="74A6AF68" w14:textId="5612B9F7" w:rsidR="00950847" w:rsidRDefault="00BA24B9" w:rsidP="00596223">
      <w:r>
        <w:t>The intended outcomes are to validate the feasibility of the proposed solution for the development of a Demonstrator project, and to expand collaboration networks and partnerships in the quantum sector.</w:t>
      </w:r>
    </w:p>
    <w:p w14:paraId="27750B74" w14:textId="77777777" w:rsidR="00950847" w:rsidRDefault="00950847">
      <w:pPr>
        <w:spacing w:before="0" w:after="160" w:line="259" w:lineRule="auto"/>
      </w:pPr>
      <w:r>
        <w:br w:type="page"/>
      </w:r>
    </w:p>
    <w:p w14:paraId="666C83D5" w14:textId="77777777" w:rsidR="00596223" w:rsidRPr="004548DB" w:rsidRDefault="00596223" w:rsidP="00341398">
      <w:pPr>
        <w:pStyle w:val="Heading4"/>
        <w:numPr>
          <w:ilvl w:val="0"/>
          <w:numId w:val="14"/>
        </w:numPr>
        <w:ind w:left="567" w:hanging="567"/>
      </w:pPr>
      <w:r w:rsidRPr="004548DB">
        <w:lastRenderedPageBreak/>
        <w:t>How does the CTCP work?</w:t>
      </w:r>
    </w:p>
    <w:p w14:paraId="04AE0C94" w14:textId="587A1927" w:rsidR="00C022B6" w:rsidRDefault="00BA24B9" w:rsidP="00BB0536">
      <w:r w:rsidRPr="004548DB">
        <w:t>The CTCP will test solutions to market-led challenges of national significance using quantum technologies, potentially in conjunction with other advanced technologies, and accelerate quantum technologies from an early-readiness phase when private capital is hard to secure. Details o</w:t>
      </w:r>
      <w:r>
        <w:t>f</w:t>
      </w:r>
      <w:r w:rsidRPr="004548DB">
        <w:t xml:space="preserve"> each of the available challenges can be found within this Applicant Information Package.</w:t>
      </w:r>
    </w:p>
    <w:p w14:paraId="4568C4C0" w14:textId="38ADF573" w:rsidR="00596223" w:rsidRDefault="00BA24B9" w:rsidP="00596223">
      <w:r>
        <w:t>Entities can apply for a competitive grant on behalf of a joint (consortia) collaboration to undertake a Stage 1 Feasibility project in relation to their proposed solution or component(s) that contribute</w:t>
      </w:r>
      <w:r w:rsidR="4ED8042D">
        <w:t>s</w:t>
      </w:r>
      <w:r>
        <w:t xml:space="preserve"> to a solution for a selected challenge. Grantees who have completed a Stage 1 Feasibility project may be invited to apply for a further competitive grant</w:t>
      </w:r>
      <w:r w:rsidR="00BD2F1F">
        <w:t xml:space="preserve"> to complete a</w:t>
      </w:r>
      <w:r>
        <w:t xml:space="preserve"> Stage 2 Demonstrator project.</w:t>
      </w:r>
    </w:p>
    <w:p w14:paraId="3998C7A0" w14:textId="77777777" w:rsidR="00596223" w:rsidRPr="004548DB" w:rsidRDefault="00596223" w:rsidP="00341398">
      <w:pPr>
        <w:pStyle w:val="Heading4"/>
        <w:numPr>
          <w:ilvl w:val="0"/>
          <w:numId w:val="14"/>
        </w:numPr>
        <w:ind w:left="567" w:hanging="567"/>
      </w:pPr>
      <w:r w:rsidRPr="004548DB">
        <w:t>Am I eligible to apply as the lead applicant?</w:t>
      </w:r>
    </w:p>
    <w:p w14:paraId="352F135A" w14:textId="77777777" w:rsidR="00596223" w:rsidRPr="004548DB" w:rsidRDefault="00596223" w:rsidP="00596223">
      <w:pPr>
        <w:ind w:right="-6"/>
        <w:rPr>
          <w:rFonts w:cstheme="minorHAnsi"/>
          <w:szCs w:val="20"/>
        </w:rPr>
      </w:pPr>
      <w:r w:rsidRPr="004548DB">
        <w:rPr>
          <w:rFonts w:cstheme="minorHAnsi"/>
          <w:szCs w:val="20"/>
        </w:rPr>
        <w:t>Lead applicants must apply on behalf of a joint (consortia) collaboration.</w:t>
      </w:r>
      <w:r>
        <w:rPr>
          <w:rFonts w:cstheme="minorHAnsi"/>
          <w:szCs w:val="20"/>
        </w:rPr>
        <w:t xml:space="preserve"> </w:t>
      </w:r>
    </w:p>
    <w:p w14:paraId="0A571AC2" w14:textId="46A388E9" w:rsidR="00596223" w:rsidRPr="004548DB" w:rsidRDefault="00596223" w:rsidP="00596223">
      <w:pPr>
        <w:ind w:right="-6"/>
        <w:rPr>
          <w:rFonts w:cstheme="minorHAnsi"/>
          <w:szCs w:val="20"/>
        </w:rPr>
      </w:pPr>
      <w:r w:rsidRPr="004548DB">
        <w:rPr>
          <w:rFonts w:cstheme="minorHAnsi"/>
          <w:szCs w:val="20"/>
        </w:rPr>
        <w:t>To be eligible</w:t>
      </w:r>
      <w:r w:rsidRPr="004548DB">
        <w:rPr>
          <w:rFonts w:cstheme="minorHAnsi"/>
          <w:color w:val="231F20"/>
          <w:szCs w:val="20"/>
        </w:rPr>
        <w:t xml:space="preserve"> to apply as the lead applicant</w:t>
      </w:r>
      <w:r w:rsidR="009D15E1">
        <w:rPr>
          <w:rFonts w:cstheme="minorHAnsi"/>
          <w:color w:val="231F20"/>
          <w:szCs w:val="20"/>
        </w:rPr>
        <w:t xml:space="preserve"> for a Feasibility grant</w:t>
      </w:r>
      <w:r w:rsidRPr="004548DB">
        <w:rPr>
          <w:rFonts w:cstheme="minorHAnsi"/>
          <w:color w:val="231F20"/>
          <w:szCs w:val="20"/>
        </w:rPr>
        <w:t>, you must:</w:t>
      </w:r>
    </w:p>
    <w:p w14:paraId="4AAA3EFF" w14:textId="77777777" w:rsidR="00596223" w:rsidRPr="00596223" w:rsidRDefault="00596223" w:rsidP="00596223">
      <w:pPr>
        <w:pStyle w:val="ListParagraph"/>
      </w:pPr>
      <w:r w:rsidRPr="00596223">
        <w:t>have an Australian Business Number (ABN)</w:t>
      </w:r>
    </w:p>
    <w:p w14:paraId="003F9129" w14:textId="77777777" w:rsidR="00596223" w:rsidRPr="00596223" w:rsidRDefault="00596223" w:rsidP="00596223">
      <w:pPr>
        <w:pStyle w:val="ListParagraph"/>
      </w:pPr>
      <w:r w:rsidRPr="00596223">
        <w:t>be registered for Goods and Services Tax (GST)</w:t>
      </w:r>
    </w:p>
    <w:p w14:paraId="21B0812D" w14:textId="77777777" w:rsidR="00596223" w:rsidRPr="004548DB" w:rsidRDefault="00596223" w:rsidP="00596223">
      <w:pPr>
        <w:pStyle w:val="ListParagraph"/>
      </w:pPr>
      <w:r w:rsidRPr="00596223">
        <w:t>be an entity</w:t>
      </w:r>
      <w:r w:rsidRPr="004548DB">
        <w:t>, incorporated in Australia.</w:t>
      </w:r>
    </w:p>
    <w:p w14:paraId="595E4BF9" w14:textId="77777777" w:rsidR="00596223" w:rsidRDefault="00596223" w:rsidP="00596223">
      <w:pPr>
        <w:rPr>
          <w:rFonts w:cstheme="minorHAnsi"/>
          <w:szCs w:val="20"/>
        </w:rPr>
      </w:pPr>
      <w:r w:rsidRPr="004548DB">
        <w:rPr>
          <w:rFonts w:cstheme="minorHAnsi"/>
          <w:color w:val="231F20"/>
          <w:szCs w:val="20"/>
        </w:rPr>
        <w:t>You can find more information on eligibility in section 5 of the</w:t>
      </w:r>
      <w:r>
        <w:rPr>
          <w:rFonts w:cstheme="minorHAnsi"/>
          <w:color w:val="231F20"/>
          <w:szCs w:val="20"/>
        </w:rPr>
        <w:t xml:space="preserve"> Stage 1</w:t>
      </w:r>
      <w:r w:rsidRPr="004548DB">
        <w:rPr>
          <w:rFonts w:cstheme="minorHAnsi"/>
          <w:color w:val="231F20"/>
          <w:szCs w:val="20"/>
        </w:rPr>
        <w:t xml:space="preserve"> </w:t>
      </w:r>
      <w:hyperlink r:id="rId23" w:anchor="key-documents" w:history="1">
        <w:r w:rsidRPr="004548DB">
          <w:rPr>
            <w:rStyle w:val="Hyperlink"/>
            <w:rFonts w:cstheme="minorHAnsi"/>
            <w:szCs w:val="20"/>
          </w:rPr>
          <w:t>Feasibility grant opportunity guidelines</w:t>
        </w:r>
      </w:hyperlink>
      <w:r w:rsidRPr="004548DB">
        <w:rPr>
          <w:rFonts w:cstheme="minorHAnsi"/>
          <w:szCs w:val="20"/>
        </w:rPr>
        <w:t>.</w:t>
      </w:r>
    </w:p>
    <w:p w14:paraId="2C1AB89A" w14:textId="77DA72C1" w:rsidR="00596223" w:rsidRPr="004548DB" w:rsidRDefault="00596223" w:rsidP="00341398">
      <w:pPr>
        <w:pStyle w:val="Heading4"/>
        <w:numPr>
          <w:ilvl w:val="0"/>
          <w:numId w:val="14"/>
        </w:numPr>
        <w:ind w:left="567" w:hanging="567"/>
      </w:pPr>
      <w:r>
        <w:t>What do lead applicant, joint (consortia) collaboration, project partner and project participants mean?</w:t>
      </w:r>
    </w:p>
    <w:p w14:paraId="1828B621" w14:textId="77777777" w:rsidR="00596223" w:rsidRPr="001951E2" w:rsidRDefault="00596223" w:rsidP="00596223">
      <w:r w:rsidRPr="001951E2">
        <w:t xml:space="preserve">The Department </w:t>
      </w:r>
      <w:r>
        <w:t xml:space="preserve">of Industry, Science and Resources (DISR) </w:t>
      </w:r>
      <w:r w:rsidRPr="001951E2">
        <w:t>can only sign an agreement with one organisation</w:t>
      </w:r>
      <w:r>
        <w:t xml:space="preserve"> – </w:t>
      </w:r>
      <w:r w:rsidRPr="001951E2">
        <w:t xml:space="preserve">the </w:t>
      </w:r>
      <w:r w:rsidRPr="00447025">
        <w:rPr>
          <w:b/>
          <w:bCs/>
        </w:rPr>
        <w:t>lead applicant</w:t>
      </w:r>
      <w:r w:rsidRPr="001951E2">
        <w:t xml:space="preserve">. The lead applicant is the main driver of the project and the primary contact throughout the project. </w:t>
      </w:r>
    </w:p>
    <w:p w14:paraId="5E57C98A" w14:textId="75FCD0D4" w:rsidR="00596223" w:rsidRDefault="00596223" w:rsidP="00596223">
      <w:r w:rsidRPr="3D1458E3">
        <w:rPr>
          <w:b/>
          <w:bCs/>
        </w:rPr>
        <w:t>Joint (consortia) collaboration</w:t>
      </w:r>
      <w:r w:rsidR="00BF2CDA">
        <w:rPr>
          <w:b/>
          <w:bCs/>
        </w:rPr>
        <w:t>s</w:t>
      </w:r>
      <w:r w:rsidR="4148C5F7" w:rsidRPr="3D1458E3">
        <w:rPr>
          <w:b/>
          <w:bCs/>
        </w:rPr>
        <w:t xml:space="preserve"> </w:t>
      </w:r>
      <w:r>
        <w:t>are a group of two or more entities that have joined together to work on a particular project.</w:t>
      </w:r>
      <w:r w:rsidR="00247D11">
        <w:t xml:space="preserve"> </w:t>
      </w:r>
      <w:r>
        <w:t xml:space="preserve"> </w:t>
      </w:r>
    </w:p>
    <w:p w14:paraId="4D81D2AD" w14:textId="77777777" w:rsidR="00596223" w:rsidRDefault="00596223" w:rsidP="00596223">
      <w:r w:rsidRPr="00447025">
        <w:rPr>
          <w:b/>
          <w:bCs/>
        </w:rPr>
        <w:t>Project partners</w:t>
      </w:r>
      <w:r>
        <w:t xml:space="preserve"> are eligible entities that work with the lead applicant and are involved in joint (consortia) collaborations but are not the lead applicant for the project. The grant opportunity guidelines specify the types of project partners that must be part of an application, to be eligible for the CTCP.  </w:t>
      </w:r>
    </w:p>
    <w:p w14:paraId="19FDC898" w14:textId="77777777" w:rsidR="00596223" w:rsidRDefault="00596223" w:rsidP="00596223">
      <w:r w:rsidRPr="00447025">
        <w:rPr>
          <w:b/>
          <w:bCs/>
        </w:rPr>
        <w:t>Project participants</w:t>
      </w:r>
      <w:r>
        <w:t xml:space="preserve"> are all of the entities involved in joint (consortia) collaborations, including the lead applicant. </w:t>
      </w:r>
    </w:p>
    <w:p w14:paraId="3C9A2417" w14:textId="46A216A9" w:rsidR="00596223" w:rsidRPr="004548DB" w:rsidRDefault="00596223" w:rsidP="00341398">
      <w:pPr>
        <w:pStyle w:val="Heading4"/>
        <w:numPr>
          <w:ilvl w:val="0"/>
          <w:numId w:val="14"/>
        </w:numPr>
        <w:ind w:left="567" w:hanging="567"/>
      </w:pPr>
      <w:r w:rsidRPr="004548DB">
        <w:t>What requirements do the joint (consortia) collaboration</w:t>
      </w:r>
      <w:r>
        <w:t xml:space="preserve"> </w:t>
      </w:r>
      <w:r w:rsidRPr="004548DB">
        <w:t>need to meet?</w:t>
      </w:r>
    </w:p>
    <w:p w14:paraId="00675077" w14:textId="77777777" w:rsidR="00596223" w:rsidRPr="004548DB" w:rsidRDefault="00596223" w:rsidP="00596223">
      <w:r>
        <w:t>Eligible a</w:t>
      </w:r>
      <w:r w:rsidRPr="004548DB">
        <w:t>pplications must be on behalf of a joint (consortia) collaboration that contains at least:</w:t>
      </w:r>
    </w:p>
    <w:p w14:paraId="16868AFF" w14:textId="5F23DBFC" w:rsidR="00596223" w:rsidRPr="00596223" w:rsidRDefault="00596223" w:rsidP="00596223">
      <w:pPr>
        <w:pStyle w:val="ListParagraph"/>
      </w:pPr>
      <w:r w:rsidRPr="00596223">
        <w:t>one Australian industry-based partner</w:t>
      </w:r>
      <w:r w:rsidR="008A3B59">
        <w:t xml:space="preserve"> and</w:t>
      </w:r>
    </w:p>
    <w:p w14:paraId="428F2118" w14:textId="77777777" w:rsidR="00596223" w:rsidRPr="004548DB" w:rsidRDefault="00596223" w:rsidP="00596223">
      <w:pPr>
        <w:pStyle w:val="ListParagraph"/>
      </w:pPr>
      <w:r w:rsidRPr="00596223">
        <w:t>one Australian</w:t>
      </w:r>
      <w:r w:rsidRPr="004548DB">
        <w:t xml:space="preserve"> research organisation.</w:t>
      </w:r>
    </w:p>
    <w:p w14:paraId="6DE4793F" w14:textId="49B683C3" w:rsidR="00596223" w:rsidRPr="004548DB" w:rsidRDefault="00596223" w:rsidP="00596223">
      <w:pPr>
        <w:rPr>
          <w:rFonts w:cstheme="minorHAnsi"/>
          <w:szCs w:val="20"/>
        </w:rPr>
      </w:pPr>
      <w:r>
        <w:rPr>
          <w:rFonts w:cstheme="minorHAnsi"/>
          <w:szCs w:val="20"/>
        </w:rPr>
        <w:t xml:space="preserve">Applicants for the Stage 1 Feasibility grant opportunity must include the lead applicant and at least one project partner: </w:t>
      </w:r>
      <w:r w:rsidR="00EB3FA3">
        <w:rPr>
          <w:rFonts w:cstheme="minorHAnsi"/>
          <w:szCs w:val="20"/>
        </w:rPr>
        <w:t>2</w:t>
      </w:r>
      <w:r>
        <w:rPr>
          <w:rFonts w:cstheme="minorHAnsi"/>
          <w:szCs w:val="20"/>
        </w:rPr>
        <w:t xml:space="preserve"> project participants in an application as a minimum</w:t>
      </w:r>
      <w:r w:rsidRPr="004548DB">
        <w:rPr>
          <w:rFonts w:cstheme="minorHAnsi"/>
          <w:szCs w:val="20"/>
        </w:rPr>
        <w:t>.</w:t>
      </w:r>
    </w:p>
    <w:p w14:paraId="03031A20" w14:textId="3224C7B2" w:rsidR="00596223" w:rsidRDefault="00596223" w:rsidP="00596223">
      <w:pPr>
        <w:rPr>
          <w:rFonts w:cstheme="minorHAnsi"/>
          <w:szCs w:val="20"/>
        </w:rPr>
      </w:pPr>
      <w:r w:rsidRPr="004548DB">
        <w:rPr>
          <w:rFonts w:cstheme="minorHAnsi"/>
          <w:color w:val="231F20"/>
          <w:szCs w:val="20"/>
        </w:rPr>
        <w:t xml:space="preserve">You can find more information on consortia requirements in section 5.2 and 8.2 of the </w:t>
      </w:r>
      <w:hyperlink r:id="rId24" w:anchor="key-documents" w:history="1">
        <w:r w:rsidRPr="004548DB">
          <w:rPr>
            <w:rStyle w:val="Hyperlink"/>
            <w:rFonts w:cstheme="minorHAnsi"/>
            <w:szCs w:val="20"/>
          </w:rPr>
          <w:t>Feasibility grant opportunity guidelines</w:t>
        </w:r>
      </w:hyperlink>
      <w:r w:rsidRPr="004548DB">
        <w:rPr>
          <w:rFonts w:cstheme="minorHAnsi"/>
          <w:szCs w:val="20"/>
        </w:rPr>
        <w:t>.</w:t>
      </w:r>
    </w:p>
    <w:p w14:paraId="15F00F3F" w14:textId="77777777" w:rsidR="00596223" w:rsidRPr="004548DB" w:rsidRDefault="00596223" w:rsidP="00042A95">
      <w:pPr>
        <w:pStyle w:val="Heading4"/>
        <w:numPr>
          <w:ilvl w:val="0"/>
          <w:numId w:val="14"/>
        </w:numPr>
      </w:pPr>
      <w:r w:rsidRPr="004548DB">
        <w:t xml:space="preserve">How long is the </w:t>
      </w:r>
      <w:r>
        <w:t xml:space="preserve">Stage 1 </w:t>
      </w:r>
      <w:r w:rsidRPr="004548DB">
        <w:t>Feasibility stage?</w:t>
      </w:r>
    </w:p>
    <w:p w14:paraId="358590B2" w14:textId="1FCB5A7B" w:rsidR="00596223" w:rsidRDefault="00596223" w:rsidP="00596223">
      <w:r w:rsidRPr="004548DB">
        <w:t xml:space="preserve">The maximum </w:t>
      </w:r>
      <w:r w:rsidR="00AE787C">
        <w:t>project period</w:t>
      </w:r>
      <w:r w:rsidRPr="004548DB">
        <w:t xml:space="preserve"> for</w:t>
      </w:r>
      <w:r>
        <w:t xml:space="preserve"> the</w:t>
      </w:r>
      <w:r w:rsidRPr="004548DB">
        <w:t xml:space="preserve"> </w:t>
      </w:r>
      <w:r>
        <w:t xml:space="preserve">Stage 1 </w:t>
      </w:r>
      <w:r w:rsidRPr="004548DB">
        <w:t xml:space="preserve">Feasibility </w:t>
      </w:r>
      <w:r>
        <w:t>grant</w:t>
      </w:r>
      <w:r w:rsidR="00663E1A">
        <w:t>s</w:t>
      </w:r>
      <w:r>
        <w:t xml:space="preserve"> </w:t>
      </w:r>
      <w:r w:rsidRPr="004548DB">
        <w:t>is 6 months</w:t>
      </w:r>
      <w:r>
        <w:t xml:space="preserve">.  </w:t>
      </w:r>
      <w:r w:rsidRPr="004548DB">
        <w:t xml:space="preserve"> </w:t>
      </w:r>
    </w:p>
    <w:p w14:paraId="65603D9F" w14:textId="0274DA96" w:rsidR="00596223" w:rsidRPr="00042A95" w:rsidRDefault="00596223" w:rsidP="00042A95">
      <w:pPr>
        <w:pStyle w:val="Heading4"/>
        <w:numPr>
          <w:ilvl w:val="0"/>
          <w:numId w:val="14"/>
        </w:numPr>
      </w:pPr>
      <w:r w:rsidRPr="004548DB">
        <w:lastRenderedPageBreak/>
        <w:t xml:space="preserve">Who owns the IP </w:t>
      </w:r>
      <w:r>
        <w:t>on</w:t>
      </w:r>
      <w:r w:rsidRPr="004548DB">
        <w:t xml:space="preserve"> completion of the</w:t>
      </w:r>
      <w:r>
        <w:t xml:space="preserve"> project</w:t>
      </w:r>
      <w:r w:rsidRPr="004548DB">
        <w:t>?</w:t>
      </w:r>
    </w:p>
    <w:p w14:paraId="16806CC9" w14:textId="6ADE7F98" w:rsidR="00596223" w:rsidRDefault="00596223" w:rsidP="00596223">
      <w:pPr>
        <w:ind w:right="6"/>
        <w:rPr>
          <w:rFonts w:cstheme="minorHAnsi"/>
          <w:color w:val="231F20"/>
          <w:szCs w:val="20"/>
        </w:rPr>
      </w:pPr>
      <w:r w:rsidRPr="004548DB">
        <w:rPr>
          <w:rFonts w:cstheme="minorHAnsi"/>
          <w:color w:val="231F20"/>
          <w:szCs w:val="20"/>
        </w:rPr>
        <w:t xml:space="preserve">Grantees will retain intellectual property rights and the </w:t>
      </w:r>
      <w:r w:rsidRPr="004548DB">
        <w:rPr>
          <w:rFonts w:cstheme="minorHAnsi"/>
          <w:szCs w:val="20"/>
        </w:rPr>
        <w:t>right to sell in domestic</w:t>
      </w:r>
      <w:r w:rsidRPr="004548DB">
        <w:rPr>
          <w:rFonts w:cstheme="minorHAnsi"/>
          <w:color w:val="231F20"/>
          <w:szCs w:val="20"/>
        </w:rPr>
        <w:t xml:space="preserve"> and global</w:t>
      </w:r>
      <w:r w:rsidRPr="004548DB">
        <w:rPr>
          <w:rFonts w:cstheme="minorHAnsi"/>
          <w:color w:val="231F20"/>
          <w:spacing w:val="-7"/>
          <w:szCs w:val="20"/>
        </w:rPr>
        <w:t xml:space="preserve"> </w:t>
      </w:r>
      <w:r w:rsidRPr="004548DB">
        <w:rPr>
          <w:rFonts w:cstheme="minorHAnsi"/>
          <w:color w:val="231F20"/>
          <w:szCs w:val="20"/>
        </w:rPr>
        <w:t>markets.</w:t>
      </w:r>
    </w:p>
    <w:p w14:paraId="57DA1F6E" w14:textId="77777777" w:rsidR="00596223" w:rsidRPr="004548DB" w:rsidRDefault="00596223" w:rsidP="00042A95">
      <w:pPr>
        <w:pStyle w:val="Heading4"/>
        <w:numPr>
          <w:ilvl w:val="0"/>
          <w:numId w:val="14"/>
        </w:numPr>
      </w:pPr>
      <w:r w:rsidRPr="004548DB">
        <w:t>Are</w:t>
      </w:r>
      <w:r>
        <w:t xml:space="preserve"> the</w:t>
      </w:r>
      <w:r w:rsidRPr="004548DB">
        <w:t xml:space="preserve"> CTCP grants competitive?</w:t>
      </w:r>
    </w:p>
    <w:p w14:paraId="65F49294" w14:textId="7A478374" w:rsidR="00596223" w:rsidRDefault="00596223" w:rsidP="00596223">
      <w:r>
        <w:t xml:space="preserve">Yes, </w:t>
      </w:r>
      <w:r w:rsidR="48735E2E">
        <w:t xml:space="preserve">eligible </w:t>
      </w:r>
      <w:r>
        <w:t>applications are assessed against the assessment criteria outlined in section 7 of the</w:t>
      </w:r>
      <w:r w:rsidRPr="4518202B">
        <w:rPr>
          <w:color w:val="231F20"/>
        </w:rPr>
        <w:t xml:space="preserve"> Stage</w:t>
      </w:r>
      <w:r w:rsidR="00E12525">
        <w:rPr>
          <w:color w:val="231F20"/>
        </w:rPr>
        <w:t> </w:t>
      </w:r>
      <w:r w:rsidRPr="4518202B">
        <w:rPr>
          <w:color w:val="231F20"/>
        </w:rPr>
        <w:t xml:space="preserve">1 </w:t>
      </w:r>
      <w:hyperlink r:id="rId25" w:anchor="key-documents">
        <w:r w:rsidRPr="4518202B">
          <w:rPr>
            <w:rStyle w:val="Hyperlink"/>
          </w:rPr>
          <w:t>Feasibility grant opportunity guidelines</w:t>
        </w:r>
      </w:hyperlink>
      <w:r>
        <w:t>.</w:t>
      </w:r>
    </w:p>
    <w:p w14:paraId="38CE89E8" w14:textId="77777777" w:rsidR="00596223" w:rsidRPr="004548DB" w:rsidRDefault="00596223" w:rsidP="00BB0536">
      <w:pPr>
        <w:pStyle w:val="Heading4"/>
        <w:numPr>
          <w:ilvl w:val="0"/>
          <w:numId w:val="14"/>
        </w:numPr>
        <w:ind w:left="709" w:hanging="709"/>
      </w:pPr>
      <w:r w:rsidRPr="004548DB">
        <w:t>Is it essential that all project participants are based in Australia?</w:t>
      </w:r>
    </w:p>
    <w:p w14:paraId="668D5EEC" w14:textId="186ECEE4" w:rsidR="00596223" w:rsidRPr="004548DB" w:rsidRDefault="00596223" w:rsidP="00596223">
      <w:pPr>
        <w:rPr>
          <w:rFonts w:cstheme="minorHAnsi"/>
          <w:color w:val="231F20"/>
          <w:szCs w:val="20"/>
        </w:rPr>
      </w:pPr>
      <w:r w:rsidRPr="004548DB">
        <w:rPr>
          <w:rFonts w:cstheme="minorHAnsi"/>
          <w:color w:val="231F20"/>
          <w:szCs w:val="20"/>
        </w:rPr>
        <w:t xml:space="preserve">Consortia which include international organisations as project partners are welcome to apply. </w:t>
      </w:r>
      <w:r w:rsidR="00674208" w:rsidRPr="004548DB">
        <w:rPr>
          <w:rFonts w:cstheme="minorHAnsi"/>
          <w:color w:val="231F20"/>
          <w:szCs w:val="20"/>
        </w:rPr>
        <w:t>However,</w:t>
      </w:r>
      <w:r w:rsidRPr="004548DB">
        <w:rPr>
          <w:rFonts w:cstheme="minorHAnsi"/>
          <w:color w:val="231F20"/>
          <w:szCs w:val="20"/>
        </w:rPr>
        <w:t xml:space="preserve"> the lead applicant must have an Australian Business Number (ABN)</w:t>
      </w:r>
      <w:r>
        <w:rPr>
          <w:rFonts w:cstheme="minorHAnsi"/>
          <w:color w:val="231F20"/>
          <w:szCs w:val="20"/>
        </w:rPr>
        <w:t>, be registered for GST</w:t>
      </w:r>
      <w:r w:rsidRPr="004548DB">
        <w:rPr>
          <w:rFonts w:cstheme="minorHAnsi"/>
          <w:color w:val="231F20"/>
          <w:szCs w:val="20"/>
        </w:rPr>
        <w:t xml:space="preserve"> and be incorporated in Australia.</w:t>
      </w:r>
    </w:p>
    <w:p w14:paraId="2CBF1957" w14:textId="77777777" w:rsidR="00596223" w:rsidRDefault="00596223" w:rsidP="00596223">
      <w:pPr>
        <w:rPr>
          <w:rStyle w:val="Hyperlink"/>
          <w:rFonts w:cstheme="minorHAnsi"/>
          <w:szCs w:val="20"/>
        </w:rPr>
      </w:pPr>
      <w:r w:rsidRPr="004548DB">
        <w:rPr>
          <w:rFonts w:cstheme="minorHAnsi"/>
          <w:color w:val="231F20"/>
          <w:szCs w:val="20"/>
        </w:rPr>
        <w:t xml:space="preserve">Further details on eligibility for consortia and lead applicants is provided in section 5 of the </w:t>
      </w:r>
      <w:hyperlink r:id="rId26" w:anchor="key-documents" w:history="1">
        <w:r>
          <w:rPr>
            <w:rStyle w:val="Hyperlink"/>
            <w:rFonts w:cstheme="minorHAnsi"/>
            <w:szCs w:val="20"/>
          </w:rPr>
          <w:t xml:space="preserve">Feasibility </w:t>
        </w:r>
        <w:r w:rsidRPr="004548DB">
          <w:rPr>
            <w:rStyle w:val="Hyperlink"/>
            <w:rFonts w:cstheme="minorHAnsi"/>
            <w:szCs w:val="20"/>
          </w:rPr>
          <w:t>grant opportunity guidelines</w:t>
        </w:r>
      </w:hyperlink>
      <w:r w:rsidRPr="004548DB">
        <w:rPr>
          <w:rStyle w:val="Hyperlink"/>
          <w:rFonts w:cstheme="minorHAnsi"/>
          <w:szCs w:val="20"/>
        </w:rPr>
        <w:t>.</w:t>
      </w:r>
    </w:p>
    <w:p w14:paraId="44AB3665" w14:textId="77777777" w:rsidR="00BA24B9" w:rsidRPr="004548DB" w:rsidRDefault="00BA24B9" w:rsidP="00596223">
      <w:pPr>
        <w:rPr>
          <w:rFonts w:cstheme="minorHAnsi"/>
          <w:color w:val="231F20"/>
          <w:szCs w:val="20"/>
        </w:rPr>
      </w:pPr>
    </w:p>
    <w:p w14:paraId="7CAA77FF" w14:textId="77777777" w:rsidR="00596223" w:rsidRDefault="00596223" w:rsidP="009760B3">
      <w:r>
        <w:br w:type="page"/>
      </w:r>
    </w:p>
    <w:p w14:paraId="24D49758" w14:textId="44A1579A" w:rsidR="00596223" w:rsidRPr="00447025" w:rsidRDefault="00596223" w:rsidP="00596223">
      <w:pPr>
        <w:pStyle w:val="Heading3"/>
      </w:pPr>
      <w:bookmarkStart w:id="21" w:name="_Toc164854362"/>
      <w:r>
        <w:lastRenderedPageBreak/>
        <w:t>The challenges</w:t>
      </w:r>
      <w:bookmarkEnd w:id="21"/>
    </w:p>
    <w:p w14:paraId="0ABED9F2" w14:textId="77777777" w:rsidR="00596223" w:rsidRPr="004548DB" w:rsidRDefault="00596223" w:rsidP="00341398">
      <w:pPr>
        <w:pStyle w:val="Heading4"/>
        <w:numPr>
          <w:ilvl w:val="0"/>
          <w:numId w:val="15"/>
        </w:numPr>
        <w:ind w:left="567" w:hanging="567"/>
      </w:pPr>
      <w:r w:rsidRPr="004548DB">
        <w:t>What is a ‘challenge’</w:t>
      </w:r>
      <w:r>
        <w:t xml:space="preserve"> within the CTCP</w:t>
      </w:r>
      <w:r w:rsidRPr="004548DB">
        <w:t>?</w:t>
      </w:r>
    </w:p>
    <w:p w14:paraId="00320C42" w14:textId="24096D28" w:rsidR="00596223" w:rsidRDefault="00596223" w:rsidP="00596223">
      <w:r w:rsidRPr="004548DB">
        <w:t xml:space="preserve">Challenges </w:t>
      </w:r>
      <w:r>
        <w:t xml:space="preserve">selected for the CTCP </w:t>
      </w:r>
      <w:r w:rsidRPr="004548DB">
        <w:t xml:space="preserve">are of national significance and have been identified </w:t>
      </w:r>
      <w:r>
        <w:t>through</w:t>
      </w:r>
      <w:r w:rsidRPr="004548DB">
        <w:t xml:space="preserve"> consultation with industry</w:t>
      </w:r>
      <w:r>
        <w:t xml:space="preserve"> and quantum experts. They have been approved by the Minister for Industry and Science</w:t>
      </w:r>
      <w:r w:rsidRPr="004548DB">
        <w:t xml:space="preserve">. </w:t>
      </w:r>
    </w:p>
    <w:p w14:paraId="1B0CFE3F" w14:textId="18AD4F6E" w:rsidR="00596223" w:rsidRDefault="00596223" w:rsidP="4518202B">
      <w:r>
        <w:t xml:space="preserve">Solutions (or components of solutions) to challenges must involve quantum technologies, potentially in conjunction with other advanced technologies. </w:t>
      </w:r>
      <w:bookmarkStart w:id="22" w:name="_Hlk164094151"/>
      <w:r w:rsidR="6D535FA4">
        <w:t>Details of each of the available challenges can be found within this Applicant Information Package.</w:t>
      </w:r>
      <w:bookmarkEnd w:id="22"/>
    </w:p>
    <w:p w14:paraId="11E3F599" w14:textId="77777777" w:rsidR="00596223" w:rsidRPr="004548DB" w:rsidRDefault="00596223" w:rsidP="00341398">
      <w:pPr>
        <w:pStyle w:val="Heading4"/>
        <w:numPr>
          <w:ilvl w:val="0"/>
          <w:numId w:val="15"/>
        </w:numPr>
        <w:ind w:left="567" w:hanging="567"/>
      </w:pPr>
      <w:r>
        <w:t xml:space="preserve">How many projects will be funded </w:t>
      </w:r>
      <w:r w:rsidRPr="004548DB">
        <w:t>across each challenge?</w:t>
      </w:r>
    </w:p>
    <w:p w14:paraId="7151A13B" w14:textId="22162842" w:rsidR="00596223" w:rsidRDefault="00596223" w:rsidP="00596223">
      <w:pPr>
        <w:ind w:right="5"/>
        <w:rPr>
          <w:rFonts w:cstheme="minorHAnsi"/>
          <w:color w:val="231F20"/>
          <w:szCs w:val="20"/>
        </w:rPr>
      </w:pPr>
      <w:r>
        <w:rPr>
          <w:rFonts w:cstheme="minorHAnsi"/>
          <w:color w:val="231F20"/>
          <w:szCs w:val="20"/>
        </w:rPr>
        <w:t>F</w:t>
      </w:r>
      <w:r w:rsidRPr="004548DB">
        <w:rPr>
          <w:rFonts w:cstheme="minorHAnsi"/>
          <w:color w:val="231F20"/>
          <w:szCs w:val="20"/>
        </w:rPr>
        <w:t xml:space="preserve">unding </w:t>
      </w:r>
      <w:r w:rsidR="008A3B59">
        <w:rPr>
          <w:rFonts w:cstheme="minorHAnsi"/>
          <w:color w:val="231F20"/>
          <w:szCs w:val="20"/>
        </w:rPr>
        <w:t>is</w:t>
      </w:r>
      <w:r w:rsidRPr="004548DB">
        <w:rPr>
          <w:rFonts w:cstheme="minorHAnsi"/>
          <w:color w:val="231F20"/>
          <w:szCs w:val="20"/>
        </w:rPr>
        <w:t xml:space="preserve"> available for multiple projects</w:t>
      </w:r>
      <w:r>
        <w:rPr>
          <w:rFonts w:cstheme="minorHAnsi"/>
          <w:color w:val="231F20"/>
          <w:szCs w:val="20"/>
        </w:rPr>
        <w:t xml:space="preserve"> across each </w:t>
      </w:r>
      <w:r w:rsidR="008A3B59">
        <w:rPr>
          <w:rFonts w:cstheme="minorHAnsi"/>
          <w:color w:val="231F20"/>
          <w:szCs w:val="20"/>
        </w:rPr>
        <w:t xml:space="preserve">of the </w:t>
      </w:r>
      <w:r>
        <w:rPr>
          <w:rFonts w:cstheme="minorHAnsi"/>
          <w:color w:val="231F20"/>
          <w:szCs w:val="20"/>
        </w:rPr>
        <w:t>challenge</w:t>
      </w:r>
      <w:r w:rsidR="008A3B59">
        <w:rPr>
          <w:rFonts w:cstheme="minorHAnsi"/>
          <w:color w:val="231F20"/>
          <w:szCs w:val="20"/>
        </w:rPr>
        <w:t>s</w:t>
      </w:r>
      <w:r w:rsidRPr="004548DB">
        <w:rPr>
          <w:rFonts w:cstheme="minorHAnsi"/>
          <w:color w:val="231F20"/>
          <w:szCs w:val="20"/>
        </w:rPr>
        <w:t>.</w:t>
      </w:r>
      <w:r>
        <w:rPr>
          <w:rFonts w:cstheme="minorHAnsi"/>
          <w:color w:val="231F20"/>
          <w:szCs w:val="20"/>
        </w:rPr>
        <w:t xml:space="preserve"> However, t</w:t>
      </w:r>
      <w:r w:rsidRPr="004548DB">
        <w:rPr>
          <w:rFonts w:cstheme="minorHAnsi"/>
          <w:color w:val="231F20"/>
          <w:szCs w:val="20"/>
        </w:rPr>
        <w:t xml:space="preserve">he exact number of projects funded per challenge will depend on the </w:t>
      </w:r>
      <w:r>
        <w:rPr>
          <w:rFonts w:cstheme="minorHAnsi"/>
          <w:color w:val="231F20"/>
          <w:szCs w:val="20"/>
        </w:rPr>
        <w:t xml:space="preserve">number of </w:t>
      </w:r>
      <w:r w:rsidRPr="004548DB">
        <w:rPr>
          <w:rFonts w:cstheme="minorHAnsi"/>
          <w:color w:val="231F20"/>
          <w:szCs w:val="20"/>
        </w:rPr>
        <w:t xml:space="preserve">quality </w:t>
      </w:r>
      <w:r>
        <w:rPr>
          <w:rFonts w:cstheme="minorHAnsi"/>
          <w:color w:val="231F20"/>
          <w:szCs w:val="20"/>
        </w:rPr>
        <w:t>applications received, and the amount of eligible expenditure requested by each application</w:t>
      </w:r>
      <w:r w:rsidRPr="004548DB">
        <w:rPr>
          <w:rFonts w:cstheme="minorHAnsi"/>
          <w:color w:val="231F20"/>
          <w:szCs w:val="20"/>
        </w:rPr>
        <w:t>.</w:t>
      </w:r>
    </w:p>
    <w:p w14:paraId="0ABC50EF" w14:textId="21BB2865" w:rsidR="00596223" w:rsidRPr="004548DB" w:rsidRDefault="00596223" w:rsidP="00341398">
      <w:pPr>
        <w:pStyle w:val="Heading4"/>
        <w:numPr>
          <w:ilvl w:val="0"/>
          <w:numId w:val="15"/>
        </w:numPr>
        <w:ind w:left="567" w:hanging="567"/>
      </w:pPr>
      <w:r>
        <w:t>As lead applicant, c</w:t>
      </w:r>
      <w:r w:rsidRPr="004548DB">
        <w:t xml:space="preserve">an I </w:t>
      </w:r>
      <w:r w:rsidR="00663E1A">
        <w:t>apply</w:t>
      </w:r>
      <w:r w:rsidRPr="004548DB">
        <w:t xml:space="preserve"> for more than one of the challenges? </w:t>
      </w:r>
    </w:p>
    <w:p w14:paraId="75798B88" w14:textId="77777777" w:rsidR="00596223" w:rsidRDefault="00596223" w:rsidP="00596223">
      <w:r w:rsidRPr="004548DB">
        <w:t xml:space="preserve">Yes, you can apply for multiple challenges, </w:t>
      </w:r>
      <w:r w:rsidRPr="00447025">
        <w:rPr>
          <w:b/>
          <w:bCs/>
        </w:rPr>
        <w:t>however the lead applicant can only receive grant funding for one challenge in each round</w:t>
      </w:r>
      <w:r w:rsidRPr="004548DB">
        <w:t xml:space="preserve">. You will need to complete and submit a separate application for each challenge </w:t>
      </w:r>
      <w:r>
        <w:t xml:space="preserve">for which </w:t>
      </w:r>
      <w:r w:rsidRPr="004548DB">
        <w:t>you wish to apply.</w:t>
      </w:r>
      <w:r>
        <w:t xml:space="preserve"> </w:t>
      </w:r>
    </w:p>
    <w:p w14:paraId="73028140" w14:textId="1065C9CD" w:rsidR="00596223" w:rsidRPr="004548DB" w:rsidRDefault="00596223" w:rsidP="00341398">
      <w:pPr>
        <w:pStyle w:val="Heading4"/>
        <w:numPr>
          <w:ilvl w:val="0"/>
          <w:numId w:val="15"/>
        </w:numPr>
        <w:ind w:left="567" w:hanging="567"/>
      </w:pPr>
      <w:r>
        <w:t>Can I be a project partner in more than one application for Stage 1 Feasibility funding?</w:t>
      </w:r>
      <w:r w:rsidRPr="004548DB">
        <w:t xml:space="preserve"> </w:t>
      </w:r>
    </w:p>
    <w:p w14:paraId="42255848" w14:textId="58D89872" w:rsidR="00596223" w:rsidRDefault="00596223" w:rsidP="00596223">
      <w:r w:rsidRPr="004548DB">
        <w:t xml:space="preserve">Yes, you can </w:t>
      </w:r>
      <w:r>
        <w:t>be a project partner in more than one application for Stage 1 Feasibility grant funding</w:t>
      </w:r>
      <w:r w:rsidR="002E1E65">
        <w:t>.</w:t>
      </w:r>
      <w:r w:rsidRPr="004548DB">
        <w:t xml:space="preserve"> </w:t>
      </w:r>
    </w:p>
    <w:p w14:paraId="1B59F8F0" w14:textId="77777777" w:rsidR="00596223" w:rsidRDefault="00596223" w:rsidP="00341398">
      <w:pPr>
        <w:pStyle w:val="Heading4"/>
        <w:numPr>
          <w:ilvl w:val="0"/>
          <w:numId w:val="15"/>
        </w:numPr>
        <w:ind w:left="567" w:hanging="567"/>
      </w:pPr>
      <w:r>
        <w:t>What Technology Readiness Level is required for participation in the CTCP?</w:t>
      </w:r>
    </w:p>
    <w:p w14:paraId="65AFBF84" w14:textId="77777777" w:rsidR="00596223" w:rsidRDefault="00596223" w:rsidP="00596223">
      <w:pPr>
        <w:rPr>
          <w:rFonts w:cstheme="minorHAnsi"/>
          <w:szCs w:val="20"/>
        </w:rPr>
      </w:pPr>
      <w:r w:rsidRPr="003A11B5">
        <w:rPr>
          <w:rFonts w:cstheme="minorHAnsi"/>
          <w:szCs w:val="20"/>
        </w:rPr>
        <w:t>Feasibility project proposals with technologies commencing at Technology Readiness Level (TRL) 4 and aiming to achieve TRL 5 are required for Stage 1 of the CTCP.</w:t>
      </w:r>
    </w:p>
    <w:p w14:paraId="66D486F1" w14:textId="444F2498" w:rsidR="00596223" w:rsidRDefault="00596223" w:rsidP="00596223">
      <w:pPr>
        <w:rPr>
          <w:rFonts w:cstheme="minorHAnsi"/>
          <w:szCs w:val="20"/>
        </w:rPr>
      </w:pPr>
      <w:r w:rsidRPr="003A11B5">
        <w:rPr>
          <w:rFonts w:cstheme="minorHAnsi"/>
          <w:szCs w:val="20"/>
        </w:rPr>
        <w:t xml:space="preserve">Demonstrator project proposals with </w:t>
      </w:r>
      <w:r w:rsidR="008A57B0">
        <w:rPr>
          <w:rFonts w:cstheme="minorHAnsi"/>
          <w:szCs w:val="20"/>
        </w:rPr>
        <w:t>technologies</w:t>
      </w:r>
      <w:r w:rsidR="008A57B0" w:rsidRPr="003A11B5">
        <w:rPr>
          <w:rFonts w:cstheme="minorHAnsi"/>
          <w:szCs w:val="20"/>
        </w:rPr>
        <w:t xml:space="preserve"> </w:t>
      </w:r>
      <w:r w:rsidRPr="003A11B5">
        <w:rPr>
          <w:rFonts w:cstheme="minorHAnsi"/>
          <w:szCs w:val="20"/>
        </w:rPr>
        <w:t>commencing at TRL 5 and aiming to achieve TRL 6 or TRL 7 by the end of Stage 2 Demonstrator are required for Stage 2 of the CTCP.</w:t>
      </w:r>
    </w:p>
    <w:p w14:paraId="60014BFD" w14:textId="7D67BB98" w:rsidR="00C022B6" w:rsidRDefault="00596223" w:rsidP="4518202B">
      <w:r w:rsidRPr="4518202B">
        <w:t xml:space="preserve">Further information can be found in section 2.2 of the respective </w:t>
      </w:r>
      <w:hyperlink r:id="rId27" w:anchor="key-documents" w:history="1">
        <w:r w:rsidRPr="4518202B">
          <w:rPr>
            <w:rStyle w:val="Hyperlink"/>
          </w:rPr>
          <w:t>grant opportunity guidelines</w:t>
        </w:r>
      </w:hyperlink>
      <w:r w:rsidRPr="4518202B">
        <w:t>.</w:t>
      </w:r>
    </w:p>
    <w:p w14:paraId="0F94A651" w14:textId="77777777" w:rsidR="00C022B6" w:rsidRDefault="00C022B6">
      <w:pPr>
        <w:spacing w:before="0" w:after="160" w:line="259" w:lineRule="auto"/>
      </w:pPr>
      <w:r>
        <w:br w:type="page"/>
      </w:r>
    </w:p>
    <w:p w14:paraId="5111BB5D" w14:textId="77777777" w:rsidR="00596223" w:rsidRPr="004548DB" w:rsidRDefault="00596223" w:rsidP="00341398">
      <w:pPr>
        <w:pStyle w:val="Heading4"/>
        <w:numPr>
          <w:ilvl w:val="0"/>
          <w:numId w:val="15"/>
        </w:numPr>
        <w:ind w:left="567" w:hanging="567"/>
      </w:pPr>
      <w:r w:rsidRPr="004548DB">
        <w:lastRenderedPageBreak/>
        <w:t>If multiple</w:t>
      </w:r>
      <w:r>
        <w:t xml:space="preserve"> challenge</w:t>
      </w:r>
      <w:r w:rsidRPr="004548DB">
        <w:t xml:space="preserve"> solutions</w:t>
      </w:r>
      <w:r>
        <w:t xml:space="preserve"> </w:t>
      </w:r>
      <w:r w:rsidRPr="004548DB">
        <w:t xml:space="preserve">are </w:t>
      </w:r>
      <w:r>
        <w:t>similar</w:t>
      </w:r>
      <w:r w:rsidRPr="004548DB">
        <w:t>, how will the final list of applications to be funded be determined?</w:t>
      </w:r>
    </w:p>
    <w:p w14:paraId="304DB4E1" w14:textId="6E3D52EB" w:rsidR="00596223" w:rsidRDefault="00596223" w:rsidP="4518202B">
      <w:r w:rsidRPr="4518202B">
        <w:t xml:space="preserve">The </w:t>
      </w:r>
      <w:r w:rsidR="7D044C06" w:rsidRPr="4518202B">
        <w:t xml:space="preserve">CTCP </w:t>
      </w:r>
      <w:r w:rsidRPr="4518202B">
        <w:t xml:space="preserve">Assessment Committee will assess </w:t>
      </w:r>
      <w:r w:rsidR="6B3A0054" w:rsidRPr="4518202B">
        <w:t xml:space="preserve">eligible </w:t>
      </w:r>
      <w:r w:rsidRPr="4518202B">
        <w:t>application</w:t>
      </w:r>
      <w:r w:rsidR="47015575" w:rsidRPr="4518202B">
        <w:t>s</w:t>
      </w:r>
      <w:r w:rsidRPr="4518202B">
        <w:t xml:space="preserve"> against the assessment criteria (section 7 of the grant opportunity guidelines) and against other applications.</w:t>
      </w:r>
    </w:p>
    <w:p w14:paraId="79C7F3F6" w14:textId="77777777" w:rsidR="00596223" w:rsidRPr="003F5C0C" w:rsidRDefault="00596223" w:rsidP="00596223">
      <w:pPr>
        <w:rPr>
          <w:rFonts w:cstheme="minorHAnsi"/>
          <w:szCs w:val="20"/>
        </w:rPr>
      </w:pPr>
      <w:r w:rsidRPr="003F5C0C">
        <w:rPr>
          <w:rFonts w:cstheme="minorHAnsi"/>
          <w:szCs w:val="20"/>
        </w:rPr>
        <w:t>The Committee will consider your application on its merits, based on:</w:t>
      </w:r>
    </w:p>
    <w:p w14:paraId="06E72C97" w14:textId="77777777" w:rsidR="00596223" w:rsidRPr="00596223" w:rsidRDefault="00596223" w:rsidP="00596223">
      <w:pPr>
        <w:pStyle w:val="ListParagraph"/>
      </w:pPr>
      <w:r w:rsidRPr="00B80FAE">
        <w:t xml:space="preserve">how well </w:t>
      </w:r>
      <w:r w:rsidRPr="00596223">
        <w:t xml:space="preserve">it meets the criteria </w:t>
      </w:r>
    </w:p>
    <w:p w14:paraId="6DA65905" w14:textId="77777777" w:rsidR="00596223" w:rsidRPr="00596223" w:rsidRDefault="00596223" w:rsidP="00596223">
      <w:pPr>
        <w:pStyle w:val="ListParagraph"/>
      </w:pPr>
      <w:r w:rsidRPr="00596223">
        <w:t>how it compares to other applications</w:t>
      </w:r>
    </w:p>
    <w:p w14:paraId="470B5C14" w14:textId="189DB9FD" w:rsidR="00596223" w:rsidRPr="00596223" w:rsidRDefault="00596223" w:rsidP="00596223">
      <w:pPr>
        <w:pStyle w:val="ListParagraph"/>
      </w:pPr>
      <w:r w:rsidRPr="00596223">
        <w:t>whether it provides</w:t>
      </w:r>
      <w:r w:rsidRPr="00B80FAE">
        <w:t xml:space="preserve"> value with relevant money.</w:t>
      </w:r>
    </w:p>
    <w:p w14:paraId="19D84C86" w14:textId="77777777" w:rsidR="00596223" w:rsidRPr="003F5C0C" w:rsidRDefault="00596223" w:rsidP="00596223">
      <w:pPr>
        <w:rPr>
          <w:rFonts w:cstheme="minorHAnsi"/>
          <w:szCs w:val="20"/>
        </w:rPr>
      </w:pPr>
      <w:r w:rsidRPr="003F5C0C">
        <w:rPr>
          <w:rFonts w:cstheme="minorHAnsi"/>
          <w:szCs w:val="20"/>
        </w:rPr>
        <w:t xml:space="preserve">If applications are scored the same, the </w:t>
      </w:r>
      <w:r>
        <w:rPr>
          <w:rFonts w:cstheme="minorHAnsi"/>
          <w:szCs w:val="20"/>
        </w:rPr>
        <w:t xml:space="preserve">Assessment </w:t>
      </w:r>
      <w:r w:rsidRPr="003F5C0C">
        <w:rPr>
          <w:rFonts w:cstheme="minorHAnsi"/>
          <w:szCs w:val="20"/>
        </w:rPr>
        <w:t>Committee will consider value for money, alignment to the program objectives and distribution of applications across the available challenges to recommend applications for funding.</w:t>
      </w:r>
    </w:p>
    <w:p w14:paraId="0707B141" w14:textId="77777777" w:rsidR="00596223" w:rsidRDefault="00596223" w:rsidP="00596223">
      <w:pPr>
        <w:rPr>
          <w:rStyle w:val="Hyperlink"/>
          <w:rFonts w:cstheme="minorHAnsi"/>
          <w:szCs w:val="20"/>
        </w:rPr>
      </w:pPr>
      <w:r w:rsidRPr="004548DB">
        <w:t xml:space="preserve">Further details on the grant selection process for this grant opportunity is provided in section 9 of the </w:t>
      </w:r>
      <w:hyperlink r:id="rId28" w:anchor="key-documents" w:history="1">
        <w:r>
          <w:rPr>
            <w:rStyle w:val="Hyperlink"/>
            <w:rFonts w:cstheme="minorHAnsi"/>
            <w:szCs w:val="20"/>
          </w:rPr>
          <w:t xml:space="preserve">Feasibility </w:t>
        </w:r>
        <w:r w:rsidRPr="004548DB">
          <w:rPr>
            <w:rStyle w:val="Hyperlink"/>
            <w:rFonts w:cstheme="minorHAnsi"/>
            <w:szCs w:val="20"/>
          </w:rPr>
          <w:t>grant opportunity guidelines</w:t>
        </w:r>
      </w:hyperlink>
      <w:r w:rsidRPr="004548DB">
        <w:rPr>
          <w:rStyle w:val="Hyperlink"/>
          <w:rFonts w:cstheme="minorHAnsi"/>
          <w:szCs w:val="20"/>
        </w:rPr>
        <w:t>.</w:t>
      </w:r>
    </w:p>
    <w:p w14:paraId="06C5E046" w14:textId="77777777" w:rsidR="00596223" w:rsidRPr="004548DB" w:rsidRDefault="00596223" w:rsidP="00341398">
      <w:pPr>
        <w:pStyle w:val="Heading4"/>
        <w:numPr>
          <w:ilvl w:val="0"/>
          <w:numId w:val="15"/>
        </w:numPr>
        <w:ind w:left="567" w:hanging="567"/>
      </w:pPr>
      <w:r w:rsidRPr="004548DB">
        <w:t>Will further rounds have different challenges?</w:t>
      </w:r>
    </w:p>
    <w:p w14:paraId="7039A2BC" w14:textId="19D1E566" w:rsidR="00596223" w:rsidRDefault="00596223" w:rsidP="4518202B">
      <w:pPr>
        <w:ind w:right="3"/>
        <w:rPr>
          <w:color w:val="231F20"/>
        </w:rPr>
      </w:pPr>
      <w:r w:rsidRPr="3D1458E3">
        <w:rPr>
          <w:color w:val="231F20"/>
        </w:rPr>
        <w:t>Selection of challenges</w:t>
      </w:r>
      <w:r w:rsidR="00D0506F">
        <w:rPr>
          <w:color w:val="231F20"/>
        </w:rPr>
        <w:t xml:space="preserve"> for each round of CTCP</w:t>
      </w:r>
      <w:r w:rsidRPr="3D1458E3">
        <w:rPr>
          <w:color w:val="231F20"/>
        </w:rPr>
        <w:t xml:space="preserve"> is at the discretion of the Minister for Industry </w:t>
      </w:r>
      <w:r w:rsidR="003E2BE9" w:rsidRPr="3D1458E3">
        <w:rPr>
          <w:color w:val="231F20"/>
        </w:rPr>
        <w:t xml:space="preserve">and </w:t>
      </w:r>
      <w:r w:rsidRPr="3D1458E3">
        <w:rPr>
          <w:color w:val="231F20"/>
        </w:rPr>
        <w:t xml:space="preserve">Science. </w:t>
      </w:r>
    </w:p>
    <w:p w14:paraId="6E22891D" w14:textId="77777777" w:rsidR="00BA24B9" w:rsidRDefault="00BA24B9" w:rsidP="00596223">
      <w:pPr>
        <w:ind w:right="3"/>
        <w:rPr>
          <w:rFonts w:cstheme="minorHAnsi"/>
          <w:color w:val="231F20"/>
          <w:szCs w:val="20"/>
        </w:rPr>
      </w:pPr>
    </w:p>
    <w:p w14:paraId="6BD8A510" w14:textId="77777777" w:rsidR="00596223" w:rsidRDefault="00596223" w:rsidP="009760B3">
      <w:r>
        <w:br w:type="page"/>
      </w:r>
    </w:p>
    <w:p w14:paraId="1D910D03" w14:textId="360B556A" w:rsidR="00596223" w:rsidRPr="004548DB" w:rsidRDefault="00596223" w:rsidP="00596223">
      <w:pPr>
        <w:pStyle w:val="Heading3"/>
      </w:pPr>
      <w:bookmarkStart w:id="23" w:name="_Toc164854363"/>
      <w:r>
        <w:lastRenderedPageBreak/>
        <w:t>Applications</w:t>
      </w:r>
      <w:bookmarkEnd w:id="23"/>
    </w:p>
    <w:p w14:paraId="60ACE077" w14:textId="77777777" w:rsidR="00596223" w:rsidRPr="004548DB" w:rsidRDefault="00596223" w:rsidP="00341398">
      <w:pPr>
        <w:pStyle w:val="Heading4"/>
        <w:numPr>
          <w:ilvl w:val="0"/>
          <w:numId w:val="16"/>
        </w:numPr>
        <w:ind w:left="567" w:hanging="567"/>
      </w:pPr>
      <w:r w:rsidRPr="004548DB">
        <w:t>How do I apply?</w:t>
      </w:r>
    </w:p>
    <w:p w14:paraId="632C0DCB" w14:textId="77777777" w:rsidR="00596223" w:rsidRPr="004548DB" w:rsidRDefault="00596223" w:rsidP="00596223">
      <w:pPr>
        <w:ind w:right="-6"/>
        <w:rPr>
          <w:rFonts w:cstheme="minorHAnsi"/>
          <w:szCs w:val="20"/>
        </w:rPr>
      </w:pPr>
      <w:r w:rsidRPr="004548DB">
        <w:rPr>
          <w:rFonts w:cstheme="minorHAnsi"/>
          <w:color w:val="231F20"/>
          <w:szCs w:val="20"/>
        </w:rPr>
        <w:t>To apply, you must:</w:t>
      </w:r>
    </w:p>
    <w:p w14:paraId="2C1A1969" w14:textId="21ADD0BE" w:rsidR="00596223" w:rsidRPr="004548DB" w:rsidRDefault="00596223" w:rsidP="00596223">
      <w:pPr>
        <w:pStyle w:val="ListParagraph"/>
      </w:pPr>
      <w:r>
        <w:t>submit</w:t>
      </w:r>
      <w:r w:rsidRPr="4518202B">
        <w:rPr>
          <w:color w:val="231F20"/>
        </w:rPr>
        <w:t xml:space="preserve"> your application through our online </w:t>
      </w:r>
      <w:hyperlink r:id="rId29">
        <w:r w:rsidRPr="4518202B">
          <w:rPr>
            <w:rStyle w:val="Hyperlink"/>
          </w:rPr>
          <w:t>portal</w:t>
        </w:r>
      </w:hyperlink>
      <w:r w:rsidRPr="4518202B">
        <w:rPr>
          <w:color w:val="231F20"/>
        </w:rPr>
        <w:t xml:space="preserve">. (A sample of the application form is available to download at </w:t>
      </w:r>
      <w:hyperlink r:id="rId30" w:anchor="key-documents">
        <w:r w:rsidRPr="4518202B">
          <w:rPr>
            <w:rStyle w:val="Hyperlink"/>
          </w:rPr>
          <w:t>business.gov.au</w:t>
        </w:r>
      </w:hyperlink>
      <w:r w:rsidRPr="4518202B">
        <w:rPr>
          <w:color w:val="231F20"/>
        </w:rPr>
        <w:t>)</w:t>
      </w:r>
    </w:p>
    <w:p w14:paraId="004DA3DF" w14:textId="77777777" w:rsidR="00596223" w:rsidRPr="004548DB" w:rsidRDefault="00596223" w:rsidP="00596223">
      <w:pPr>
        <w:pStyle w:val="ListParagraph"/>
      </w:pPr>
      <w:r w:rsidRPr="00596223">
        <w:t>provide</w:t>
      </w:r>
      <w:r w:rsidRPr="004548DB">
        <w:t xml:space="preserve"> all the information that is needed for us to assess your application</w:t>
      </w:r>
    </w:p>
    <w:p w14:paraId="3D944381" w14:textId="77777777" w:rsidR="00596223" w:rsidRPr="004548DB" w:rsidRDefault="00596223" w:rsidP="00596223">
      <w:pPr>
        <w:pStyle w:val="ListParagraph"/>
      </w:pPr>
      <w:r w:rsidRPr="00596223">
        <w:t>address</w:t>
      </w:r>
      <w:r w:rsidRPr="004548DB">
        <w:t xml:space="preserve"> all eligibility and assessment criteria, ensuring each requirement has been considered</w:t>
      </w:r>
    </w:p>
    <w:p w14:paraId="7BEE8D1E" w14:textId="77777777" w:rsidR="00596223" w:rsidRPr="004548DB" w:rsidRDefault="00596223" w:rsidP="00596223">
      <w:pPr>
        <w:pStyle w:val="ListParagraph"/>
        <w:rPr>
          <w:color w:val="231F20"/>
        </w:rPr>
      </w:pPr>
      <w:r>
        <w:rPr>
          <w:color w:val="231F20"/>
        </w:rPr>
        <w:t>include</w:t>
      </w:r>
      <w:r w:rsidRPr="004548DB">
        <w:rPr>
          <w:color w:val="231F20"/>
        </w:rPr>
        <w:t xml:space="preserve"> all mandatory attachments</w:t>
      </w:r>
      <w:r>
        <w:rPr>
          <w:color w:val="231F20"/>
        </w:rPr>
        <w:t xml:space="preserve"> (templates </w:t>
      </w:r>
      <w:r w:rsidRPr="004548DB">
        <w:rPr>
          <w:color w:val="231F20"/>
        </w:rPr>
        <w:t xml:space="preserve">can be found at </w:t>
      </w:r>
      <w:hyperlink r:id="rId31" w:anchor="key-documents" w:history="1">
        <w:r w:rsidRPr="004548DB">
          <w:rPr>
            <w:rStyle w:val="Hyperlink"/>
          </w:rPr>
          <w:t>business.gov.au</w:t>
        </w:r>
      </w:hyperlink>
      <w:r w:rsidRPr="004548DB">
        <w:rPr>
          <w:color w:val="231F20"/>
        </w:rPr>
        <w:t>.</w:t>
      </w:r>
      <w:r>
        <w:rPr>
          <w:color w:val="231F20"/>
        </w:rPr>
        <w:t>)</w:t>
      </w:r>
    </w:p>
    <w:p w14:paraId="38FBC712" w14:textId="3E0774BE" w:rsidR="00596223" w:rsidRDefault="00596223" w:rsidP="00596223">
      <w:pPr>
        <w:rPr>
          <w:rFonts w:cstheme="minorHAnsi"/>
          <w:color w:val="231F20"/>
          <w:szCs w:val="20"/>
        </w:rPr>
      </w:pPr>
      <w:r w:rsidRPr="004548DB">
        <w:rPr>
          <w:rFonts w:cstheme="minorHAnsi"/>
          <w:color w:val="231F20"/>
          <w:szCs w:val="20"/>
        </w:rPr>
        <w:t>See</w:t>
      </w:r>
      <w:r>
        <w:rPr>
          <w:rFonts w:cstheme="minorHAnsi"/>
          <w:color w:val="231F20"/>
          <w:szCs w:val="20"/>
        </w:rPr>
        <w:t xml:space="preserve"> </w:t>
      </w:r>
      <w:r w:rsidR="008A57B0">
        <w:rPr>
          <w:rFonts w:cstheme="minorHAnsi"/>
          <w:color w:val="231F20"/>
          <w:szCs w:val="20"/>
        </w:rPr>
        <w:t xml:space="preserve">section </w:t>
      </w:r>
      <w:r>
        <w:rPr>
          <w:rFonts w:cstheme="minorHAnsi"/>
          <w:color w:val="231F20"/>
          <w:szCs w:val="20"/>
        </w:rPr>
        <w:t>8.1 of</w:t>
      </w:r>
      <w:r w:rsidRPr="004548DB">
        <w:rPr>
          <w:rFonts w:cstheme="minorHAnsi"/>
          <w:color w:val="231F20"/>
          <w:szCs w:val="20"/>
        </w:rPr>
        <w:t xml:space="preserve"> the </w:t>
      </w:r>
      <w:hyperlink r:id="rId32" w:anchor="key-documents" w:history="1">
        <w:r>
          <w:rPr>
            <w:rStyle w:val="Hyperlink"/>
            <w:rFonts w:cstheme="minorHAnsi"/>
            <w:szCs w:val="20"/>
          </w:rPr>
          <w:t xml:space="preserve">Feasibility </w:t>
        </w:r>
        <w:r w:rsidRPr="004548DB">
          <w:rPr>
            <w:rStyle w:val="Hyperlink"/>
            <w:rFonts w:cstheme="minorHAnsi"/>
            <w:szCs w:val="20"/>
          </w:rPr>
          <w:t>grant opportunity guidelines</w:t>
        </w:r>
      </w:hyperlink>
      <w:r w:rsidRPr="004548DB">
        <w:rPr>
          <w:rFonts w:cstheme="minorHAnsi"/>
          <w:color w:val="231F20"/>
          <w:szCs w:val="20"/>
        </w:rPr>
        <w:t xml:space="preserve"> for more</w:t>
      </w:r>
      <w:r w:rsidRPr="004548DB">
        <w:rPr>
          <w:rFonts w:cstheme="minorHAnsi"/>
          <w:color w:val="231F20"/>
          <w:spacing w:val="-22"/>
          <w:szCs w:val="20"/>
        </w:rPr>
        <w:t xml:space="preserve"> </w:t>
      </w:r>
      <w:r w:rsidRPr="004548DB">
        <w:rPr>
          <w:rFonts w:cstheme="minorHAnsi"/>
          <w:color w:val="231F20"/>
          <w:szCs w:val="20"/>
        </w:rPr>
        <w:t xml:space="preserve">information on the required documents. </w:t>
      </w:r>
    </w:p>
    <w:p w14:paraId="532FA36F" w14:textId="77777777" w:rsidR="00596223" w:rsidRDefault="00596223" w:rsidP="00341398">
      <w:pPr>
        <w:pStyle w:val="Heading4"/>
        <w:numPr>
          <w:ilvl w:val="0"/>
          <w:numId w:val="16"/>
        </w:numPr>
        <w:ind w:left="567" w:hanging="567"/>
      </w:pPr>
      <w:r>
        <w:t>How much can I upload with my application?</w:t>
      </w:r>
    </w:p>
    <w:p w14:paraId="659DAB85" w14:textId="7316880A" w:rsidR="00596223" w:rsidRDefault="00596223" w:rsidP="00596223">
      <w:pPr>
        <w:rPr>
          <w:rFonts w:cstheme="minorHAnsi"/>
          <w:color w:val="231F20"/>
          <w:szCs w:val="20"/>
        </w:rPr>
      </w:pPr>
      <w:r>
        <w:rPr>
          <w:rFonts w:cstheme="minorHAnsi"/>
          <w:color w:val="231F20"/>
          <w:szCs w:val="20"/>
        </w:rPr>
        <w:t>Attachments are limited to 2MB per document, with a maximum of 20MB per application. Videos are not able to be submitted. We are unable to accept information provided outside of your portal application</w:t>
      </w:r>
      <w:r w:rsidR="00042A95">
        <w:rPr>
          <w:rFonts w:cstheme="minorHAnsi"/>
          <w:color w:val="231F20"/>
          <w:szCs w:val="20"/>
        </w:rPr>
        <w:t>, unless that information is requested by the Department</w:t>
      </w:r>
      <w:r>
        <w:rPr>
          <w:rFonts w:cstheme="minorHAnsi"/>
          <w:color w:val="231F20"/>
          <w:szCs w:val="20"/>
        </w:rPr>
        <w:t>.</w:t>
      </w:r>
    </w:p>
    <w:p w14:paraId="1A340A01" w14:textId="77777777" w:rsidR="00596223" w:rsidRPr="004548DB" w:rsidRDefault="00596223" w:rsidP="00341398">
      <w:pPr>
        <w:pStyle w:val="Heading4"/>
        <w:numPr>
          <w:ilvl w:val="0"/>
          <w:numId w:val="16"/>
        </w:numPr>
        <w:ind w:left="567" w:hanging="567"/>
      </w:pPr>
      <w:r w:rsidRPr="004548DB">
        <w:t>Who assesses my application?</w:t>
      </w:r>
    </w:p>
    <w:p w14:paraId="597096D0" w14:textId="77777777" w:rsidR="00596223" w:rsidRPr="004548DB" w:rsidRDefault="00596223" w:rsidP="00596223">
      <w:r>
        <w:t>DISR</w:t>
      </w:r>
      <w:r w:rsidRPr="004548DB">
        <w:t xml:space="preserve"> will assess whether applications meet the eligibility criteria.</w:t>
      </w:r>
    </w:p>
    <w:p w14:paraId="46016C52" w14:textId="77777777" w:rsidR="00596223" w:rsidRPr="004548DB" w:rsidRDefault="00596223" w:rsidP="00596223">
      <w:r w:rsidRPr="004548DB">
        <w:t>Eligible applications are then assessed by the CTCP Assessment Committee against the assessment criteria as outlined in section 9 of the</w:t>
      </w:r>
      <w:r>
        <w:t xml:space="preserve"> Stage 1</w:t>
      </w:r>
      <w:r w:rsidRPr="004548DB">
        <w:t xml:space="preserve"> </w:t>
      </w:r>
      <w:hyperlink r:id="rId33" w:anchor="key-documents" w:history="1">
        <w:r w:rsidRPr="004548DB">
          <w:rPr>
            <w:rStyle w:val="Hyperlink"/>
            <w:szCs w:val="20"/>
          </w:rPr>
          <w:t>Feasibility grant opportunity guidelines</w:t>
        </w:r>
      </w:hyperlink>
      <w:r w:rsidRPr="004548DB">
        <w:t>.</w:t>
      </w:r>
    </w:p>
    <w:p w14:paraId="0C4F07DA" w14:textId="77777777" w:rsidR="00596223" w:rsidRPr="004548DB" w:rsidRDefault="00596223" w:rsidP="00341398">
      <w:pPr>
        <w:pStyle w:val="Heading4"/>
        <w:numPr>
          <w:ilvl w:val="0"/>
          <w:numId w:val="16"/>
        </w:numPr>
        <w:ind w:left="567" w:hanging="567"/>
      </w:pPr>
      <w:r w:rsidRPr="004548DB">
        <w:t>Who decides which applications will receive grant funding?</w:t>
      </w:r>
    </w:p>
    <w:p w14:paraId="4EECDB5C" w14:textId="0B35DDAA" w:rsidR="00596223" w:rsidRPr="004548DB" w:rsidRDefault="00596223" w:rsidP="4518202B">
      <w:pPr>
        <w:ind w:right="17"/>
        <w:rPr>
          <w:color w:val="231F20"/>
          <w:spacing w:val="-4"/>
        </w:rPr>
      </w:pPr>
      <w:r w:rsidRPr="4518202B">
        <w:rPr>
          <w:color w:val="231F20"/>
          <w:spacing w:val="-4"/>
        </w:rPr>
        <w:t>The Program Delegate will decide which grants to approve</w:t>
      </w:r>
      <w:r w:rsidR="005E58CC">
        <w:rPr>
          <w:color w:val="231F20"/>
          <w:spacing w:val="-4"/>
        </w:rPr>
        <w:t xml:space="preserve"> for funding under the</w:t>
      </w:r>
      <w:r w:rsidR="003B6FE0">
        <w:rPr>
          <w:color w:val="231F20"/>
          <w:spacing w:val="-4"/>
        </w:rPr>
        <w:t xml:space="preserve"> </w:t>
      </w:r>
      <w:r w:rsidR="005E58CC">
        <w:rPr>
          <w:color w:val="231F20"/>
          <w:spacing w:val="-4"/>
        </w:rPr>
        <w:t>Feasibility grant opportunity</w:t>
      </w:r>
      <w:r w:rsidRPr="4518202B">
        <w:rPr>
          <w:color w:val="231F20"/>
          <w:spacing w:val="-4"/>
        </w:rPr>
        <w:t xml:space="preserve">, </w:t>
      </w:r>
      <w:proofErr w:type="gramStart"/>
      <w:r w:rsidRPr="4518202B">
        <w:rPr>
          <w:color w:val="231F20"/>
          <w:spacing w:val="-4"/>
        </w:rPr>
        <w:t>taking into account</w:t>
      </w:r>
      <w:proofErr w:type="gramEnd"/>
      <w:r w:rsidRPr="4518202B">
        <w:rPr>
          <w:color w:val="231F20"/>
          <w:spacing w:val="-4"/>
        </w:rPr>
        <w:t xml:space="preserve"> the recommendations of the CTCP Assessment Committee and the availability of grant funds. The Program Delegate is a </w:t>
      </w:r>
      <w:r w:rsidR="13CB20CE" w:rsidRPr="4518202B">
        <w:rPr>
          <w:color w:val="231F20"/>
          <w:spacing w:val="-4"/>
        </w:rPr>
        <w:t>M</w:t>
      </w:r>
      <w:r w:rsidRPr="4518202B">
        <w:rPr>
          <w:color w:val="231F20"/>
          <w:spacing w:val="-4"/>
        </w:rPr>
        <w:t>anager within DISR with responsibility for</w:t>
      </w:r>
      <w:r w:rsidR="0CA68FA4" w:rsidRPr="4518202B">
        <w:rPr>
          <w:color w:val="231F20"/>
          <w:spacing w:val="-4"/>
        </w:rPr>
        <w:t xml:space="preserve"> administering</w:t>
      </w:r>
      <w:r w:rsidRPr="4518202B">
        <w:rPr>
          <w:color w:val="231F20"/>
          <w:spacing w:val="-4"/>
        </w:rPr>
        <w:t xml:space="preserve"> the program.</w:t>
      </w:r>
    </w:p>
    <w:p w14:paraId="2326FFCE" w14:textId="2C85764F" w:rsidR="00596223" w:rsidRPr="004548DB" w:rsidRDefault="00596223" w:rsidP="4518202B">
      <w:pPr>
        <w:ind w:right="17"/>
      </w:pPr>
      <w:r w:rsidRPr="4518202B">
        <w:rPr>
          <w:color w:val="231F20"/>
          <w:spacing w:val="-4"/>
        </w:rPr>
        <w:t>The Minister will decide which grants to approve for funding under the Demonstrat</w:t>
      </w:r>
      <w:r w:rsidR="0149DEC2" w:rsidRPr="4518202B">
        <w:rPr>
          <w:color w:val="231F20"/>
          <w:spacing w:val="-4"/>
        </w:rPr>
        <w:t>or</w:t>
      </w:r>
      <w:r w:rsidRPr="4518202B">
        <w:rPr>
          <w:color w:val="231F20"/>
          <w:spacing w:val="-4"/>
        </w:rPr>
        <w:t xml:space="preserve"> grant opportunity, taking into account the recommendations of the CTCP Assessment Committee and the availability of grant funds.</w:t>
      </w:r>
    </w:p>
    <w:p w14:paraId="66F5C102" w14:textId="06807881" w:rsidR="00D10136" w:rsidRDefault="00596223" w:rsidP="00596223">
      <w:pPr>
        <w:rPr>
          <w:rStyle w:val="Hyperlink"/>
        </w:rPr>
      </w:pPr>
      <w:r w:rsidRPr="4518202B">
        <w:rPr>
          <w:color w:val="231F20"/>
        </w:rPr>
        <w:t xml:space="preserve">Further details on the grant selection process </w:t>
      </w:r>
      <w:r w:rsidR="00626EE6" w:rsidRPr="4518202B">
        <w:rPr>
          <w:color w:val="231F20"/>
        </w:rPr>
        <w:t>are</w:t>
      </w:r>
      <w:r w:rsidRPr="4518202B">
        <w:rPr>
          <w:color w:val="231F20"/>
        </w:rPr>
        <w:t xml:space="preserve"> provided in section 9 of the </w:t>
      </w:r>
      <w:hyperlink r:id="rId34" w:anchor="key-documents">
        <w:r w:rsidR="00FD32C9">
          <w:rPr>
            <w:rStyle w:val="Hyperlink"/>
          </w:rPr>
          <w:t>grant opportunity guidelines</w:t>
        </w:r>
      </w:hyperlink>
      <w:r w:rsidR="00FD32C9" w:rsidRPr="4518202B">
        <w:rPr>
          <w:rStyle w:val="Hyperlink"/>
        </w:rPr>
        <w:t>.</w:t>
      </w:r>
    </w:p>
    <w:p w14:paraId="074ADCF3" w14:textId="77777777" w:rsidR="00596223" w:rsidRPr="004548DB" w:rsidRDefault="00596223" w:rsidP="00341398">
      <w:pPr>
        <w:pStyle w:val="Heading4"/>
        <w:numPr>
          <w:ilvl w:val="0"/>
          <w:numId w:val="16"/>
        </w:numPr>
        <w:ind w:left="567" w:hanging="567"/>
      </w:pPr>
      <w:r w:rsidRPr="004548DB">
        <w:t>After the closing date, what is the timeframe for decisions?</w:t>
      </w:r>
    </w:p>
    <w:p w14:paraId="5E0B16F0" w14:textId="07D3D1DB" w:rsidR="00596223" w:rsidRDefault="00596223" w:rsidP="4518202B">
      <w:pPr>
        <w:rPr>
          <w:rStyle w:val="Hyperlink"/>
        </w:rPr>
      </w:pPr>
      <w:r>
        <w:t>A decision on the awarding of Feasibility grants is expected to take approximately 14 weeks after the closing date for applications. You can find more information on expected timing of grant opportunity processes in section 8</w:t>
      </w:r>
      <w:r w:rsidR="008A57B0">
        <w:t>.3</w:t>
      </w:r>
      <w:r>
        <w:t xml:space="preserve"> of the Stage 1 </w:t>
      </w:r>
      <w:hyperlink r:id="rId35" w:anchor="key-documents">
        <w:r w:rsidRPr="4518202B">
          <w:rPr>
            <w:rStyle w:val="Hyperlink"/>
          </w:rPr>
          <w:t>Feasibility grant opportunity guidelines</w:t>
        </w:r>
      </w:hyperlink>
      <w:r w:rsidRPr="4518202B">
        <w:rPr>
          <w:rStyle w:val="Hyperlink"/>
        </w:rPr>
        <w:t>.</w:t>
      </w:r>
    </w:p>
    <w:p w14:paraId="2F1A7F2B" w14:textId="77777777" w:rsidR="00596223" w:rsidRPr="004548DB" w:rsidRDefault="00596223" w:rsidP="00341398">
      <w:pPr>
        <w:pStyle w:val="Heading4"/>
        <w:numPr>
          <w:ilvl w:val="0"/>
          <w:numId w:val="16"/>
        </w:numPr>
        <w:ind w:left="567" w:hanging="567"/>
      </w:pPr>
      <w:r w:rsidRPr="004548DB">
        <w:t xml:space="preserve">Is there an opportunity to </w:t>
      </w:r>
      <w:r>
        <w:t>get feedback on</w:t>
      </w:r>
      <w:r w:rsidRPr="004548DB">
        <w:t xml:space="preserve"> the application</w:t>
      </w:r>
      <w:r>
        <w:t xml:space="preserve"> prior to lodgement</w:t>
      </w:r>
      <w:r w:rsidRPr="004548DB">
        <w:t>?</w:t>
      </w:r>
    </w:p>
    <w:p w14:paraId="18E736CE" w14:textId="77777777" w:rsidR="00BA24B9" w:rsidRDefault="00596223" w:rsidP="00042A95">
      <w:pPr>
        <w:rPr>
          <w:rFonts w:cstheme="minorHAnsi"/>
          <w:color w:val="231F20"/>
          <w:szCs w:val="20"/>
        </w:rPr>
      </w:pPr>
      <w:r w:rsidRPr="004548DB">
        <w:rPr>
          <w:rFonts w:cstheme="minorHAnsi"/>
          <w:color w:val="231F20"/>
          <w:szCs w:val="20"/>
        </w:rPr>
        <w:t xml:space="preserve">As this is a competitive grant program it is not appropriate for </w:t>
      </w:r>
      <w:r>
        <w:rPr>
          <w:rFonts w:cstheme="minorHAnsi"/>
          <w:color w:val="231F20"/>
          <w:szCs w:val="20"/>
        </w:rPr>
        <w:t>DISR</w:t>
      </w:r>
      <w:r w:rsidRPr="004548DB">
        <w:rPr>
          <w:rFonts w:cstheme="minorHAnsi"/>
          <w:color w:val="231F20"/>
          <w:szCs w:val="20"/>
        </w:rPr>
        <w:t xml:space="preserve"> to comment on individual applications prior to lodgement. If you have any questions during the application period, contact us at </w:t>
      </w:r>
      <w:hyperlink r:id="rId36" w:history="1">
        <w:r w:rsidRPr="004548DB">
          <w:rPr>
            <w:rStyle w:val="Hyperlink"/>
            <w:rFonts w:cstheme="minorHAnsi"/>
            <w:szCs w:val="20"/>
          </w:rPr>
          <w:t>business.gov.au</w:t>
        </w:r>
      </w:hyperlink>
      <w:r w:rsidRPr="004548DB">
        <w:rPr>
          <w:rFonts w:cstheme="minorHAnsi"/>
          <w:color w:val="231F20"/>
          <w:szCs w:val="20"/>
        </w:rPr>
        <w:t xml:space="preserve"> or by calling 13 28 46. </w:t>
      </w:r>
    </w:p>
    <w:p w14:paraId="7AEC4B25" w14:textId="77777777" w:rsidR="00BA24B9" w:rsidRDefault="00BA24B9" w:rsidP="00042A95">
      <w:pPr>
        <w:rPr>
          <w:rFonts w:cstheme="minorHAnsi"/>
          <w:color w:val="231F20"/>
          <w:szCs w:val="20"/>
        </w:rPr>
      </w:pPr>
    </w:p>
    <w:p w14:paraId="43FEB224" w14:textId="36B8E03D" w:rsidR="00596223" w:rsidRDefault="00596223" w:rsidP="00042A95">
      <w:pPr>
        <w:rPr>
          <w:rFonts w:cstheme="minorHAnsi"/>
          <w:szCs w:val="20"/>
        </w:rPr>
      </w:pPr>
      <w:r>
        <w:rPr>
          <w:rFonts w:cstheme="minorHAnsi"/>
          <w:szCs w:val="20"/>
        </w:rPr>
        <w:br w:type="page"/>
      </w:r>
    </w:p>
    <w:p w14:paraId="7139B836" w14:textId="776A4C51" w:rsidR="00596223" w:rsidRPr="004548DB" w:rsidRDefault="00596223" w:rsidP="00596223">
      <w:pPr>
        <w:pStyle w:val="Heading3"/>
      </w:pPr>
      <w:bookmarkStart w:id="24" w:name="_Toc164854364"/>
      <w:r>
        <w:lastRenderedPageBreak/>
        <w:t>Delivery</w:t>
      </w:r>
      <w:bookmarkEnd w:id="24"/>
    </w:p>
    <w:p w14:paraId="4E5CE747" w14:textId="77777777" w:rsidR="00596223" w:rsidRPr="004548DB" w:rsidRDefault="00596223" w:rsidP="00BB0536">
      <w:pPr>
        <w:pStyle w:val="Heading4"/>
        <w:numPr>
          <w:ilvl w:val="0"/>
          <w:numId w:val="17"/>
        </w:numPr>
        <w:ind w:left="567" w:hanging="567"/>
      </w:pPr>
      <w:r w:rsidRPr="004548DB">
        <w:t>When are the grant funds paid?</w:t>
      </w:r>
    </w:p>
    <w:p w14:paraId="5D216BC7" w14:textId="17263340" w:rsidR="00596223" w:rsidRDefault="00596223" w:rsidP="00596223">
      <w:r>
        <w:t xml:space="preserve">The approved </w:t>
      </w:r>
      <w:r w:rsidR="56E0D5B8">
        <w:t xml:space="preserve">Feasibility </w:t>
      </w:r>
      <w:r>
        <w:t>grant amount will be paid on execution of the grant agreement.</w:t>
      </w:r>
    </w:p>
    <w:p w14:paraId="46E34D64" w14:textId="77777777" w:rsidR="009B0F69" w:rsidRDefault="009B0F69" w:rsidP="009B0F69">
      <w:bookmarkStart w:id="25" w:name="_Toc496536663"/>
      <w:bookmarkStart w:id="26" w:name="_Hlk164095351"/>
      <w:r>
        <w:t>You must not commence your project until you execute a grant agreement with the Commonwealth.</w:t>
      </w:r>
    </w:p>
    <w:bookmarkEnd w:id="25"/>
    <w:p w14:paraId="3D813B97" w14:textId="747A8BCE" w:rsidR="00D10136" w:rsidRPr="004548DB" w:rsidRDefault="008A57B0" w:rsidP="00596223">
      <w:r>
        <w:t>You can only spend the grant on eligible expenditure you have incurred</w:t>
      </w:r>
      <w:r w:rsidRPr="00E162FF">
        <w:t xml:space="preserve"> on </w:t>
      </w:r>
      <w:r>
        <w:t>an agreed</w:t>
      </w:r>
      <w:r w:rsidRPr="00E162FF">
        <w:t xml:space="preserve"> </w:t>
      </w:r>
      <w:r>
        <w:t>p</w:t>
      </w:r>
      <w:r w:rsidRPr="00E162FF">
        <w:t>roject</w:t>
      </w:r>
      <w:r>
        <w:t xml:space="preserve"> as defined in your grant agreement. </w:t>
      </w:r>
      <w:bookmarkEnd w:id="26"/>
      <w:r w:rsidR="00596223">
        <w:t xml:space="preserve">At the end of the project, </w:t>
      </w:r>
      <w:bookmarkStart w:id="27" w:name="_Hlk164095376"/>
      <w:r w:rsidR="009B0F69">
        <w:t>the Commonwealth may recover any unacquitted grant funding</w:t>
      </w:r>
      <w:bookmarkEnd w:id="27"/>
      <w:r w:rsidR="009B0F69">
        <w:t>.</w:t>
      </w:r>
    </w:p>
    <w:p w14:paraId="45573E9A" w14:textId="77777777" w:rsidR="00596223" w:rsidRPr="004548DB" w:rsidRDefault="00596223" w:rsidP="00BB0536">
      <w:pPr>
        <w:pStyle w:val="Heading4"/>
        <w:numPr>
          <w:ilvl w:val="0"/>
          <w:numId w:val="17"/>
        </w:numPr>
        <w:ind w:left="567" w:hanging="567"/>
      </w:pPr>
      <w:r w:rsidRPr="004548DB">
        <w:t xml:space="preserve">How </w:t>
      </w:r>
      <w:r>
        <w:t xml:space="preserve">will my </w:t>
      </w:r>
      <w:r w:rsidRPr="004548DB">
        <w:t>project</w:t>
      </w:r>
      <w:r>
        <w:t xml:space="preserve"> be</w:t>
      </w:r>
      <w:r w:rsidRPr="004548DB">
        <w:t xml:space="preserve"> monitored?</w:t>
      </w:r>
    </w:p>
    <w:p w14:paraId="1D2C19D9" w14:textId="4BCCF5C5" w:rsidR="00FD32C9" w:rsidRDefault="009B0F69" w:rsidP="00596223">
      <w:pPr>
        <w:ind w:right="2"/>
      </w:pPr>
      <w:bookmarkStart w:id="28" w:name="_Hlk164095533"/>
      <w:r>
        <w:t xml:space="preserve">We will monitor the progress of your project by assessing reports you submit in accordance with the grant agreement. We may also conduct site visits to confirm details of your reports if necessary. </w:t>
      </w:r>
      <w:bookmarkEnd w:id="28"/>
    </w:p>
    <w:p w14:paraId="6722BFDE" w14:textId="53DE95F7" w:rsidR="00596223" w:rsidRDefault="00596223" w:rsidP="00596223">
      <w:pPr>
        <w:ind w:right="2"/>
        <w:rPr>
          <w:rStyle w:val="Hyperlink"/>
          <w:rFonts w:cstheme="minorHAnsi"/>
          <w:szCs w:val="20"/>
        </w:rPr>
      </w:pPr>
      <w:r w:rsidRPr="004548DB">
        <w:rPr>
          <w:rFonts w:cstheme="minorHAnsi"/>
          <w:color w:val="231F20"/>
          <w:szCs w:val="20"/>
        </w:rPr>
        <w:t>You can find more information on how your grant activity is monitored in section 13 of the</w:t>
      </w:r>
      <w:r>
        <w:rPr>
          <w:rFonts w:cstheme="minorHAnsi"/>
          <w:color w:val="231F20"/>
          <w:szCs w:val="20"/>
        </w:rPr>
        <w:t xml:space="preserve"> Stage 1</w:t>
      </w:r>
      <w:r w:rsidRPr="004548DB">
        <w:rPr>
          <w:rFonts w:cstheme="minorHAnsi"/>
          <w:color w:val="231F20"/>
          <w:szCs w:val="20"/>
        </w:rPr>
        <w:t xml:space="preserve"> </w:t>
      </w:r>
      <w:hyperlink r:id="rId37" w:anchor="key-documents" w:history="1">
        <w:r>
          <w:rPr>
            <w:rStyle w:val="Hyperlink"/>
            <w:rFonts w:cstheme="minorHAnsi"/>
            <w:szCs w:val="20"/>
          </w:rPr>
          <w:t xml:space="preserve">Feasibility </w:t>
        </w:r>
        <w:r w:rsidRPr="004548DB">
          <w:rPr>
            <w:rStyle w:val="Hyperlink"/>
            <w:rFonts w:cstheme="minorHAnsi"/>
            <w:szCs w:val="20"/>
          </w:rPr>
          <w:t>grant opportunity guidelines</w:t>
        </w:r>
      </w:hyperlink>
      <w:r w:rsidRPr="004548DB">
        <w:rPr>
          <w:rStyle w:val="Hyperlink"/>
          <w:rFonts w:cstheme="minorHAnsi"/>
          <w:szCs w:val="20"/>
        </w:rPr>
        <w:t>.</w:t>
      </w:r>
    </w:p>
    <w:p w14:paraId="7AE0AD8E" w14:textId="77777777" w:rsidR="00596223" w:rsidRPr="004548DB" w:rsidRDefault="00596223" w:rsidP="00BB0536">
      <w:pPr>
        <w:pStyle w:val="Heading4"/>
        <w:numPr>
          <w:ilvl w:val="0"/>
          <w:numId w:val="17"/>
        </w:numPr>
        <w:ind w:left="567" w:hanging="567"/>
      </w:pPr>
      <w:r w:rsidRPr="004548DB">
        <w:t>What happens if there are any changes during the project?</w:t>
      </w:r>
    </w:p>
    <w:p w14:paraId="72CEB414" w14:textId="77777777" w:rsidR="00974DE6" w:rsidRDefault="00974DE6" w:rsidP="00974DE6">
      <w:r>
        <w:t xml:space="preserve">You should let us know if anything is likely to affect your project or organisation. </w:t>
      </w:r>
    </w:p>
    <w:p w14:paraId="7C097045" w14:textId="77777777" w:rsidR="00974DE6" w:rsidRDefault="00974DE6" w:rsidP="00974DE6">
      <w:pPr>
        <w:rPr>
          <w:rFonts w:cs="Arial"/>
          <w:szCs w:val="20"/>
        </w:rPr>
      </w:pPr>
      <w:r>
        <w:t xml:space="preserve">We need to know of any key changes to your organisation or its business activities. </w:t>
      </w:r>
      <w:r>
        <w:rPr>
          <w:rFonts w:cs="Arial"/>
          <w:szCs w:val="20"/>
        </w:rPr>
        <w:t>You must also inform us of any material changes in the circumstances of project participants.</w:t>
      </w:r>
    </w:p>
    <w:p w14:paraId="186F15DA" w14:textId="7112DF32" w:rsidR="00596223" w:rsidRPr="004548DB" w:rsidRDefault="00596223" w:rsidP="00974DE6">
      <w:r>
        <w:t>We recognise that unexpected events may affect project progress. In these circumstances</w:t>
      </w:r>
      <w:bookmarkStart w:id="29" w:name="_Hlk164095588"/>
      <w:r>
        <w:t xml:space="preserve">, </w:t>
      </w:r>
      <w:r w:rsidR="00C5754E">
        <w:t>you can request a variation to your grant agreement, including</w:t>
      </w:r>
      <w:bookmarkEnd w:id="29"/>
      <w:r w:rsidR="00263BAE">
        <w:t>:</w:t>
      </w:r>
    </w:p>
    <w:p w14:paraId="78A60A02" w14:textId="77777777" w:rsidR="00596223" w:rsidRPr="004548DB" w:rsidRDefault="00596223" w:rsidP="00596223">
      <w:pPr>
        <w:pStyle w:val="ListParagraph"/>
      </w:pPr>
      <w:r w:rsidRPr="004548DB">
        <w:t>changing project milestones</w:t>
      </w:r>
    </w:p>
    <w:p w14:paraId="14DAE950" w14:textId="77777777" w:rsidR="00596223" w:rsidRPr="004548DB" w:rsidRDefault="00596223" w:rsidP="00596223">
      <w:pPr>
        <w:pStyle w:val="ListParagraph"/>
      </w:pPr>
      <w:r w:rsidRPr="004548DB">
        <w:t xml:space="preserve">extending the </w:t>
      </w:r>
      <w:r w:rsidRPr="00596223">
        <w:t>timeframe</w:t>
      </w:r>
      <w:r w:rsidRPr="004548DB">
        <w:t xml:space="preserve"> for completing the project but within the maximum 6 month period for Feasibility projects </w:t>
      </w:r>
    </w:p>
    <w:p w14:paraId="2D355BD5" w14:textId="713736AA" w:rsidR="00596223" w:rsidRPr="004548DB" w:rsidRDefault="00596223" w:rsidP="00596223">
      <w:pPr>
        <w:pStyle w:val="ListParagraph"/>
      </w:pPr>
      <w:r w:rsidRPr="004548DB">
        <w:t xml:space="preserve">changing project </w:t>
      </w:r>
      <w:r w:rsidRPr="00596223">
        <w:t>activities</w:t>
      </w:r>
      <w:r w:rsidRPr="004548DB">
        <w:t>.</w:t>
      </w:r>
    </w:p>
    <w:p w14:paraId="67EC570A" w14:textId="43D8EA5A" w:rsidR="00596223" w:rsidRPr="004548DB" w:rsidRDefault="00596223" w:rsidP="00596223">
      <w:pPr>
        <w:rPr>
          <w:color w:val="231F20"/>
        </w:rPr>
      </w:pPr>
      <w:r>
        <w:t>Please note, the program does not allow for an increase of grant funds</w:t>
      </w:r>
      <w:r w:rsidR="00C5754E">
        <w:t>.</w:t>
      </w:r>
    </w:p>
    <w:p w14:paraId="1153353B" w14:textId="77777777" w:rsidR="00596223" w:rsidRDefault="00596223" w:rsidP="00596223">
      <w:pPr>
        <w:rPr>
          <w:color w:val="231F20"/>
        </w:rPr>
      </w:pPr>
      <w:r w:rsidRPr="004548DB">
        <w:rPr>
          <w:color w:val="231F20"/>
        </w:rPr>
        <w:t xml:space="preserve">If you want to propose changes to the grant agreement, you must put </w:t>
      </w:r>
      <w:r>
        <w:rPr>
          <w:color w:val="231F20"/>
        </w:rPr>
        <w:t>it</w:t>
      </w:r>
      <w:r w:rsidRPr="004548DB">
        <w:rPr>
          <w:color w:val="231F20"/>
        </w:rPr>
        <w:t xml:space="preserve"> in writing before the project end date. We cannot consider changes after the project end date.</w:t>
      </w:r>
    </w:p>
    <w:p w14:paraId="3A55DFE6" w14:textId="77777777" w:rsidR="00596223" w:rsidRPr="004548DB" w:rsidRDefault="00596223" w:rsidP="00BB0536">
      <w:pPr>
        <w:pStyle w:val="Heading4"/>
        <w:numPr>
          <w:ilvl w:val="0"/>
          <w:numId w:val="17"/>
        </w:numPr>
        <w:ind w:left="567" w:hanging="567"/>
      </w:pPr>
      <w:r w:rsidRPr="004548DB">
        <w:t xml:space="preserve">Where do I find information on the </w:t>
      </w:r>
      <w:r>
        <w:t xml:space="preserve">program and </w:t>
      </w:r>
      <w:r w:rsidRPr="004548DB">
        <w:t>stages?</w:t>
      </w:r>
    </w:p>
    <w:p w14:paraId="0B7B5CA4" w14:textId="632B85AA" w:rsidR="00596223" w:rsidRPr="004548DB" w:rsidRDefault="00596223" w:rsidP="00596223">
      <w:bookmarkStart w:id="30" w:name="_Hlk164095831"/>
      <w:r>
        <w:t xml:space="preserve">You can find </w:t>
      </w:r>
      <w:r w:rsidR="2BEE6696">
        <w:t>all information about this program</w:t>
      </w:r>
      <w:r>
        <w:t xml:space="preserve"> </w:t>
      </w:r>
      <w:r w:rsidR="327FC856">
        <w:t xml:space="preserve">within the published grant opportunity guidelines </w:t>
      </w:r>
      <w:r>
        <w:t xml:space="preserve">on </w:t>
      </w:r>
      <w:hyperlink r:id="rId38" w:anchor="key-documents" w:history="1">
        <w:r w:rsidRPr="3D1458E3">
          <w:rPr>
            <w:rStyle w:val="Hyperlink"/>
          </w:rPr>
          <w:t>business.gov.au</w:t>
        </w:r>
      </w:hyperlink>
      <w:r>
        <w:t>.</w:t>
      </w:r>
    </w:p>
    <w:p w14:paraId="2F3562BF" w14:textId="79A7385E" w:rsidR="00596223" w:rsidRPr="004548DB" w:rsidRDefault="00596223" w:rsidP="00596223">
      <w:pPr>
        <w:pStyle w:val="Heading3"/>
      </w:pPr>
      <w:bookmarkStart w:id="31" w:name="_Toc164854365"/>
      <w:bookmarkEnd w:id="30"/>
      <w:r w:rsidRPr="004548DB">
        <w:t xml:space="preserve">Need </w:t>
      </w:r>
      <w:r w:rsidRPr="00596223">
        <w:t>more</w:t>
      </w:r>
      <w:r w:rsidRPr="004548DB">
        <w:t xml:space="preserve"> information?</w:t>
      </w:r>
      <w:bookmarkEnd w:id="31"/>
    </w:p>
    <w:p w14:paraId="2E1A0238" w14:textId="77777777" w:rsidR="00596223" w:rsidRPr="004548DB" w:rsidRDefault="00596223" w:rsidP="00596223">
      <w:pPr>
        <w:rPr>
          <w:rFonts w:cstheme="minorHAnsi"/>
          <w:color w:val="231F20"/>
          <w:szCs w:val="20"/>
        </w:rPr>
      </w:pPr>
      <w:r w:rsidRPr="004548DB">
        <w:rPr>
          <w:rFonts w:cstheme="minorHAnsi"/>
          <w:color w:val="231F20"/>
          <w:szCs w:val="20"/>
        </w:rPr>
        <w:t xml:space="preserve">Visit </w:t>
      </w:r>
      <w:hyperlink r:id="rId39" w:history="1">
        <w:r w:rsidRPr="004548DB">
          <w:rPr>
            <w:rStyle w:val="Hyperlink"/>
            <w:rFonts w:cstheme="minorHAnsi"/>
            <w:szCs w:val="20"/>
          </w:rPr>
          <w:t>business.gov.au</w:t>
        </w:r>
      </w:hyperlink>
      <w:r w:rsidRPr="004548DB">
        <w:rPr>
          <w:rFonts w:cstheme="minorHAnsi"/>
          <w:color w:val="00599A"/>
          <w:szCs w:val="20"/>
        </w:rPr>
        <w:t xml:space="preserve"> </w:t>
      </w:r>
      <w:r w:rsidRPr="004548DB">
        <w:rPr>
          <w:rFonts w:cstheme="minorHAnsi"/>
          <w:color w:val="231F20"/>
          <w:szCs w:val="20"/>
        </w:rPr>
        <w:t>or call 13 28 46.</w:t>
      </w:r>
    </w:p>
    <w:p w14:paraId="7A55923B" w14:textId="77777777" w:rsidR="00596223" w:rsidRPr="004548DB" w:rsidRDefault="00596223" w:rsidP="00596223">
      <w:pPr>
        <w:rPr>
          <w:rFonts w:eastAsia="Gotham Narrow" w:cstheme="minorHAnsi"/>
          <w:color w:val="231F20"/>
          <w:szCs w:val="20"/>
        </w:rPr>
      </w:pPr>
      <w:r w:rsidRPr="004548DB">
        <w:rPr>
          <w:rFonts w:cstheme="minorHAnsi"/>
          <w:color w:val="231F20"/>
          <w:szCs w:val="20"/>
        </w:rPr>
        <w:br w:type="page"/>
      </w:r>
    </w:p>
    <w:p w14:paraId="63284792" w14:textId="0F24058D" w:rsidR="00C022B6" w:rsidRPr="00BB0536" w:rsidRDefault="00137605" w:rsidP="00BB0536">
      <w:pPr>
        <w:pStyle w:val="Calloutboxpurplestrong"/>
        <w:rPr>
          <w:rStyle w:val="Strong"/>
        </w:rPr>
      </w:pPr>
      <w:bookmarkStart w:id="32" w:name="_Toc161672113"/>
      <w:r>
        <w:rPr>
          <w:rStyle w:val="Strong"/>
        </w:rPr>
        <w:lastRenderedPageBreak/>
        <w:t>-</w:t>
      </w:r>
      <w:r w:rsidR="00596223" w:rsidRPr="00BB0536">
        <w:rPr>
          <w:rStyle w:val="Strong"/>
        </w:rPr>
        <w:t xml:space="preserve"> CTCP: Round 1 - Stage 1 Feasibility </w:t>
      </w:r>
      <w:r w:rsidR="00E86BD4" w:rsidRPr="00E86BD4">
        <w:rPr>
          <w:rStyle w:val="Strong"/>
          <w:b/>
          <w:bCs/>
        </w:rPr>
        <w:t>Challenge 1</w:t>
      </w:r>
    </w:p>
    <w:p w14:paraId="25E7E123" w14:textId="3E8C6707" w:rsidR="00E86BD4" w:rsidRPr="00E86BD4" w:rsidRDefault="00596223" w:rsidP="00E86BD4">
      <w:pPr>
        <w:pStyle w:val="Heading2"/>
      </w:pPr>
      <w:bookmarkStart w:id="33" w:name="_Toc164854366"/>
      <w:r w:rsidRPr="009760B3">
        <w:t>Challenge 1</w:t>
      </w:r>
      <w:bookmarkEnd w:id="33"/>
      <w:bookmarkEnd w:id="32"/>
    </w:p>
    <w:p w14:paraId="067CB986" w14:textId="6718EC36" w:rsidR="001C5C12" w:rsidRPr="007320C9" w:rsidRDefault="001C5C12" w:rsidP="00BB0536">
      <w:pPr>
        <w:pStyle w:val="Heading3"/>
      </w:pPr>
      <w:bookmarkStart w:id="34" w:name="_Toc164157217"/>
      <w:bookmarkStart w:id="35" w:name="_Toc164854367"/>
      <w:bookmarkStart w:id="36" w:name="_Hlk160464480"/>
      <w:r w:rsidRPr="007320C9">
        <w:t xml:space="preserve">Optimise the performance, sustainability, and security of energy </w:t>
      </w:r>
      <w:proofErr w:type="gramStart"/>
      <w:r w:rsidRPr="007320C9">
        <w:t>networks</w:t>
      </w:r>
      <w:bookmarkEnd w:id="34"/>
      <w:bookmarkEnd w:id="35"/>
      <w:proofErr w:type="gramEnd"/>
    </w:p>
    <w:p w14:paraId="04B555A9" w14:textId="77777777" w:rsidR="001C5C12" w:rsidDel="0004022C" w:rsidRDefault="001C5C12" w:rsidP="00BB0536">
      <w:pPr>
        <w:pStyle w:val="Heading4"/>
      </w:pPr>
      <w:r w:rsidRPr="00B5183D" w:rsidDel="0004022C">
        <w:t>Challenge Overview</w:t>
      </w:r>
    </w:p>
    <w:p w14:paraId="3BA3D97C" w14:textId="2BFFC0C6" w:rsidR="001C5C12" w:rsidRDefault="001C5C12" w:rsidP="001C5C12">
      <w:r w:rsidRPr="00CB7F63">
        <w:t xml:space="preserve">In the 2022-23 period, the energy sector accounted for approximately 85% of Australia's net emissions, with electricity being a significant contributor, responsible for about </w:t>
      </w:r>
      <w:r>
        <w:t>one third of that amount</w:t>
      </w:r>
      <w:r w:rsidRPr="00CB7F63">
        <w:t>.</w:t>
      </w:r>
      <w:r>
        <w:t xml:space="preserve"> In parallel, t</w:t>
      </w:r>
      <w:r w:rsidRPr="00CB7F63">
        <w:t>he National Electricity Market</w:t>
      </w:r>
      <w:r>
        <w:t xml:space="preserve"> has</w:t>
      </w:r>
      <w:r w:rsidRPr="00CB7F63">
        <w:t xml:space="preserve"> acknowledge</w:t>
      </w:r>
      <w:r>
        <w:t>d</w:t>
      </w:r>
      <w:r w:rsidRPr="00CB7F63">
        <w:t xml:space="preserve"> the rise in electricity prices and anticipates further increases</w:t>
      </w:r>
      <w:r w:rsidR="00512945">
        <w:t>.</w:t>
      </w:r>
      <w:r>
        <w:rPr>
          <w:rStyle w:val="FootnoteReference"/>
        </w:rPr>
        <w:footnoteReference w:id="1"/>
      </w:r>
      <w:r>
        <w:rPr>
          <w:rStyle w:val="FootnoteReference"/>
        </w:rPr>
        <w:footnoteReference w:id="2"/>
      </w:r>
      <w:r w:rsidRPr="000B1EC2">
        <w:t xml:space="preserve"> </w:t>
      </w:r>
    </w:p>
    <w:p w14:paraId="17DB4084" w14:textId="77777777" w:rsidR="001C5C12" w:rsidRPr="00B5183D" w:rsidRDefault="001C5C12" w:rsidP="001C5C12">
      <w:r w:rsidRPr="00B5183D">
        <w:t>This challenge aims to leverage quantum technologies to enhance the performance, sustainability, and security of Australia’s energy networks. The integration of renewables into new and existing energy networks will also be considered as part of this challenge. Applicants will explore innovative solutions to address the complexity of energy networks and their management</w:t>
      </w:r>
      <w:r>
        <w:t xml:space="preserve">. Elements may include but are not limited to increasing </w:t>
      </w:r>
      <w:r w:rsidRPr="00B5183D">
        <w:t>efficiency and reliability</w:t>
      </w:r>
      <w:r>
        <w:t>,</w:t>
      </w:r>
      <w:r w:rsidRPr="00B5183D">
        <w:t xml:space="preserve"> </w:t>
      </w:r>
      <w:r>
        <w:t xml:space="preserve">emissions </w:t>
      </w:r>
      <w:r w:rsidRPr="00B5183D">
        <w:t>reduction</w:t>
      </w:r>
      <w:r>
        <w:t>s, and lowered</w:t>
      </w:r>
      <w:r w:rsidRPr="00B5183D">
        <w:t xml:space="preserve"> energy prices</w:t>
      </w:r>
      <w:r>
        <w:t xml:space="preserve">. Maintaining high security standards of the network should be an integral feature of any solution.  </w:t>
      </w:r>
    </w:p>
    <w:p w14:paraId="5146D2F5" w14:textId="77777777" w:rsidR="001C5C12" w:rsidRPr="00B5183D" w:rsidRDefault="001C5C12" w:rsidP="001C5C12">
      <w:r w:rsidRPr="00B5183D">
        <w:t>This involves creating solutions that not only ensure a resilient and efficient energy network but also contribute to reducing overall energy costs for households and businesses, reducing the cost of living for Australians.</w:t>
      </w:r>
      <w:bookmarkEnd w:id="36"/>
    </w:p>
    <w:p w14:paraId="1E2DCDE9" w14:textId="77777777" w:rsidR="001C5C12" w:rsidRPr="00B5183D" w:rsidRDefault="001C5C12" w:rsidP="00BB0536">
      <w:pPr>
        <w:pStyle w:val="Heading4"/>
      </w:pPr>
      <w:r w:rsidRPr="00B5183D">
        <w:t>What is the relevance of the challenge to industry?</w:t>
      </w:r>
    </w:p>
    <w:p w14:paraId="5E41346A" w14:textId="6192DA28" w:rsidR="001C5C12" w:rsidRPr="00926359" w:rsidRDefault="001C5C12" w:rsidP="00BB0536">
      <w:pPr>
        <w:pStyle w:val="ListParagraph"/>
      </w:pPr>
      <w:r w:rsidRPr="00926359">
        <w:t>Management and optimisation of a changing, increasingly decentralised electricity network</w:t>
      </w:r>
      <w:r w:rsidR="00512945">
        <w:t>.</w:t>
      </w:r>
      <w:r w:rsidRPr="00EA7D4E">
        <w:rPr>
          <w:rStyle w:val="FootnoteReference"/>
        </w:rPr>
        <w:footnoteReference w:id="3"/>
      </w:r>
    </w:p>
    <w:p w14:paraId="0684BF5F" w14:textId="6CDD922D" w:rsidR="001C5C12" w:rsidRPr="00926359" w:rsidRDefault="001C5C12" w:rsidP="00BB0536">
      <w:pPr>
        <w:pStyle w:val="ListParagraph"/>
      </w:pPr>
      <w:r w:rsidRPr="00926359">
        <w:t>Support</w:t>
      </w:r>
      <w:r>
        <w:t xml:space="preserve">s </w:t>
      </w:r>
      <w:r w:rsidRPr="00926359">
        <w:t>businesses to meet emission targets and Australia’s goals of becoming a renewable energy superpower, while addressing environmental, social and governance related issues</w:t>
      </w:r>
      <w:r w:rsidR="00512945">
        <w:t>.</w:t>
      </w:r>
      <w:r w:rsidRPr="00EA7D4E">
        <w:rPr>
          <w:rStyle w:val="FootnoteReference"/>
        </w:rPr>
        <w:footnoteReference w:id="4"/>
      </w:r>
    </w:p>
    <w:p w14:paraId="2DAE5277" w14:textId="5CA55692" w:rsidR="001C5C12" w:rsidRDefault="001C5C12" w:rsidP="00BB0536">
      <w:pPr>
        <w:pStyle w:val="ListParagraph"/>
      </w:pPr>
      <w:r>
        <w:t>Increased security and reliability</w:t>
      </w:r>
      <w:r w:rsidRPr="00926359">
        <w:t xml:space="preserve"> of critical infrastructure and critical energy supply chains</w:t>
      </w:r>
      <w:r w:rsidR="00512945">
        <w:t>.</w:t>
      </w:r>
      <w:r w:rsidRPr="00EA7D4E">
        <w:rPr>
          <w:rStyle w:val="FootnoteReference"/>
        </w:rPr>
        <w:footnoteReference w:id="5"/>
      </w:r>
    </w:p>
    <w:p w14:paraId="139E667E" w14:textId="77777777" w:rsidR="001C5C12" w:rsidRDefault="001C5C12" w:rsidP="00BB0536">
      <w:pPr>
        <w:pStyle w:val="ListParagraph"/>
      </w:pPr>
      <w:r>
        <w:t>M</w:t>
      </w:r>
      <w:r w:rsidRPr="00EA7D4E">
        <w:t>ore effective emergency management responses to catastrophic events</w:t>
      </w:r>
      <w:r>
        <w:t>.</w:t>
      </w:r>
    </w:p>
    <w:p w14:paraId="3ECE9949" w14:textId="77777777" w:rsidR="001C5C12" w:rsidRDefault="001C5C12" w:rsidP="00BB0536">
      <w:pPr>
        <w:pStyle w:val="ListParagraph"/>
      </w:pPr>
      <w:r>
        <w:t xml:space="preserve">Reduce associated energy costs. </w:t>
      </w:r>
    </w:p>
    <w:p w14:paraId="76C3F6AA" w14:textId="77777777" w:rsidR="001C5C12" w:rsidRPr="00B5183D" w:rsidRDefault="001C5C12" w:rsidP="001C5C12">
      <w:pPr>
        <w:pStyle w:val="Calloutbox"/>
      </w:pPr>
      <w:r>
        <w:t xml:space="preserve">Please note that the possible solutions and expected benefits listed below are provided as suggestions. Certain suggestions may be more ambitious than others.  Applicants should not feel limited to the suggestions listed below and are encouraged to present other innovative solutions which address the challenge.  </w:t>
      </w:r>
    </w:p>
    <w:p w14:paraId="56DAC0E2" w14:textId="20F45F00" w:rsidR="001C5C12" w:rsidRPr="00B5183D" w:rsidRDefault="001C5C12" w:rsidP="00BB0536">
      <w:pPr>
        <w:pStyle w:val="Heading4"/>
      </w:pPr>
      <w:r w:rsidRPr="00B5183D">
        <w:lastRenderedPageBreak/>
        <w:t xml:space="preserve">Possible solution elements may include: </w:t>
      </w:r>
    </w:p>
    <w:p w14:paraId="212671F3" w14:textId="77777777" w:rsidR="001C5C12" w:rsidRPr="00B5183D" w:rsidRDefault="001C5C12" w:rsidP="001C5C12">
      <w:pPr>
        <w:pStyle w:val="ListParagraph"/>
        <w:numPr>
          <w:ilvl w:val="0"/>
          <w:numId w:val="21"/>
        </w:numPr>
      </w:pPr>
      <w:r w:rsidRPr="00B5183D">
        <w:rPr>
          <w:b/>
          <w:bCs/>
        </w:rPr>
        <w:t>Load balancing</w:t>
      </w:r>
      <w:r w:rsidRPr="00B5183D">
        <w:t xml:space="preserve"> – quantum algorithms to optimise power loads across energy networks.</w:t>
      </w:r>
    </w:p>
    <w:p w14:paraId="5AEE3491" w14:textId="77777777" w:rsidR="001C5C12" w:rsidRPr="00B5183D" w:rsidRDefault="001C5C12" w:rsidP="001C5C12">
      <w:pPr>
        <w:numPr>
          <w:ilvl w:val="0"/>
          <w:numId w:val="19"/>
        </w:numPr>
      </w:pPr>
      <w:r w:rsidRPr="00B5183D">
        <w:rPr>
          <w:b/>
          <w:bCs/>
        </w:rPr>
        <w:t>Fault detection and correction</w:t>
      </w:r>
      <w:r w:rsidRPr="00B5183D">
        <w:t xml:space="preserve"> – rapid detection, reporting and correction of faults in energy networks.</w:t>
      </w:r>
    </w:p>
    <w:p w14:paraId="7F638ED7" w14:textId="77777777" w:rsidR="001C5C12" w:rsidRPr="00B5183D" w:rsidRDefault="001C5C12" w:rsidP="001C5C12">
      <w:pPr>
        <w:numPr>
          <w:ilvl w:val="0"/>
          <w:numId w:val="19"/>
        </w:numPr>
      </w:pPr>
      <w:r w:rsidRPr="00B5183D">
        <w:rPr>
          <w:b/>
          <w:bCs/>
        </w:rPr>
        <w:t>Security measures</w:t>
      </w:r>
      <w:r w:rsidRPr="00B5183D">
        <w:t xml:space="preserve"> – quantum cryptography or other quantum technologies to enhance cybersecurity.</w:t>
      </w:r>
    </w:p>
    <w:p w14:paraId="296BCB16" w14:textId="77777777" w:rsidR="001C5C12" w:rsidRPr="00B5183D" w:rsidRDefault="001C5C12" w:rsidP="001C5C12">
      <w:pPr>
        <w:numPr>
          <w:ilvl w:val="0"/>
          <w:numId w:val="19"/>
        </w:numPr>
      </w:pPr>
      <w:r w:rsidRPr="00B5183D">
        <w:rPr>
          <w:b/>
          <w:bCs/>
        </w:rPr>
        <w:t xml:space="preserve">Enhanced timing for synchronisation </w:t>
      </w:r>
      <w:r w:rsidRPr="00B5183D">
        <w:t xml:space="preserve">– utilises quantum properties to achieve highly precise timing, enabling optimal coordination of events in energy networks. </w:t>
      </w:r>
    </w:p>
    <w:p w14:paraId="64E7129A" w14:textId="77777777" w:rsidR="001C5C12" w:rsidRPr="00B5183D" w:rsidRDefault="001C5C12" w:rsidP="00BB0536">
      <w:pPr>
        <w:pStyle w:val="Heading4"/>
      </w:pPr>
      <w:r>
        <w:t>Expected benefits:</w:t>
      </w:r>
      <w:r w:rsidRPr="00B5183D">
        <w:t xml:space="preserve"> </w:t>
      </w:r>
    </w:p>
    <w:p w14:paraId="0FC1826D" w14:textId="77777777" w:rsidR="001C5C12" w:rsidRPr="00B5183D" w:rsidRDefault="001C5C12" w:rsidP="00BB0536">
      <w:pPr>
        <w:pStyle w:val="ListParagraph"/>
        <w:numPr>
          <w:ilvl w:val="0"/>
          <w:numId w:val="22"/>
        </w:numPr>
        <w:ind w:left="360"/>
      </w:pPr>
      <w:r w:rsidRPr="00B5183D">
        <w:rPr>
          <w:b/>
          <w:bCs/>
        </w:rPr>
        <w:t>Improved energy network efficiency</w:t>
      </w:r>
      <w:r w:rsidRPr="00B5183D">
        <w:t xml:space="preserve"> – optimise load distribution, reduce energy cost, and reduce wastage. </w:t>
      </w:r>
    </w:p>
    <w:p w14:paraId="0DB55955" w14:textId="77777777" w:rsidR="001C5C12" w:rsidRPr="00B5183D" w:rsidRDefault="001C5C12" w:rsidP="00BB0536">
      <w:pPr>
        <w:pStyle w:val="ListParagraph"/>
        <w:numPr>
          <w:ilvl w:val="0"/>
          <w:numId w:val="20"/>
        </w:numPr>
        <w:ind w:left="360"/>
      </w:pPr>
      <w:r w:rsidRPr="00B5183D">
        <w:rPr>
          <w:b/>
          <w:bCs/>
        </w:rPr>
        <w:t>Enhanced energy network resilience</w:t>
      </w:r>
      <w:r w:rsidRPr="00B5183D">
        <w:t xml:space="preserve"> – minimise downtime, increased access to energy and improve reliability.</w:t>
      </w:r>
    </w:p>
    <w:p w14:paraId="0130BB2B" w14:textId="77777777" w:rsidR="001C5C12" w:rsidRPr="00B5183D" w:rsidRDefault="001C5C12" w:rsidP="00BB0536">
      <w:pPr>
        <w:pStyle w:val="ListParagraph"/>
        <w:numPr>
          <w:ilvl w:val="0"/>
          <w:numId w:val="20"/>
        </w:numPr>
        <w:ind w:left="360"/>
        <w:rPr>
          <w:b/>
          <w:bCs/>
        </w:rPr>
      </w:pPr>
      <w:r w:rsidRPr="00B5183D">
        <w:rPr>
          <w:b/>
          <w:bCs/>
        </w:rPr>
        <w:t>Reduction in energy costs</w:t>
      </w:r>
      <w:r w:rsidRPr="00B5183D">
        <w:t xml:space="preserve"> – improved cost of doing business and reduce</w:t>
      </w:r>
      <w:r>
        <w:t>d</w:t>
      </w:r>
      <w:r w:rsidRPr="00B5183D">
        <w:t xml:space="preserve"> cost of living.</w:t>
      </w:r>
    </w:p>
    <w:p w14:paraId="45891752" w14:textId="77777777" w:rsidR="001C5C12" w:rsidRPr="00B5183D" w:rsidRDefault="001C5C12" w:rsidP="00BB0536">
      <w:pPr>
        <w:pStyle w:val="ListParagraph"/>
        <w:numPr>
          <w:ilvl w:val="0"/>
          <w:numId w:val="20"/>
        </w:numPr>
        <w:ind w:left="360"/>
        <w:rPr>
          <w:b/>
          <w:bCs/>
        </w:rPr>
      </w:pPr>
      <w:r w:rsidRPr="00B5183D">
        <w:rPr>
          <w:b/>
          <w:bCs/>
        </w:rPr>
        <w:t xml:space="preserve">Enhanced integration of renewable energy sources and </w:t>
      </w:r>
      <w:r>
        <w:rPr>
          <w:b/>
          <w:bCs/>
        </w:rPr>
        <w:t>ability to meet</w:t>
      </w:r>
      <w:r w:rsidRPr="00B5183D">
        <w:rPr>
          <w:b/>
          <w:bCs/>
        </w:rPr>
        <w:t xml:space="preserve"> emissions targets in key markets</w:t>
      </w:r>
      <w:r w:rsidRPr="008F28BC">
        <w:t>.</w:t>
      </w:r>
    </w:p>
    <w:p w14:paraId="23C69E44" w14:textId="77777777" w:rsidR="001C5C12" w:rsidRPr="00B5183D" w:rsidRDefault="001C5C12" w:rsidP="00BB0536">
      <w:pPr>
        <w:pStyle w:val="Heading4"/>
      </w:pPr>
      <w:r w:rsidRPr="00B5183D">
        <w:t xml:space="preserve">Intended technology end users or customers may include: </w:t>
      </w:r>
    </w:p>
    <w:p w14:paraId="15B26D06" w14:textId="77777777" w:rsidR="001C5C12" w:rsidRPr="00B5183D" w:rsidRDefault="00F82254" w:rsidP="00BB0536">
      <w:pPr>
        <w:pStyle w:val="ListParagraph"/>
        <w:numPr>
          <w:ilvl w:val="0"/>
          <w:numId w:val="23"/>
        </w:numPr>
      </w:pPr>
      <w:hyperlink r:id="rId40" w:history="1">
        <w:r w:rsidR="001C5C12" w:rsidRPr="00B5183D">
          <w:rPr>
            <w:rStyle w:val="Hyperlink"/>
          </w:rPr>
          <w:t>Australian Energy Market Operator</w:t>
        </w:r>
      </w:hyperlink>
      <w:r w:rsidR="001C5C12" w:rsidRPr="00B5183D">
        <w:t xml:space="preserve"> (</w:t>
      </w:r>
      <w:hyperlink r:id="rId41" w:history="1">
        <w:r w:rsidR="001C5C12" w:rsidRPr="00B5183D">
          <w:t>AEMO</w:t>
        </w:r>
      </w:hyperlink>
      <w:r w:rsidR="001C5C12" w:rsidRPr="00B5183D">
        <w:t>)</w:t>
      </w:r>
      <w:r w:rsidR="001C5C12" w:rsidRPr="00B5183D" w:rsidDel="00B07AD3">
        <w:t xml:space="preserve"> </w:t>
      </w:r>
      <w:r w:rsidR="001C5C12" w:rsidRPr="00B5183D" w:rsidDel="00C20DB4">
        <w:t>-</w:t>
      </w:r>
      <w:r w:rsidR="001C5C12" w:rsidRPr="00B5183D">
        <w:t xml:space="preserve"> (Western Australia and the Northern Territory are not connected to the National Energy Market)</w:t>
      </w:r>
    </w:p>
    <w:p w14:paraId="790D3C3E" w14:textId="77777777" w:rsidR="001C5C12" w:rsidRPr="00C022B6" w:rsidRDefault="001C5C12" w:rsidP="00BB0536">
      <w:pPr>
        <w:pStyle w:val="ListParagraph"/>
        <w:numPr>
          <w:ilvl w:val="0"/>
          <w:numId w:val="23"/>
        </w:numPr>
      </w:pPr>
      <w:r>
        <w:t xml:space="preserve">Energy </w:t>
      </w:r>
      <w:r w:rsidRPr="00C022B6">
        <w:t>providers</w:t>
      </w:r>
    </w:p>
    <w:p w14:paraId="0BCD1827" w14:textId="77777777" w:rsidR="001C5C12" w:rsidRPr="00C022B6" w:rsidRDefault="001C5C12" w:rsidP="00BB0536">
      <w:pPr>
        <w:pStyle w:val="ListParagraph"/>
        <w:numPr>
          <w:ilvl w:val="0"/>
          <w:numId w:val="23"/>
        </w:numPr>
      </w:pPr>
      <w:r w:rsidRPr="00C022B6">
        <w:t>Mining and resources</w:t>
      </w:r>
    </w:p>
    <w:p w14:paraId="56244CEF" w14:textId="77777777" w:rsidR="001C5C12" w:rsidRPr="00C022B6" w:rsidRDefault="001C5C12" w:rsidP="00BB0536">
      <w:pPr>
        <w:pStyle w:val="ListParagraph"/>
        <w:numPr>
          <w:ilvl w:val="0"/>
          <w:numId w:val="23"/>
        </w:numPr>
      </w:pPr>
      <w:r w:rsidRPr="00C022B6">
        <w:t>Data centres</w:t>
      </w:r>
    </w:p>
    <w:p w14:paraId="49A85294" w14:textId="77777777" w:rsidR="001C5C12" w:rsidRPr="008F28BC" w:rsidRDefault="001C5C12" w:rsidP="001C5C12">
      <w:pPr>
        <w:pStyle w:val="Calloutbox"/>
      </w:pPr>
      <w:r w:rsidRPr="008F28BC">
        <w:t xml:space="preserve">The </w:t>
      </w:r>
      <w:r>
        <w:t>policies and strategies</w:t>
      </w:r>
      <w:r w:rsidRPr="008F28BC">
        <w:t xml:space="preserve"> listed below are </w:t>
      </w:r>
      <w:r>
        <w:t xml:space="preserve">provided </w:t>
      </w:r>
      <w:r w:rsidRPr="008F28BC">
        <w:t xml:space="preserve">for awareness </w:t>
      </w:r>
      <w:r>
        <w:t>of how this challenge aligns with broader government policy</w:t>
      </w:r>
      <w:r w:rsidRPr="008F28BC">
        <w:t xml:space="preserve">. </w:t>
      </w:r>
      <w:r>
        <w:t xml:space="preserve"> Applicants do not need to </w:t>
      </w:r>
      <w:r w:rsidRPr="008F28BC">
        <w:t>address</w:t>
      </w:r>
      <w:r>
        <w:t xml:space="preserve"> these policies </w:t>
      </w:r>
      <w:r w:rsidRPr="008F28BC">
        <w:t>within the</w:t>
      </w:r>
      <w:r>
        <w:t>ir</w:t>
      </w:r>
      <w:r w:rsidRPr="008F28BC">
        <w:t xml:space="preserve"> application. </w:t>
      </w:r>
    </w:p>
    <w:p w14:paraId="6D2D4F98" w14:textId="77777777" w:rsidR="00C022B6" w:rsidRDefault="00C022B6">
      <w:pPr>
        <w:spacing w:before="0" w:after="160" w:line="259" w:lineRule="auto"/>
        <w:rPr>
          <w:rFonts w:asciiTheme="majorHAnsi" w:eastAsiaTheme="majorEastAsia" w:hAnsiTheme="majorHAnsi" w:cstheme="majorBidi"/>
          <w:iCs/>
          <w:color w:val="7A3972" w:themeColor="text2"/>
          <w:sz w:val="32"/>
          <w:szCs w:val="28"/>
        </w:rPr>
      </w:pPr>
      <w:r>
        <w:br w:type="page"/>
      </w:r>
    </w:p>
    <w:p w14:paraId="5974C4DE" w14:textId="3708F1B4" w:rsidR="001C5C12" w:rsidRPr="00B5183D" w:rsidRDefault="001C5C12" w:rsidP="00BB0536">
      <w:pPr>
        <w:pStyle w:val="Heading4"/>
      </w:pPr>
      <w:r w:rsidRPr="00B5183D">
        <w:lastRenderedPageBreak/>
        <w:t>National policies and strategies that align with this challenge include:</w:t>
      </w:r>
    </w:p>
    <w:tbl>
      <w:tblPr>
        <w:tblStyle w:val="GridTable4-Accent1"/>
        <w:tblW w:w="0" w:type="auto"/>
        <w:tblLook w:val="04A0" w:firstRow="1" w:lastRow="0" w:firstColumn="1" w:lastColumn="0" w:noHBand="0" w:noVBand="1"/>
      </w:tblPr>
      <w:tblGrid>
        <w:gridCol w:w="3256"/>
        <w:gridCol w:w="5670"/>
      </w:tblGrid>
      <w:tr w:rsidR="001C5C12" w:rsidRPr="00B5183D" w14:paraId="2F4A293C" w14:textId="77777777" w:rsidTr="00BB0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FB14EF7" w14:textId="77777777" w:rsidR="001C5C12" w:rsidRPr="00B5183D" w:rsidRDefault="001C5C12" w:rsidP="002E04DA">
            <w:r w:rsidRPr="00B5183D">
              <w:t>National strategy, plan, or policy</w:t>
            </w:r>
          </w:p>
        </w:tc>
        <w:tc>
          <w:tcPr>
            <w:tcW w:w="5670" w:type="dxa"/>
          </w:tcPr>
          <w:p w14:paraId="002F3D2A" w14:textId="77777777" w:rsidR="001C5C12" w:rsidRPr="00B5183D" w:rsidRDefault="001C5C12" w:rsidP="002E04DA">
            <w:pPr>
              <w:cnfStyle w:val="100000000000" w:firstRow="1" w:lastRow="0" w:firstColumn="0" w:lastColumn="0" w:oddVBand="0" w:evenVBand="0" w:oddHBand="0" w:evenHBand="0" w:firstRowFirstColumn="0" w:firstRowLastColumn="0" w:lastRowFirstColumn="0" w:lastRowLastColumn="0"/>
            </w:pPr>
            <w:r w:rsidRPr="00B5183D">
              <w:t>Areas of alignment with this challenge</w:t>
            </w:r>
          </w:p>
        </w:tc>
      </w:tr>
      <w:tr w:rsidR="001C5C12" w:rsidRPr="00B5183D" w14:paraId="05BD0D80"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B1CA662" w14:textId="77777777" w:rsidR="001C5C12" w:rsidRPr="00B5183D" w:rsidRDefault="001C5C12" w:rsidP="002E04DA">
            <w:pPr>
              <w:rPr>
                <w:b w:val="0"/>
                <w:bCs w:val="0"/>
              </w:rPr>
            </w:pPr>
            <w:r w:rsidRPr="00B5183D">
              <w:t>National Reconstruction Fund</w:t>
            </w:r>
          </w:p>
        </w:tc>
        <w:tc>
          <w:tcPr>
            <w:tcW w:w="5670" w:type="dxa"/>
          </w:tcPr>
          <w:p w14:paraId="2527DFAF" w14:textId="77777777" w:rsidR="001C5C12" w:rsidRPr="00B5183D" w:rsidRDefault="001C5C12" w:rsidP="002E04DA">
            <w:pPr>
              <w:cnfStyle w:val="000000100000" w:firstRow="0" w:lastRow="0" w:firstColumn="0" w:lastColumn="0" w:oddVBand="0" w:evenVBand="0" w:oddHBand="1" w:evenHBand="0" w:firstRowFirstColumn="0" w:firstRowLastColumn="0" w:lastRowFirstColumn="0" w:lastRowLastColumn="0"/>
              <w:rPr>
                <w:b/>
                <w:bCs/>
              </w:rPr>
            </w:pPr>
            <w:r w:rsidRPr="00B5183D">
              <w:t>Priority 5: Renewables and low emission technologies</w:t>
            </w:r>
          </w:p>
        </w:tc>
      </w:tr>
      <w:tr w:rsidR="001C5C12" w:rsidRPr="00B5183D" w14:paraId="41342467" w14:textId="77777777" w:rsidTr="00BB0536">
        <w:tc>
          <w:tcPr>
            <w:cnfStyle w:val="001000000000" w:firstRow="0" w:lastRow="0" w:firstColumn="1" w:lastColumn="0" w:oddVBand="0" w:evenVBand="0" w:oddHBand="0" w:evenHBand="0" w:firstRowFirstColumn="0" w:firstRowLastColumn="0" w:lastRowFirstColumn="0" w:lastRowLastColumn="0"/>
            <w:tcW w:w="3256" w:type="dxa"/>
          </w:tcPr>
          <w:p w14:paraId="40BBA192" w14:textId="77777777" w:rsidR="001C5C12" w:rsidRPr="00B5183D" w:rsidRDefault="001C5C12" w:rsidP="002E04DA">
            <w:pPr>
              <w:rPr>
                <w:b w:val="0"/>
                <w:bCs w:val="0"/>
              </w:rPr>
            </w:pPr>
            <w:r w:rsidRPr="00B5183D">
              <w:t>Proposed National Science and Research Priorities</w:t>
            </w:r>
          </w:p>
        </w:tc>
        <w:tc>
          <w:tcPr>
            <w:tcW w:w="5670" w:type="dxa"/>
          </w:tcPr>
          <w:p w14:paraId="79322F1C"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 xml:space="preserve">Priority 1: Transitioning to a net zero </w:t>
            </w:r>
            <w:proofErr w:type="gramStart"/>
            <w:r w:rsidRPr="00B5183D">
              <w:t>future</w:t>
            </w:r>
            <w:proofErr w:type="gramEnd"/>
            <w:r w:rsidRPr="00B5183D">
              <w:t xml:space="preserve"> </w:t>
            </w:r>
          </w:p>
          <w:p w14:paraId="1546338B"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Priority 5: Building a secure and resilient nation</w:t>
            </w:r>
          </w:p>
        </w:tc>
      </w:tr>
      <w:tr w:rsidR="001C5C12" w:rsidRPr="00B5183D" w14:paraId="7A60A874"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8655325" w14:textId="77777777" w:rsidR="001C5C12" w:rsidRPr="00B5183D" w:rsidRDefault="001C5C12" w:rsidP="002E04DA">
            <w:pPr>
              <w:rPr>
                <w:b w:val="0"/>
                <w:bCs w:val="0"/>
              </w:rPr>
            </w:pPr>
            <w:r w:rsidRPr="00B5183D">
              <w:t>Critical Technologies Statement</w:t>
            </w:r>
          </w:p>
        </w:tc>
        <w:tc>
          <w:tcPr>
            <w:tcW w:w="5670" w:type="dxa"/>
          </w:tcPr>
          <w:p w14:paraId="3233701C" w14:textId="77777777" w:rsidR="001C5C12" w:rsidRPr="00B5183D" w:rsidRDefault="001C5C12" w:rsidP="002E04DA">
            <w:pPr>
              <w:cnfStyle w:val="000000100000" w:firstRow="0" w:lastRow="0" w:firstColumn="0" w:lastColumn="0" w:oddVBand="0" w:evenVBand="0" w:oddHBand="1" w:evenHBand="0" w:firstRowFirstColumn="0" w:firstRowLastColumn="0" w:lastRowFirstColumn="0" w:lastRowLastColumn="0"/>
              <w:rPr>
                <w:b/>
                <w:bCs/>
              </w:rPr>
            </w:pPr>
            <w:r w:rsidRPr="00B5183D">
              <w:t>Solving national challenges here in Australia – Emissions reduction</w:t>
            </w:r>
          </w:p>
        </w:tc>
      </w:tr>
      <w:tr w:rsidR="001C5C12" w:rsidRPr="00B5183D" w14:paraId="6B1DD8BA" w14:textId="77777777" w:rsidTr="00BB0536">
        <w:tc>
          <w:tcPr>
            <w:cnfStyle w:val="001000000000" w:firstRow="0" w:lastRow="0" w:firstColumn="1" w:lastColumn="0" w:oddVBand="0" w:evenVBand="0" w:oddHBand="0" w:evenHBand="0" w:firstRowFirstColumn="0" w:firstRowLastColumn="0" w:lastRowFirstColumn="0" w:lastRowLastColumn="0"/>
            <w:tcW w:w="3256" w:type="dxa"/>
          </w:tcPr>
          <w:p w14:paraId="692B5283" w14:textId="77777777" w:rsidR="001C5C12" w:rsidRPr="00B5183D" w:rsidRDefault="001C5C12" w:rsidP="002E04DA">
            <w:r w:rsidRPr="00B5183D">
              <w:t>List of Critical Technologies in the National Interest</w:t>
            </w:r>
          </w:p>
        </w:tc>
        <w:tc>
          <w:tcPr>
            <w:tcW w:w="5670" w:type="dxa"/>
          </w:tcPr>
          <w:p w14:paraId="3E096CD7"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Quantum technologies</w:t>
            </w:r>
          </w:p>
          <w:p w14:paraId="0AA15A9C"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Clean energy generation and storage technologies</w:t>
            </w:r>
          </w:p>
        </w:tc>
      </w:tr>
      <w:tr w:rsidR="001C5C12" w:rsidRPr="00B5183D" w14:paraId="7BD53C71"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3105167" w14:textId="77777777" w:rsidR="001C5C12" w:rsidRPr="00B5183D" w:rsidRDefault="001C5C12" w:rsidP="002E04DA">
            <w:pPr>
              <w:rPr>
                <w:b w:val="0"/>
                <w:bCs w:val="0"/>
              </w:rPr>
            </w:pPr>
            <w:r w:rsidRPr="00B5183D">
              <w:t>Net Zero Plan</w:t>
            </w:r>
          </w:p>
        </w:tc>
        <w:tc>
          <w:tcPr>
            <w:tcW w:w="5670" w:type="dxa"/>
          </w:tcPr>
          <w:p w14:paraId="540FC3BE" w14:textId="77777777" w:rsidR="001C5C12" w:rsidRPr="00B5183D" w:rsidRDefault="001C5C12" w:rsidP="002E04DA">
            <w:pPr>
              <w:cnfStyle w:val="000000100000" w:firstRow="0" w:lastRow="0" w:firstColumn="0" w:lastColumn="0" w:oddVBand="0" w:evenVBand="0" w:oddHBand="1" w:evenHBand="0" w:firstRowFirstColumn="0" w:firstRowLastColumn="0" w:lastRowFirstColumn="0" w:lastRowLastColumn="0"/>
            </w:pPr>
            <w:r w:rsidRPr="00B5183D">
              <w:t>Electricity and energy</w:t>
            </w:r>
            <w:r w:rsidRPr="00B5183D">
              <w:br/>
              <w:t>Industry</w:t>
            </w:r>
          </w:p>
        </w:tc>
      </w:tr>
      <w:tr w:rsidR="001C5C12" w:rsidRPr="00B5183D" w14:paraId="592626F1" w14:textId="77777777" w:rsidTr="00BB0536">
        <w:tc>
          <w:tcPr>
            <w:cnfStyle w:val="001000000000" w:firstRow="0" w:lastRow="0" w:firstColumn="1" w:lastColumn="0" w:oddVBand="0" w:evenVBand="0" w:oddHBand="0" w:evenHBand="0" w:firstRowFirstColumn="0" w:firstRowLastColumn="0" w:lastRowFirstColumn="0" w:lastRowLastColumn="0"/>
            <w:tcW w:w="3256" w:type="dxa"/>
          </w:tcPr>
          <w:p w14:paraId="3E7CB4E2" w14:textId="77777777" w:rsidR="001C5C12" w:rsidRPr="00B5183D" w:rsidRDefault="001C5C12" w:rsidP="002E04DA">
            <w:r w:rsidRPr="00D070AE">
              <w:t>First Nations Clean Energy Strategy</w:t>
            </w:r>
          </w:p>
        </w:tc>
        <w:tc>
          <w:tcPr>
            <w:tcW w:w="5670" w:type="dxa"/>
          </w:tcPr>
          <w:p w14:paraId="5134296D"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t>K</w:t>
            </w:r>
            <w:r w:rsidRPr="00D070AE">
              <w:t>ey priority under the National Energy Transformation Partnership.</w:t>
            </w:r>
          </w:p>
        </w:tc>
      </w:tr>
      <w:tr w:rsidR="001C5C12" w:rsidRPr="00B5183D" w14:paraId="1AD483E0"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7B0DE6B" w14:textId="77777777" w:rsidR="001C5C12" w:rsidRPr="00B5183D" w:rsidRDefault="001C5C12" w:rsidP="002E04DA">
            <w:r w:rsidRPr="00B5183D">
              <w:t>National Disaster Risk Reduction Framework</w:t>
            </w:r>
          </w:p>
        </w:tc>
        <w:tc>
          <w:tcPr>
            <w:tcW w:w="5670" w:type="dxa"/>
          </w:tcPr>
          <w:p w14:paraId="475173CE" w14:textId="77777777" w:rsidR="001C5C12" w:rsidRPr="00B5183D" w:rsidRDefault="001C5C12" w:rsidP="002E04DA">
            <w:pPr>
              <w:cnfStyle w:val="000000100000" w:firstRow="0" w:lastRow="0" w:firstColumn="0" w:lastColumn="0" w:oddVBand="0" w:evenVBand="0" w:oddHBand="1" w:evenHBand="0" w:firstRowFirstColumn="0" w:firstRowLastColumn="0" w:lastRowFirstColumn="0" w:lastRowLastColumn="0"/>
            </w:pPr>
            <w:r w:rsidRPr="00B5183D">
              <w:t>Built environment</w:t>
            </w:r>
          </w:p>
        </w:tc>
      </w:tr>
      <w:tr w:rsidR="001C5C12" w:rsidRPr="00B5183D" w14:paraId="705B6D55" w14:textId="77777777" w:rsidTr="00BB0536">
        <w:tc>
          <w:tcPr>
            <w:cnfStyle w:val="001000000000" w:firstRow="0" w:lastRow="0" w:firstColumn="1" w:lastColumn="0" w:oddVBand="0" w:evenVBand="0" w:oddHBand="0" w:evenHBand="0" w:firstRowFirstColumn="0" w:firstRowLastColumn="0" w:lastRowFirstColumn="0" w:lastRowLastColumn="0"/>
            <w:tcW w:w="3256" w:type="dxa"/>
          </w:tcPr>
          <w:p w14:paraId="65D3DA46" w14:textId="77777777" w:rsidR="001C5C12" w:rsidRPr="00B5183D" w:rsidRDefault="001C5C12" w:rsidP="002E04DA">
            <w:pPr>
              <w:rPr>
                <w:b w:val="0"/>
                <w:bCs w:val="0"/>
              </w:rPr>
            </w:pPr>
            <w:r w:rsidRPr="00B5183D">
              <w:t>Powering Australia</w:t>
            </w:r>
          </w:p>
        </w:tc>
        <w:tc>
          <w:tcPr>
            <w:tcW w:w="5670" w:type="dxa"/>
          </w:tcPr>
          <w:p w14:paraId="0B69AE96"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National energy transformation partnership</w:t>
            </w:r>
          </w:p>
        </w:tc>
      </w:tr>
      <w:tr w:rsidR="001C5C12" w:rsidRPr="00B5183D" w14:paraId="0FBDF8BD"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E7E4299" w14:textId="77777777" w:rsidR="001C5C12" w:rsidRPr="00B5183D" w:rsidRDefault="001C5C12" w:rsidP="002E04DA">
            <w:r w:rsidRPr="00B5183D">
              <w:t>Australia’s Long-Term Emissions Reduction Plan</w:t>
            </w:r>
          </w:p>
        </w:tc>
        <w:tc>
          <w:tcPr>
            <w:tcW w:w="5670" w:type="dxa"/>
          </w:tcPr>
          <w:p w14:paraId="4CCDD700" w14:textId="77777777" w:rsidR="001C5C12" w:rsidRPr="00B5183D" w:rsidRDefault="001C5C12" w:rsidP="002E04DA">
            <w:pPr>
              <w:cnfStyle w:val="000000100000" w:firstRow="0" w:lastRow="0" w:firstColumn="0" w:lastColumn="0" w:oddVBand="0" w:evenVBand="0" w:oddHBand="1" w:evenHBand="0" w:firstRowFirstColumn="0" w:firstRowLastColumn="0" w:lastRowFirstColumn="0" w:lastRowLastColumn="0"/>
            </w:pPr>
            <w:r w:rsidRPr="00B5183D">
              <w:t>Achieve net zero emissions by 2050</w:t>
            </w:r>
          </w:p>
        </w:tc>
      </w:tr>
      <w:tr w:rsidR="001C5C12" w:rsidRPr="00B5183D" w14:paraId="25ED1B2F" w14:textId="77777777" w:rsidTr="00BB0536">
        <w:tc>
          <w:tcPr>
            <w:cnfStyle w:val="001000000000" w:firstRow="0" w:lastRow="0" w:firstColumn="1" w:lastColumn="0" w:oddVBand="0" w:evenVBand="0" w:oddHBand="0" w:evenHBand="0" w:firstRowFirstColumn="0" w:firstRowLastColumn="0" w:lastRowFirstColumn="0" w:lastRowLastColumn="0"/>
            <w:tcW w:w="3256" w:type="dxa"/>
          </w:tcPr>
          <w:p w14:paraId="05FC270E" w14:textId="77777777" w:rsidR="001C5C12" w:rsidRPr="00B5183D" w:rsidRDefault="001C5C12" w:rsidP="002E04DA">
            <w:r>
              <w:t xml:space="preserve">The </w:t>
            </w:r>
            <w:r w:rsidRPr="00B5183D">
              <w:t>2021 National Research Infrastructure Roadmap</w:t>
            </w:r>
          </w:p>
        </w:tc>
        <w:tc>
          <w:tcPr>
            <w:tcW w:w="5670" w:type="dxa"/>
          </w:tcPr>
          <w:p w14:paraId="357306FF"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Recycling and clean energy</w:t>
            </w:r>
          </w:p>
          <w:p w14:paraId="18E04659"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Environment and climate</w:t>
            </w:r>
          </w:p>
          <w:p w14:paraId="6EF77269"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rsidRPr="00B5183D">
              <w:t>Frontier technologies and modern manufacturing</w:t>
            </w:r>
          </w:p>
        </w:tc>
      </w:tr>
      <w:tr w:rsidR="001C5C12" w:rsidRPr="00B5183D" w14:paraId="7BF9B2C8"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438A96D" w14:textId="77777777" w:rsidR="001C5C12" w:rsidRPr="00B5183D" w:rsidRDefault="001C5C12" w:rsidP="002E04DA">
            <w:pPr>
              <w:rPr>
                <w:b w:val="0"/>
                <w:bCs w:val="0"/>
              </w:rPr>
            </w:pPr>
            <w:r w:rsidRPr="00B5183D">
              <w:t>CSIRO Megatrends</w:t>
            </w:r>
          </w:p>
        </w:tc>
        <w:tc>
          <w:tcPr>
            <w:tcW w:w="5670" w:type="dxa"/>
          </w:tcPr>
          <w:p w14:paraId="5CC87BC9" w14:textId="77777777" w:rsidR="001C5C12" w:rsidRPr="00B5183D" w:rsidRDefault="001C5C12" w:rsidP="002E04DA">
            <w:pPr>
              <w:cnfStyle w:val="000000100000" w:firstRow="0" w:lastRow="0" w:firstColumn="0" w:lastColumn="0" w:oddVBand="0" w:evenVBand="0" w:oddHBand="1" w:evenHBand="0" w:firstRowFirstColumn="0" w:firstRowLastColumn="0" w:lastRowFirstColumn="0" w:lastRowLastColumn="0"/>
            </w:pPr>
            <w:r w:rsidRPr="00B5183D">
              <w:t>Leaner, cleaner, and greener</w:t>
            </w:r>
          </w:p>
          <w:p w14:paraId="1241A8E9" w14:textId="77777777" w:rsidR="001C5C12" w:rsidRPr="00B5183D" w:rsidRDefault="001C5C12" w:rsidP="002E04DA">
            <w:pPr>
              <w:cnfStyle w:val="000000100000" w:firstRow="0" w:lastRow="0" w:firstColumn="0" w:lastColumn="0" w:oddVBand="0" w:evenVBand="0" w:oddHBand="1" w:evenHBand="0" w:firstRowFirstColumn="0" w:firstRowLastColumn="0" w:lastRowFirstColumn="0" w:lastRowLastColumn="0"/>
              <w:rPr>
                <w:b/>
                <w:bCs/>
              </w:rPr>
            </w:pPr>
            <w:r w:rsidRPr="00B5183D">
              <w:t>Adapting to climate change</w:t>
            </w:r>
          </w:p>
        </w:tc>
      </w:tr>
      <w:tr w:rsidR="001C5C12" w:rsidRPr="00B5183D" w14:paraId="58C68458" w14:textId="77777777" w:rsidTr="00BB0536">
        <w:tc>
          <w:tcPr>
            <w:cnfStyle w:val="001000000000" w:firstRow="0" w:lastRow="0" w:firstColumn="1" w:lastColumn="0" w:oddVBand="0" w:evenVBand="0" w:oddHBand="0" w:evenHBand="0" w:firstRowFirstColumn="0" w:firstRowLastColumn="0" w:lastRowFirstColumn="0" w:lastRowLastColumn="0"/>
            <w:tcW w:w="3256" w:type="dxa"/>
          </w:tcPr>
          <w:p w14:paraId="354C8F14" w14:textId="77777777" w:rsidR="001C5C12" w:rsidRPr="00B5183D" w:rsidRDefault="001C5C12" w:rsidP="002E04DA">
            <w:r>
              <w:t>Critical minerals strategy 2023 – 2030</w:t>
            </w:r>
          </w:p>
        </w:tc>
        <w:tc>
          <w:tcPr>
            <w:tcW w:w="5670" w:type="dxa"/>
          </w:tcPr>
          <w:p w14:paraId="5519C5CF" w14:textId="77777777" w:rsidR="001C5C12" w:rsidRPr="00B5183D" w:rsidRDefault="001C5C12" w:rsidP="002E04DA">
            <w:pPr>
              <w:cnfStyle w:val="000000000000" w:firstRow="0" w:lastRow="0" w:firstColumn="0" w:lastColumn="0" w:oddVBand="0" w:evenVBand="0" w:oddHBand="0" w:evenHBand="0" w:firstRowFirstColumn="0" w:firstRowLastColumn="0" w:lastRowFirstColumn="0" w:lastRowLastColumn="0"/>
            </w:pPr>
            <w:r>
              <w:t>U</w:t>
            </w:r>
            <w:r w:rsidRPr="00C20653">
              <w:t>se our critical minerals to help Australia become a renewable energy superpower</w:t>
            </w:r>
          </w:p>
        </w:tc>
      </w:tr>
    </w:tbl>
    <w:p w14:paraId="735E8A06" w14:textId="77777777" w:rsidR="00C022B6" w:rsidRDefault="00C022B6" w:rsidP="00BB0536">
      <w:bookmarkStart w:id="37" w:name="_Hlk163572713"/>
    </w:p>
    <w:p w14:paraId="55F56E85" w14:textId="77777777" w:rsidR="00C022B6" w:rsidRDefault="00C022B6">
      <w:pPr>
        <w:spacing w:before="0" w:after="160" w:line="259" w:lineRule="auto"/>
      </w:pPr>
      <w:r>
        <w:br w:type="page"/>
      </w:r>
    </w:p>
    <w:p w14:paraId="52CFFE42" w14:textId="0CE20563" w:rsidR="001C5C12" w:rsidRPr="008F28BC" w:rsidRDefault="001C5C12" w:rsidP="001C5C12">
      <w:pPr>
        <w:pStyle w:val="Calloutbox"/>
      </w:pPr>
      <w:r w:rsidRPr="008F28BC">
        <w:lastRenderedPageBreak/>
        <w:t xml:space="preserve">The programs listed below are </w:t>
      </w:r>
      <w:r>
        <w:t xml:space="preserve">provided </w:t>
      </w:r>
      <w:r w:rsidRPr="008F28BC">
        <w:t>for awareness</w:t>
      </w:r>
      <w:r>
        <w:t xml:space="preserve">. Applicants do not need to </w:t>
      </w:r>
      <w:r w:rsidRPr="008F28BC">
        <w:t>address</w:t>
      </w:r>
      <w:r>
        <w:t xml:space="preserve"> these programs</w:t>
      </w:r>
      <w:r w:rsidRPr="008F28BC">
        <w:t xml:space="preserve"> within the</w:t>
      </w:r>
      <w:r>
        <w:t>ir</w:t>
      </w:r>
      <w:r w:rsidRPr="008F28BC">
        <w:t xml:space="preserve"> application. </w:t>
      </w:r>
    </w:p>
    <w:bookmarkEnd w:id="37"/>
    <w:p w14:paraId="1059FF19" w14:textId="77777777" w:rsidR="001C5C12" w:rsidRPr="00B5183D" w:rsidRDefault="001C5C12" w:rsidP="00BB0536">
      <w:pPr>
        <w:pStyle w:val="Heading4"/>
      </w:pPr>
      <w:r w:rsidRPr="00B5183D">
        <w:t xml:space="preserve">National programs that align with this challenge include: </w:t>
      </w:r>
    </w:p>
    <w:p w14:paraId="679C22BE" w14:textId="281A3E1A" w:rsidR="001C5C12" w:rsidRDefault="00F82254" w:rsidP="001C5C12">
      <w:hyperlink r:id="rId42" w:history="1">
        <w:r w:rsidR="001C5C12" w:rsidRPr="00B5183D">
          <w:rPr>
            <w:rStyle w:val="Hyperlink"/>
          </w:rPr>
          <w:t>Blue Economy CRC</w:t>
        </w:r>
      </w:hyperlink>
      <w:r w:rsidR="001C5C12" w:rsidRPr="00B5183D">
        <w:t xml:space="preserve"> – $70 million (2019–2029)</w:t>
      </w:r>
    </w:p>
    <w:p w14:paraId="6BEDC9DB" w14:textId="09FEFDAC" w:rsidR="001C5C12" w:rsidRDefault="00F82254" w:rsidP="001C5C12">
      <w:hyperlink r:id="rId43" w:history="1">
        <w:r w:rsidR="001C5C12" w:rsidRPr="00B5183D">
          <w:rPr>
            <w:rStyle w:val="Hyperlink"/>
          </w:rPr>
          <w:t>Future Battery Industries CRC</w:t>
        </w:r>
      </w:hyperlink>
      <w:r w:rsidR="001C5C12" w:rsidRPr="00B5183D">
        <w:t xml:space="preserve"> – $25 million (2019–2025)</w:t>
      </w:r>
    </w:p>
    <w:p w14:paraId="1C65D9E9" w14:textId="09563D9B" w:rsidR="001C5C12" w:rsidRPr="00B5183D" w:rsidRDefault="00F82254" w:rsidP="001C5C12">
      <w:hyperlink r:id="rId44" w:history="1">
        <w:r w:rsidR="001C5C12" w:rsidRPr="00B5183D">
          <w:rPr>
            <w:rStyle w:val="Hyperlink"/>
          </w:rPr>
          <w:t>Future Energy Exports CRC</w:t>
        </w:r>
      </w:hyperlink>
      <w:r w:rsidR="001C5C12" w:rsidRPr="00B5183D">
        <w:t xml:space="preserve"> – $40 million</w:t>
      </w:r>
      <w:r w:rsidR="001C5C12" w:rsidRPr="00B5183D" w:rsidDel="00C249DF">
        <w:t xml:space="preserve"> </w:t>
      </w:r>
      <w:r w:rsidR="001C5C12" w:rsidRPr="00B5183D">
        <w:t>(2020–2030)</w:t>
      </w:r>
    </w:p>
    <w:p w14:paraId="0A658329" w14:textId="4F898A2A" w:rsidR="001C5C12" w:rsidRPr="00B5183D" w:rsidRDefault="00F82254" w:rsidP="001C5C12">
      <w:hyperlink r:id="rId45" w:history="1">
        <w:r w:rsidR="001C5C12" w:rsidRPr="00B5183D">
          <w:rPr>
            <w:rStyle w:val="Hyperlink"/>
          </w:rPr>
          <w:t>Heavy Industry Low–carbon Transition (HILT) CRC</w:t>
        </w:r>
      </w:hyperlink>
      <w:r w:rsidR="001C5C12" w:rsidRPr="00B5183D">
        <w:t xml:space="preserve"> – $39 million (2021–2031)</w:t>
      </w:r>
    </w:p>
    <w:p w14:paraId="73656241" w14:textId="3DB2ACA0" w:rsidR="001C5C12" w:rsidRDefault="00F82254" w:rsidP="001C5C12">
      <w:hyperlink r:id="rId46" w:history="1">
        <w:r w:rsidR="001C5C12" w:rsidRPr="00B5183D">
          <w:rPr>
            <w:rStyle w:val="Hyperlink"/>
          </w:rPr>
          <w:t>Marine Bioproducts CRC</w:t>
        </w:r>
      </w:hyperlink>
      <w:r w:rsidR="001C5C12" w:rsidRPr="00B5183D">
        <w:t xml:space="preserve"> – $59 million (2021–2031)</w:t>
      </w:r>
    </w:p>
    <w:p w14:paraId="137757D2" w14:textId="77777777" w:rsidR="001C5C12" w:rsidRPr="00B5183D" w:rsidRDefault="00F82254" w:rsidP="001C5C12">
      <w:hyperlink r:id="rId47" w:history="1">
        <w:r w:rsidR="001C5C12" w:rsidRPr="00B5183D">
          <w:rPr>
            <w:rStyle w:val="Hyperlink"/>
          </w:rPr>
          <w:t>Regional Microgrids Program</w:t>
        </w:r>
      </w:hyperlink>
      <w:r w:rsidR="001C5C12" w:rsidRPr="00B5183D">
        <w:t xml:space="preserve"> – renewable energy technologies, energy efficiency technologies and electrification technologies (2023)</w:t>
      </w:r>
    </w:p>
    <w:p w14:paraId="544FACD7" w14:textId="77777777" w:rsidR="001C5C12" w:rsidRPr="00B5183D" w:rsidRDefault="001C5C12" w:rsidP="00BB0536">
      <w:pPr>
        <w:pStyle w:val="Heading4"/>
      </w:pPr>
      <w:r w:rsidRPr="00B5183D">
        <w:t xml:space="preserve">International initiatives that align with this challenge include: </w:t>
      </w:r>
    </w:p>
    <w:p w14:paraId="0FA6A493" w14:textId="77777777" w:rsidR="001C5C12" w:rsidRDefault="001C5C12" w:rsidP="001C5C12">
      <w:r>
        <w:t>Switzerland</w:t>
      </w:r>
      <w:r w:rsidRPr="00A87213">
        <w:t> </w:t>
      </w:r>
      <w:hyperlink r:id="rId48" w:history="1">
        <w:r w:rsidRPr="00A87213">
          <w:rPr>
            <w:rStyle w:val="Hyperlink"/>
          </w:rPr>
          <w:t>Geneva Science and Diplomacy Anticipator</w:t>
        </w:r>
      </w:hyperlink>
      <w:r w:rsidRPr="00A87213">
        <w:t> (GESDA)</w:t>
      </w:r>
      <w:r>
        <w:t xml:space="preserve"> – </w:t>
      </w:r>
      <w:r w:rsidRPr="00A87213">
        <w:t>The </w:t>
      </w:r>
      <w:hyperlink r:id="rId49" w:history="1">
        <w:r w:rsidRPr="00A87213">
          <w:rPr>
            <w:rStyle w:val="Hyperlink"/>
          </w:rPr>
          <w:t>Open Quantum Institute</w:t>
        </w:r>
      </w:hyperlink>
      <w:r w:rsidRPr="00A87213">
        <w:t> (OQI) three-year CERN-based pilot will build on the efforts to date to help unleash the full power of quantum computing for the benefit of all</w:t>
      </w:r>
      <w:r>
        <w:t xml:space="preserve"> (2024)</w:t>
      </w:r>
    </w:p>
    <w:p w14:paraId="07046789" w14:textId="77777777" w:rsidR="001C5C12" w:rsidRPr="00B5183D" w:rsidRDefault="001C5C12" w:rsidP="001C5C12">
      <w:r w:rsidRPr="00B5183D">
        <w:t xml:space="preserve">UK </w:t>
      </w:r>
      <w:hyperlink r:id="rId50" w:history="1">
        <w:r w:rsidRPr="00B5183D">
          <w:rPr>
            <w:rStyle w:val="Hyperlink"/>
          </w:rPr>
          <w:t>Quantum Strategy Mission number 5</w:t>
        </w:r>
      </w:hyperlink>
      <w:r w:rsidRPr="00B5183D">
        <w:t xml:space="preserve"> – By 2030, mobile, networked quantum sensors will have unlocked new situational awareness capabilities, exploited across critical infrastructure in the transport, telecoms, energy, and defence sectors (2023)</w:t>
      </w:r>
    </w:p>
    <w:p w14:paraId="4F0494DC" w14:textId="77777777" w:rsidR="001C5C12" w:rsidRPr="00B5183D" w:rsidRDefault="001C5C12" w:rsidP="001C5C12">
      <w:r w:rsidRPr="00B5183D">
        <w:t>US</w:t>
      </w:r>
      <w:r>
        <w:t xml:space="preserve"> </w:t>
      </w:r>
      <w:hyperlink r:id="rId51" w:history="1">
        <w:r w:rsidRPr="00B5183D">
          <w:rPr>
            <w:rStyle w:val="Hyperlink"/>
          </w:rPr>
          <w:t>Advanced Scientific Computing Research</w:t>
        </w:r>
      </w:hyperlink>
      <w:r w:rsidRPr="00B5183D">
        <w:t xml:space="preserve"> – for Research on Quantum Networks (2022) </w:t>
      </w:r>
    </w:p>
    <w:p w14:paraId="7DCFAE8F" w14:textId="77777777" w:rsidR="001C5C12" w:rsidRPr="00B5183D" w:rsidRDefault="001C5C12" w:rsidP="001C5C12">
      <w:pPr>
        <w:spacing w:before="0" w:after="160" w:line="259" w:lineRule="auto"/>
        <w:rPr>
          <w:b/>
          <w:bCs/>
        </w:rPr>
      </w:pPr>
    </w:p>
    <w:p w14:paraId="0968A1D3" w14:textId="77777777" w:rsidR="00596223" w:rsidRPr="004548DB" w:rsidRDefault="00596223" w:rsidP="00596223">
      <w:pPr>
        <w:rPr>
          <w:rFonts w:eastAsia="Gotham Narrow" w:cstheme="minorHAnsi"/>
          <w:szCs w:val="20"/>
        </w:rPr>
      </w:pPr>
      <w:r w:rsidRPr="004548DB">
        <w:rPr>
          <w:rFonts w:cstheme="minorHAnsi"/>
          <w:szCs w:val="20"/>
        </w:rPr>
        <w:br w:type="page"/>
      </w:r>
    </w:p>
    <w:p w14:paraId="123443D0" w14:textId="6316C3BF" w:rsidR="00E86BD4" w:rsidRPr="00E86BD4" w:rsidRDefault="00596223" w:rsidP="00BB0536">
      <w:pPr>
        <w:pStyle w:val="Calloutboxpurplestrong"/>
      </w:pPr>
      <w:bookmarkStart w:id="38" w:name="_Toc161672114"/>
      <w:r w:rsidRPr="00E86BD4">
        <w:lastRenderedPageBreak/>
        <w:t>CTCP: Round 1 – Stage 1 Feasibility Challenge 2</w:t>
      </w:r>
    </w:p>
    <w:p w14:paraId="31F9515A" w14:textId="77777777" w:rsidR="00E86BD4" w:rsidRDefault="00E86BD4" w:rsidP="00E86BD4">
      <w:pPr>
        <w:pStyle w:val="Heading2"/>
      </w:pPr>
      <w:bookmarkStart w:id="39" w:name="_Toc164854368"/>
      <w:bookmarkStart w:id="40" w:name="_Toc164157218"/>
      <w:bookmarkStart w:id="41" w:name="_Toc160526535"/>
      <w:bookmarkStart w:id="42" w:name="_Hlk160464499"/>
      <w:bookmarkEnd w:id="38"/>
      <w:r w:rsidRPr="007320C9">
        <w:t xml:space="preserve">Challenge </w:t>
      </w:r>
      <w:r>
        <w:t>2</w:t>
      </w:r>
      <w:bookmarkEnd w:id="39"/>
    </w:p>
    <w:p w14:paraId="786279F7" w14:textId="3998B234" w:rsidR="00E86BD4" w:rsidRPr="007320C9" w:rsidRDefault="00E86BD4" w:rsidP="00BB0536">
      <w:pPr>
        <w:pStyle w:val="Heading3"/>
      </w:pPr>
      <w:bookmarkStart w:id="43" w:name="_Toc164854369"/>
      <w:r w:rsidRPr="007320C9">
        <w:t xml:space="preserve">Improve medical imaging and medical sensors to support diagnosis, treatment of disease and monitoring activities inside the human </w:t>
      </w:r>
      <w:proofErr w:type="gramStart"/>
      <w:r w:rsidRPr="007320C9">
        <w:t>body</w:t>
      </w:r>
      <w:bookmarkEnd w:id="40"/>
      <w:bookmarkEnd w:id="43"/>
      <w:proofErr w:type="gramEnd"/>
      <w:r w:rsidRPr="007320C9">
        <w:t xml:space="preserve"> </w:t>
      </w:r>
      <w:bookmarkEnd w:id="41"/>
    </w:p>
    <w:p w14:paraId="694E30BD" w14:textId="77777777" w:rsidR="00E86BD4" w:rsidRDefault="00E86BD4" w:rsidP="00BB0536">
      <w:pPr>
        <w:pStyle w:val="Heading4"/>
      </w:pPr>
      <w:bookmarkStart w:id="44" w:name="_Hlk161237404"/>
      <w:r w:rsidRPr="00B5183D">
        <w:t>Challenge Overview</w:t>
      </w:r>
    </w:p>
    <w:p w14:paraId="77B0C329" w14:textId="19B05F24" w:rsidR="00E86BD4" w:rsidRDefault="00E86BD4" w:rsidP="00E86BD4">
      <w:bookmarkStart w:id="45" w:name="_Hlk163576006"/>
      <w:r>
        <w:t xml:space="preserve">The Australian Institute of Health and Welfare </w:t>
      </w:r>
      <w:r w:rsidRPr="005D4EEC">
        <w:t>reports that the primary causes of mortality in Australia include coronary heart disease, dementia, and cerebrovascular disease</w:t>
      </w:r>
      <w:r>
        <w:t>. In</w:t>
      </w:r>
      <w:r w:rsidRPr="007B5069">
        <w:t xml:space="preserve"> 2020–21, 17.8 million (69%) Australians accessed 204.1 million Medicare-subsidised pathology tests, imaging scans and a range of diagnostic services</w:t>
      </w:r>
      <w:r w:rsidR="00512945">
        <w:t>.</w:t>
      </w:r>
      <w:r>
        <w:rPr>
          <w:rStyle w:val="FootnoteReference"/>
        </w:rPr>
        <w:footnoteReference w:id="6"/>
      </w:r>
      <w:r>
        <w:t xml:space="preserve"> </w:t>
      </w:r>
    </w:p>
    <w:bookmarkEnd w:id="45"/>
    <w:p w14:paraId="533BE970" w14:textId="77777777" w:rsidR="00E86BD4" w:rsidRDefault="00E86BD4" w:rsidP="00E86BD4">
      <w:r w:rsidRPr="005D4EEC">
        <w:t>Chronic conditions pose a significant health burden</w:t>
      </w:r>
      <w:r>
        <w:t>, and often</w:t>
      </w:r>
      <w:r w:rsidRPr="005D4EEC">
        <w:t xml:space="preserve"> require ongoing management </w:t>
      </w:r>
      <w:r>
        <w:t xml:space="preserve">that </w:t>
      </w:r>
      <w:r w:rsidRPr="005D4EEC">
        <w:t>can have a profound impact on individuals' quality of life.</w:t>
      </w:r>
      <w:r>
        <w:t xml:space="preserve"> New technologies including those that can lead to earlier detection have the potential to reduce the mortality rates for these conditions. </w:t>
      </w:r>
    </w:p>
    <w:p w14:paraId="3C775D1B" w14:textId="65E1E5BA" w:rsidR="00E86BD4" w:rsidRDefault="00E86BD4" w:rsidP="00E86BD4">
      <w:r w:rsidRPr="005D4EEC">
        <w:t>In First Nations communities, where health disparities are more pronounced, these technologies could be instrumental in providing targeted interventions, thus contributing to closing the life expectancy gap</w:t>
      </w:r>
      <w:r>
        <w:t xml:space="preserve"> between Indigenous and non-Indigenous Australians</w:t>
      </w:r>
      <w:r w:rsidR="00512945">
        <w:t>.</w:t>
      </w:r>
      <w:r>
        <w:rPr>
          <w:rStyle w:val="FootnoteReference"/>
        </w:rPr>
        <w:footnoteReference w:id="7"/>
      </w:r>
      <w:r>
        <w:t xml:space="preserve"> </w:t>
      </w:r>
    </w:p>
    <w:p w14:paraId="4A3BB278" w14:textId="77777777" w:rsidR="00E86BD4" w:rsidRPr="00B5183D" w:rsidRDefault="00E86BD4" w:rsidP="00E86BD4">
      <w:r w:rsidRPr="00B5183D">
        <w:t xml:space="preserve">This challenge invites applicants to harness the capabilities of quantum technology to advance the field of medical imaging and sensing. The challenge aims to explore innovative solutions that improve the lives of Australians by enhancing the precision, resolution, speed, contrast capabilities and depth of imaging techniques, </w:t>
      </w:r>
      <w:r>
        <w:t xml:space="preserve">thus </w:t>
      </w:r>
      <w:r w:rsidRPr="00B5183D">
        <w:t>advancing our understanding of the human body for improved diagnosis and medical treatments.</w:t>
      </w:r>
    </w:p>
    <w:p w14:paraId="6F3A8161" w14:textId="77777777" w:rsidR="00E86BD4" w:rsidRPr="00B5183D" w:rsidRDefault="00E86BD4" w:rsidP="00E86BD4">
      <w:pPr>
        <w:rPr>
          <w:b/>
          <w:bCs/>
        </w:rPr>
      </w:pPr>
      <w:r w:rsidRPr="00B5183D">
        <w:t xml:space="preserve">Applicants are encouraged to develop quantum–based approaches that advance, improve, or surpass classical methods, offering breakthroughs in resolution, sensitivity, and real–time data collection. Areas of interest may include, but are not limited to, the development of technologies that assist in medical diagnoses, molecule identification/interaction, improved sensitivity, and improved timing mechanisms. </w:t>
      </w:r>
      <w:bookmarkEnd w:id="42"/>
    </w:p>
    <w:p w14:paraId="4CCF4F2F" w14:textId="77777777" w:rsidR="00E86BD4" w:rsidRPr="00B5183D" w:rsidRDefault="00E86BD4" w:rsidP="00BB0536">
      <w:pPr>
        <w:pStyle w:val="Heading4"/>
      </w:pPr>
      <w:r w:rsidRPr="00B5183D">
        <w:t>What is the relevance of the challenge to industry?</w:t>
      </w:r>
    </w:p>
    <w:p w14:paraId="481D960A" w14:textId="258EDB84" w:rsidR="00E86BD4" w:rsidRPr="00B5183D" w:rsidRDefault="00E86BD4" w:rsidP="00E86BD4">
      <w:pPr>
        <w:pStyle w:val="ListParagraph"/>
        <w:numPr>
          <w:ilvl w:val="0"/>
          <w:numId w:val="25"/>
        </w:numPr>
      </w:pPr>
      <w:r w:rsidRPr="00B5183D">
        <w:t>Reduction in size and cost of medical imaging devices (which are currently prohibitively large)</w:t>
      </w:r>
      <w:r w:rsidR="00512945">
        <w:t>.</w:t>
      </w:r>
      <w:r w:rsidRPr="00B5183D">
        <w:rPr>
          <w:rStyle w:val="FootnoteReference"/>
        </w:rPr>
        <w:footnoteReference w:id="8"/>
      </w:r>
    </w:p>
    <w:p w14:paraId="3211E0EA" w14:textId="77777777" w:rsidR="00E86BD4" w:rsidRPr="00B5183D" w:rsidRDefault="00E86BD4" w:rsidP="00E86BD4">
      <w:pPr>
        <w:pStyle w:val="ListParagraph"/>
        <w:numPr>
          <w:ilvl w:val="0"/>
          <w:numId w:val="25"/>
        </w:numPr>
      </w:pPr>
      <w:r w:rsidRPr="00B5183D">
        <w:t>Quantum sensors may offer improvements in performance over classical systems.</w:t>
      </w:r>
    </w:p>
    <w:p w14:paraId="72EE3E55" w14:textId="77777777" w:rsidR="00E86BD4" w:rsidRPr="00B5183D" w:rsidRDefault="00E86BD4" w:rsidP="00E86BD4">
      <w:pPr>
        <w:pStyle w:val="ListParagraph"/>
        <w:numPr>
          <w:ilvl w:val="0"/>
          <w:numId w:val="25"/>
        </w:numPr>
      </w:pPr>
      <w:r w:rsidRPr="00B5183D">
        <w:t>Identification of molecules may help improving diagnoses and identification of molecular interactions.</w:t>
      </w:r>
    </w:p>
    <w:p w14:paraId="38DA2E1A" w14:textId="77777777" w:rsidR="00E86BD4" w:rsidRPr="00B5183D" w:rsidRDefault="00E86BD4" w:rsidP="00E86BD4">
      <w:pPr>
        <w:pStyle w:val="ListParagraph"/>
        <w:numPr>
          <w:ilvl w:val="0"/>
          <w:numId w:val="25"/>
        </w:numPr>
      </w:pPr>
      <w:r w:rsidRPr="00B5183D">
        <w:t xml:space="preserve">Development of more sensitive and portable medical imaging devices. </w:t>
      </w:r>
    </w:p>
    <w:p w14:paraId="25277297" w14:textId="6702A82C" w:rsidR="00E86BD4" w:rsidRDefault="00E86BD4" w:rsidP="00E86BD4">
      <w:pPr>
        <w:pStyle w:val="ListParagraph"/>
        <w:numPr>
          <w:ilvl w:val="0"/>
          <w:numId w:val="25"/>
        </w:numPr>
      </w:pPr>
      <w:r w:rsidRPr="00B5183D">
        <w:t>Increasing accessibility to medical equipment in remote regions.</w:t>
      </w:r>
    </w:p>
    <w:p w14:paraId="6BFA8882" w14:textId="77777777" w:rsidR="00E86BD4" w:rsidRDefault="00E86BD4">
      <w:pPr>
        <w:spacing w:before="0" w:after="160" w:line="259" w:lineRule="auto"/>
      </w:pPr>
      <w:r>
        <w:br w:type="page"/>
      </w:r>
    </w:p>
    <w:p w14:paraId="7563C7D8" w14:textId="77777777" w:rsidR="00E86BD4" w:rsidRPr="008F28BC" w:rsidRDefault="00E86BD4" w:rsidP="00E86BD4">
      <w:pPr>
        <w:pStyle w:val="Calloutbox"/>
      </w:pPr>
      <w:r>
        <w:lastRenderedPageBreak/>
        <w:t xml:space="preserve">Please note that the possible solutions and expected benefits listed below are provided as suggestions. Certain suggestions may be more ambitious than others.  Applicants should not feel limited to the suggestions listed below and are encouraged to present other innovative solutions which address the challenge.  </w:t>
      </w:r>
    </w:p>
    <w:p w14:paraId="0FF6A421" w14:textId="77777777" w:rsidR="00E86BD4" w:rsidRPr="00B5183D" w:rsidRDefault="00E86BD4" w:rsidP="00BB0536">
      <w:pPr>
        <w:pStyle w:val="Heading4"/>
      </w:pPr>
      <w:r w:rsidRPr="00B5183D">
        <w:t xml:space="preserve">Possible solution elements may include: </w:t>
      </w:r>
    </w:p>
    <w:p w14:paraId="040346CE" w14:textId="77777777" w:rsidR="00E86BD4" w:rsidRPr="00B5183D" w:rsidRDefault="00E86BD4" w:rsidP="00E86BD4">
      <w:pPr>
        <w:pStyle w:val="ListParagraph"/>
        <w:numPr>
          <w:ilvl w:val="0"/>
          <w:numId w:val="29"/>
        </w:numPr>
      </w:pPr>
      <w:r w:rsidRPr="00B5183D">
        <w:rPr>
          <w:b/>
        </w:rPr>
        <w:t>Quantum–enhanced imaging techniques</w:t>
      </w:r>
      <w:r w:rsidRPr="00B5183D">
        <w:t xml:space="preserve"> – improve traditional imaging modalities (e.g., MRI, CT, PET, OPM</w:t>
      </w:r>
      <w:r w:rsidRPr="00B5183D">
        <w:rPr>
          <w:rStyle w:val="FootnoteReference"/>
        </w:rPr>
        <w:footnoteReference w:id="9"/>
      </w:r>
      <w:r w:rsidRPr="00B5183D">
        <w:t>) with increased resolution, reduced scan time and enhanced contrast.</w:t>
      </w:r>
    </w:p>
    <w:p w14:paraId="0CC004E3" w14:textId="77777777" w:rsidR="00E86BD4" w:rsidRPr="00B5183D" w:rsidRDefault="00E86BD4" w:rsidP="00E86BD4">
      <w:pPr>
        <w:pStyle w:val="ListParagraph"/>
        <w:numPr>
          <w:ilvl w:val="0"/>
          <w:numId w:val="26"/>
        </w:numPr>
      </w:pPr>
      <w:r w:rsidRPr="00B5183D">
        <w:rPr>
          <w:b/>
          <w:bCs/>
        </w:rPr>
        <w:t>Quantum sensing for biomedical applications</w:t>
      </w:r>
      <w:r w:rsidRPr="00B5183D">
        <w:t xml:space="preserve"> – sensing for biomarker detection, disease monitoring, real time neurological measurements, improving on classical technologies.</w:t>
      </w:r>
    </w:p>
    <w:p w14:paraId="3D8826D9" w14:textId="77777777" w:rsidR="00E86BD4" w:rsidRPr="00B5183D" w:rsidRDefault="00E86BD4" w:rsidP="00E86BD4">
      <w:pPr>
        <w:pStyle w:val="ListParagraph"/>
        <w:numPr>
          <w:ilvl w:val="0"/>
          <w:numId w:val="26"/>
        </w:numPr>
      </w:pPr>
      <w:r w:rsidRPr="00B5183D">
        <w:rPr>
          <w:b/>
          <w:bCs/>
        </w:rPr>
        <w:t xml:space="preserve">Real time data processing </w:t>
      </w:r>
      <w:r w:rsidRPr="00B5183D">
        <w:t>– quantum algorithms for rapid data processing and analysis, enabling real time extraction of important information.</w:t>
      </w:r>
    </w:p>
    <w:p w14:paraId="2B471705" w14:textId="77777777" w:rsidR="00E86BD4" w:rsidRPr="00B5183D" w:rsidRDefault="00E86BD4" w:rsidP="00E86BD4">
      <w:pPr>
        <w:pStyle w:val="ListParagraph"/>
        <w:numPr>
          <w:ilvl w:val="0"/>
          <w:numId w:val="26"/>
        </w:numPr>
      </w:pPr>
      <w:r w:rsidRPr="00B5183D">
        <w:rPr>
          <w:b/>
          <w:bCs/>
        </w:rPr>
        <w:t xml:space="preserve">Sport integrity </w:t>
      </w:r>
      <w:r w:rsidRPr="00B5183D">
        <w:t xml:space="preserve">– quantum technologies to detect illicit substance and anomalous performances of athletes to ensure fairer practice. </w:t>
      </w:r>
    </w:p>
    <w:p w14:paraId="614AD988" w14:textId="77777777" w:rsidR="00E86BD4" w:rsidRPr="00B5183D" w:rsidRDefault="00E86BD4" w:rsidP="00E86BD4">
      <w:pPr>
        <w:pStyle w:val="ListParagraph"/>
        <w:numPr>
          <w:ilvl w:val="0"/>
          <w:numId w:val="26"/>
        </w:numPr>
        <w:rPr>
          <w:b/>
        </w:rPr>
      </w:pPr>
      <w:r w:rsidRPr="00B5183D">
        <w:rPr>
          <w:b/>
          <w:bCs/>
        </w:rPr>
        <w:t>Quantum cryptography</w:t>
      </w:r>
      <w:r w:rsidRPr="00B5183D">
        <w:t xml:space="preserve"> – protection of personal data. </w:t>
      </w:r>
      <w:bookmarkStart w:id="46" w:name="_Hlk153532120"/>
    </w:p>
    <w:p w14:paraId="7214F05B" w14:textId="77777777" w:rsidR="00E86BD4" w:rsidRPr="00B5183D" w:rsidRDefault="00E86BD4" w:rsidP="00BB0536">
      <w:pPr>
        <w:pStyle w:val="Heading4"/>
      </w:pPr>
      <w:r>
        <w:t>Expected benefits:</w:t>
      </w:r>
      <w:r w:rsidRPr="00B5183D">
        <w:t xml:space="preserve"> </w:t>
      </w:r>
    </w:p>
    <w:p w14:paraId="2855D97B" w14:textId="77777777" w:rsidR="00E86BD4" w:rsidRPr="00B5183D" w:rsidRDefault="00E86BD4" w:rsidP="00E86BD4">
      <w:pPr>
        <w:pStyle w:val="ListParagraph"/>
        <w:numPr>
          <w:ilvl w:val="0"/>
          <w:numId w:val="27"/>
        </w:numPr>
      </w:pPr>
      <w:bookmarkStart w:id="47" w:name="_Hlk151623806"/>
      <w:bookmarkEnd w:id="46"/>
      <w:r w:rsidRPr="00B5183D">
        <w:rPr>
          <w:b/>
          <w:bCs/>
        </w:rPr>
        <w:t>Enhanced medical imaging</w:t>
      </w:r>
      <w:r w:rsidRPr="00B5183D">
        <w:t xml:space="preserve"> – achieve higher resolutions, faster scans, and improved diagnostics.</w:t>
      </w:r>
    </w:p>
    <w:bookmarkEnd w:id="47"/>
    <w:p w14:paraId="0085186F" w14:textId="77777777" w:rsidR="00E86BD4" w:rsidRPr="00B5183D" w:rsidRDefault="00E86BD4" w:rsidP="00E86BD4">
      <w:pPr>
        <w:pStyle w:val="ListParagraph"/>
        <w:numPr>
          <w:ilvl w:val="0"/>
          <w:numId w:val="27"/>
        </w:numPr>
      </w:pPr>
      <w:r w:rsidRPr="00B5183D">
        <w:rPr>
          <w:b/>
          <w:bCs/>
        </w:rPr>
        <w:t>Enhanced disease detection</w:t>
      </w:r>
      <w:r w:rsidRPr="00B5183D">
        <w:t xml:space="preserve"> – improved diagnostic accuracy and precision, enabling earlier disease detection and resulting in reduced strain on the medical system.</w:t>
      </w:r>
    </w:p>
    <w:p w14:paraId="0D06F826" w14:textId="77777777" w:rsidR="00E86BD4" w:rsidRPr="00B5183D" w:rsidRDefault="00E86BD4" w:rsidP="00E86BD4">
      <w:pPr>
        <w:pStyle w:val="ListParagraph"/>
        <w:numPr>
          <w:ilvl w:val="0"/>
          <w:numId w:val="27"/>
        </w:numPr>
      </w:pPr>
      <w:r w:rsidRPr="00B5183D">
        <w:rPr>
          <w:b/>
          <w:bCs/>
        </w:rPr>
        <w:t>Real time diagnostics</w:t>
      </w:r>
      <w:r w:rsidRPr="00B5183D">
        <w:t xml:space="preserve"> – enables rapid analysis of imaging and sensing data, for quicker diagnosis and timely decision making.</w:t>
      </w:r>
    </w:p>
    <w:p w14:paraId="5F6A8885" w14:textId="77777777" w:rsidR="00E86BD4" w:rsidRPr="00B5183D" w:rsidRDefault="00E86BD4" w:rsidP="00E86BD4">
      <w:pPr>
        <w:pStyle w:val="ListParagraph"/>
        <w:numPr>
          <w:ilvl w:val="0"/>
          <w:numId w:val="27"/>
        </w:numPr>
      </w:pPr>
      <w:r w:rsidRPr="00B5183D">
        <w:rPr>
          <w:b/>
          <w:bCs/>
        </w:rPr>
        <w:t>Streamlined imaging practices</w:t>
      </w:r>
      <w:r w:rsidRPr="00B5183D">
        <w:t xml:space="preserve"> – reduce the need for patients to remain still for extended periods during scans, leading to increased accuracy and shorter consultation durations. </w:t>
      </w:r>
    </w:p>
    <w:p w14:paraId="15043CEF" w14:textId="77777777" w:rsidR="00E86BD4" w:rsidRPr="00B5183D" w:rsidRDefault="00E86BD4" w:rsidP="00E86BD4">
      <w:pPr>
        <w:pStyle w:val="ListParagraph"/>
        <w:numPr>
          <w:ilvl w:val="0"/>
          <w:numId w:val="27"/>
        </w:numPr>
      </w:pPr>
      <w:r w:rsidRPr="00B5183D">
        <w:rPr>
          <w:b/>
          <w:bCs/>
        </w:rPr>
        <w:t>Improved patient outcomes</w:t>
      </w:r>
      <w:r w:rsidRPr="00B5183D">
        <w:t xml:space="preserve"> – accurate and timely diagnostics, facilitating tailored, well informed treatment plans for improved patient outcomes. </w:t>
      </w:r>
    </w:p>
    <w:p w14:paraId="5EA25A1D" w14:textId="77777777" w:rsidR="00E86BD4" w:rsidRPr="00B5183D" w:rsidRDefault="00E86BD4" w:rsidP="00E86BD4">
      <w:pPr>
        <w:pStyle w:val="ListParagraph"/>
        <w:numPr>
          <w:ilvl w:val="0"/>
          <w:numId w:val="27"/>
        </w:numPr>
      </w:pPr>
      <w:r w:rsidRPr="00B5183D">
        <w:rPr>
          <w:b/>
          <w:bCs/>
        </w:rPr>
        <w:t>Precision medicine applications</w:t>
      </w:r>
      <w:r w:rsidRPr="00B5183D">
        <w:t xml:space="preserve"> – ability to implement medical treatments personalised to individual patients, optimising effectiveness, and minimising side effects.</w:t>
      </w:r>
    </w:p>
    <w:p w14:paraId="5109A202" w14:textId="77777777" w:rsidR="00E86BD4" w:rsidRPr="00B5183D" w:rsidRDefault="00E86BD4" w:rsidP="00BB0536">
      <w:pPr>
        <w:pStyle w:val="Heading4"/>
      </w:pPr>
      <w:bookmarkStart w:id="48" w:name="_Hlk161237414"/>
      <w:bookmarkEnd w:id="44"/>
      <w:r w:rsidRPr="00B5183D">
        <w:t xml:space="preserve">Intended technology end users or customers may include: </w:t>
      </w:r>
    </w:p>
    <w:p w14:paraId="7998FFAA" w14:textId="77777777" w:rsidR="00E86BD4" w:rsidRPr="00FB2B97" w:rsidRDefault="00E86BD4" w:rsidP="00BB0536">
      <w:pPr>
        <w:pStyle w:val="ListParagraph"/>
        <w:numPr>
          <w:ilvl w:val="0"/>
          <w:numId w:val="30"/>
        </w:numPr>
      </w:pPr>
      <w:bookmarkStart w:id="49" w:name="_Hlk161237208"/>
      <w:r w:rsidRPr="00FB2B97">
        <w:t>Medical technology and device developers and manufacturers</w:t>
      </w:r>
    </w:p>
    <w:p w14:paraId="7D950DE5" w14:textId="77777777" w:rsidR="00E86BD4" w:rsidRPr="00FB2B97" w:rsidRDefault="00E86BD4" w:rsidP="00BB0536">
      <w:pPr>
        <w:pStyle w:val="ListParagraph"/>
        <w:numPr>
          <w:ilvl w:val="0"/>
          <w:numId w:val="30"/>
        </w:numPr>
      </w:pPr>
      <w:r w:rsidRPr="00FB2B97">
        <w:t>Medical staff and medical service providers</w:t>
      </w:r>
    </w:p>
    <w:p w14:paraId="5A43152F" w14:textId="77777777" w:rsidR="00E86BD4" w:rsidRDefault="00E86BD4" w:rsidP="00BB0536">
      <w:pPr>
        <w:pStyle w:val="ListParagraph"/>
        <w:numPr>
          <w:ilvl w:val="0"/>
          <w:numId w:val="30"/>
        </w:numPr>
      </w:pPr>
      <w:r w:rsidRPr="00FB2B97">
        <w:t>Sporting clubs</w:t>
      </w:r>
      <w:r>
        <w:t xml:space="preserve">, </w:t>
      </w:r>
      <w:proofErr w:type="gramStart"/>
      <w:r>
        <w:t>organisations</w:t>
      </w:r>
      <w:proofErr w:type="gramEnd"/>
      <w:r>
        <w:t xml:space="preserve"> and official governing bodies</w:t>
      </w:r>
    </w:p>
    <w:bookmarkEnd w:id="48"/>
    <w:bookmarkEnd w:id="49"/>
    <w:p w14:paraId="5A9083D0" w14:textId="77777777" w:rsidR="00E86BD4" w:rsidRPr="00E20110" w:rsidRDefault="00E86BD4" w:rsidP="00E86BD4">
      <w:pPr>
        <w:pStyle w:val="Calloutbox"/>
      </w:pPr>
      <w:r w:rsidRPr="008F28BC">
        <w:t xml:space="preserve">The </w:t>
      </w:r>
      <w:r>
        <w:t>policies and strategies</w:t>
      </w:r>
      <w:r w:rsidRPr="008F28BC">
        <w:t xml:space="preserve"> listed below are </w:t>
      </w:r>
      <w:r>
        <w:t xml:space="preserve">provided </w:t>
      </w:r>
      <w:r w:rsidRPr="008F28BC">
        <w:t xml:space="preserve">for awareness </w:t>
      </w:r>
      <w:r>
        <w:t>of how this challenge aligns with broader government policy</w:t>
      </w:r>
      <w:r w:rsidRPr="008F28BC">
        <w:t xml:space="preserve">. </w:t>
      </w:r>
      <w:r>
        <w:t xml:space="preserve"> Applicants do not need to </w:t>
      </w:r>
      <w:r w:rsidRPr="008F28BC">
        <w:t>address</w:t>
      </w:r>
      <w:r>
        <w:t xml:space="preserve"> these policies </w:t>
      </w:r>
      <w:r w:rsidRPr="008F28BC">
        <w:t>within the</w:t>
      </w:r>
      <w:r>
        <w:t>ir</w:t>
      </w:r>
      <w:r w:rsidRPr="008F28BC">
        <w:t xml:space="preserve"> application. </w:t>
      </w:r>
    </w:p>
    <w:p w14:paraId="26D64B25" w14:textId="77777777" w:rsidR="00FB2B97" w:rsidRDefault="00FB2B97">
      <w:pPr>
        <w:spacing w:before="0" w:after="160" w:line="259" w:lineRule="auto"/>
        <w:rPr>
          <w:b/>
          <w:bCs/>
        </w:rPr>
      </w:pPr>
      <w:bookmarkStart w:id="50" w:name="_Hlk161237162"/>
      <w:r>
        <w:rPr>
          <w:b/>
          <w:bCs/>
        </w:rPr>
        <w:br w:type="page"/>
      </w:r>
    </w:p>
    <w:p w14:paraId="751DB74C" w14:textId="4974F48B" w:rsidR="00E86BD4" w:rsidRPr="00B5183D" w:rsidRDefault="00E86BD4" w:rsidP="00BB0536">
      <w:pPr>
        <w:pStyle w:val="Heading4"/>
      </w:pPr>
      <w:r w:rsidRPr="00B5183D">
        <w:lastRenderedPageBreak/>
        <w:t>National policies and strategies that align with this challenge include:</w:t>
      </w:r>
    </w:p>
    <w:tbl>
      <w:tblPr>
        <w:tblStyle w:val="GridTable4-Accent1"/>
        <w:tblW w:w="9067" w:type="dxa"/>
        <w:tblLook w:val="04A0" w:firstRow="1" w:lastRow="0" w:firstColumn="1" w:lastColumn="0" w:noHBand="0" w:noVBand="1"/>
      </w:tblPr>
      <w:tblGrid>
        <w:gridCol w:w="3397"/>
        <w:gridCol w:w="5670"/>
      </w:tblGrid>
      <w:tr w:rsidR="00E86BD4" w:rsidRPr="00B5183D" w14:paraId="1EDE1A47" w14:textId="77777777" w:rsidTr="00BB0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00DDEAA" w14:textId="77777777" w:rsidR="00E86BD4" w:rsidRPr="00B5183D" w:rsidRDefault="00E86BD4" w:rsidP="004B0BDF">
            <w:r w:rsidRPr="00B5183D">
              <w:t>National strategy, plan, or policy</w:t>
            </w:r>
          </w:p>
        </w:tc>
        <w:tc>
          <w:tcPr>
            <w:tcW w:w="5670" w:type="dxa"/>
          </w:tcPr>
          <w:p w14:paraId="7F23E390" w14:textId="77777777" w:rsidR="00E86BD4" w:rsidRPr="00B5183D" w:rsidRDefault="00E86BD4" w:rsidP="004B0BDF">
            <w:pPr>
              <w:cnfStyle w:val="100000000000" w:firstRow="1" w:lastRow="0" w:firstColumn="0" w:lastColumn="0" w:oddVBand="0" w:evenVBand="0" w:oddHBand="0" w:evenHBand="0" w:firstRowFirstColumn="0" w:firstRowLastColumn="0" w:lastRowFirstColumn="0" w:lastRowLastColumn="0"/>
            </w:pPr>
            <w:r w:rsidRPr="00B5183D">
              <w:t>Areas of alignment with this challenge</w:t>
            </w:r>
          </w:p>
        </w:tc>
      </w:tr>
      <w:tr w:rsidR="00E86BD4" w:rsidRPr="00B5183D" w14:paraId="56838D28"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9A2DF26" w14:textId="77777777" w:rsidR="00E86BD4" w:rsidRPr="00B5183D" w:rsidRDefault="00E86BD4" w:rsidP="004B0BDF">
            <w:pPr>
              <w:rPr>
                <w:b w:val="0"/>
                <w:bCs w:val="0"/>
              </w:rPr>
            </w:pPr>
            <w:r w:rsidRPr="00B5183D">
              <w:t>National Reconstruction Fund Priorities</w:t>
            </w:r>
          </w:p>
        </w:tc>
        <w:tc>
          <w:tcPr>
            <w:tcW w:w="5670" w:type="dxa"/>
          </w:tcPr>
          <w:p w14:paraId="085787FB" w14:textId="77777777" w:rsidR="00E86BD4" w:rsidRDefault="00E86BD4" w:rsidP="004B0BDF">
            <w:pPr>
              <w:spacing w:before="40"/>
              <w:cnfStyle w:val="000000100000" w:firstRow="0" w:lastRow="0" w:firstColumn="0" w:lastColumn="0" w:oddVBand="0" w:evenVBand="0" w:oddHBand="1" w:evenHBand="0" w:firstRowFirstColumn="0" w:firstRowLastColumn="0" w:lastRowFirstColumn="0" w:lastRowLastColumn="0"/>
            </w:pPr>
            <w:r w:rsidRPr="00B5183D">
              <w:t>Priority 4: Medical science</w:t>
            </w:r>
          </w:p>
          <w:p w14:paraId="21084D20" w14:textId="77777777" w:rsidR="00E86BD4" w:rsidRPr="00B5183D" w:rsidRDefault="00E86BD4" w:rsidP="004B0BDF">
            <w:pPr>
              <w:spacing w:before="40"/>
              <w:cnfStyle w:val="000000100000" w:firstRow="0" w:lastRow="0" w:firstColumn="0" w:lastColumn="0" w:oddVBand="0" w:evenVBand="0" w:oddHBand="1" w:evenHBand="0" w:firstRowFirstColumn="0" w:firstRowLastColumn="0" w:lastRowFirstColumn="0" w:lastRowLastColumn="0"/>
              <w:rPr>
                <w:b/>
                <w:bCs/>
              </w:rPr>
            </w:pPr>
            <w:r w:rsidRPr="00B5183D">
              <w:t>Priority 6: Enabling capabilities</w:t>
            </w:r>
          </w:p>
        </w:tc>
      </w:tr>
      <w:tr w:rsidR="00E86BD4" w:rsidRPr="00B5183D" w14:paraId="10C4ED17" w14:textId="77777777" w:rsidTr="00BB0536">
        <w:tc>
          <w:tcPr>
            <w:cnfStyle w:val="001000000000" w:firstRow="0" w:lastRow="0" w:firstColumn="1" w:lastColumn="0" w:oddVBand="0" w:evenVBand="0" w:oddHBand="0" w:evenHBand="0" w:firstRowFirstColumn="0" w:firstRowLastColumn="0" w:lastRowFirstColumn="0" w:lastRowLastColumn="0"/>
            <w:tcW w:w="3397" w:type="dxa"/>
          </w:tcPr>
          <w:p w14:paraId="0FCB0AC8" w14:textId="77777777" w:rsidR="00E86BD4" w:rsidRPr="00B5183D" w:rsidRDefault="00E86BD4" w:rsidP="004B0BDF">
            <w:pPr>
              <w:rPr>
                <w:b w:val="0"/>
                <w:bCs w:val="0"/>
              </w:rPr>
            </w:pPr>
            <w:r w:rsidRPr="00B5183D">
              <w:t>Proposed National Science and Research Priorities</w:t>
            </w:r>
          </w:p>
        </w:tc>
        <w:tc>
          <w:tcPr>
            <w:tcW w:w="5670" w:type="dxa"/>
          </w:tcPr>
          <w:p w14:paraId="7B694690" w14:textId="77777777" w:rsidR="00E86BD4" w:rsidRPr="00B5183D" w:rsidRDefault="00E86BD4" w:rsidP="004B0BDF">
            <w:pPr>
              <w:cnfStyle w:val="000000000000" w:firstRow="0" w:lastRow="0" w:firstColumn="0" w:lastColumn="0" w:oddVBand="0" w:evenVBand="0" w:oddHBand="0" w:evenHBand="0" w:firstRowFirstColumn="0" w:firstRowLastColumn="0" w:lastRowFirstColumn="0" w:lastRowLastColumn="0"/>
            </w:pPr>
            <w:r w:rsidRPr="00B5183D">
              <w:t>Priority 2: Supporting healthy and thriving communities</w:t>
            </w:r>
          </w:p>
        </w:tc>
      </w:tr>
      <w:tr w:rsidR="00E86BD4" w:rsidRPr="00B5183D" w14:paraId="15CE3815"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DC838AF" w14:textId="77777777" w:rsidR="00E86BD4" w:rsidRPr="00B5183D" w:rsidRDefault="00E86BD4" w:rsidP="004B0BDF">
            <w:pPr>
              <w:rPr>
                <w:b w:val="0"/>
                <w:bCs w:val="0"/>
              </w:rPr>
            </w:pPr>
            <w:r w:rsidRPr="00B5183D">
              <w:t>Critical Technologies Statement</w:t>
            </w:r>
          </w:p>
        </w:tc>
        <w:tc>
          <w:tcPr>
            <w:tcW w:w="5670" w:type="dxa"/>
          </w:tcPr>
          <w:p w14:paraId="35338DA8" w14:textId="77777777" w:rsidR="00E86BD4" w:rsidRPr="00B5183D" w:rsidRDefault="00E86BD4" w:rsidP="004B0BDF">
            <w:pPr>
              <w:cnfStyle w:val="000000100000" w:firstRow="0" w:lastRow="0" w:firstColumn="0" w:lastColumn="0" w:oddVBand="0" w:evenVBand="0" w:oddHBand="1" w:evenHBand="0" w:firstRowFirstColumn="0" w:firstRowLastColumn="0" w:lastRowFirstColumn="0" w:lastRowLastColumn="0"/>
              <w:rPr>
                <w:b/>
                <w:bCs/>
              </w:rPr>
            </w:pPr>
            <w:r w:rsidRPr="00B5183D">
              <w:t>Solving national challenges here in Australia – Health ageing</w:t>
            </w:r>
          </w:p>
        </w:tc>
      </w:tr>
      <w:tr w:rsidR="00E86BD4" w:rsidRPr="00B5183D" w14:paraId="0B71AE62" w14:textId="77777777" w:rsidTr="00BB0536">
        <w:tc>
          <w:tcPr>
            <w:cnfStyle w:val="001000000000" w:firstRow="0" w:lastRow="0" w:firstColumn="1" w:lastColumn="0" w:oddVBand="0" w:evenVBand="0" w:oddHBand="0" w:evenHBand="0" w:firstRowFirstColumn="0" w:firstRowLastColumn="0" w:lastRowFirstColumn="0" w:lastRowLastColumn="0"/>
            <w:tcW w:w="3397" w:type="dxa"/>
          </w:tcPr>
          <w:p w14:paraId="234A2D23" w14:textId="77777777" w:rsidR="00E86BD4" w:rsidRPr="00B5183D" w:rsidRDefault="00E86BD4" w:rsidP="004B0BDF">
            <w:pPr>
              <w:rPr>
                <w:b w:val="0"/>
                <w:bCs w:val="0"/>
              </w:rPr>
            </w:pPr>
            <w:r w:rsidRPr="00B5183D">
              <w:t>List of Critical Technologies in the National Interest</w:t>
            </w:r>
          </w:p>
        </w:tc>
        <w:tc>
          <w:tcPr>
            <w:tcW w:w="5670" w:type="dxa"/>
          </w:tcPr>
          <w:p w14:paraId="6FB25155" w14:textId="77777777" w:rsidR="00E86BD4" w:rsidRPr="00B5183D" w:rsidRDefault="00E86BD4" w:rsidP="004B0BDF">
            <w:pPr>
              <w:spacing w:after="40"/>
              <w:cnfStyle w:val="000000000000" w:firstRow="0" w:lastRow="0" w:firstColumn="0" w:lastColumn="0" w:oddVBand="0" w:evenVBand="0" w:oddHBand="0" w:evenHBand="0" w:firstRowFirstColumn="0" w:firstRowLastColumn="0" w:lastRowFirstColumn="0" w:lastRowLastColumn="0"/>
            </w:pPr>
            <w:r w:rsidRPr="00B5183D">
              <w:t xml:space="preserve">Biotechnologies </w:t>
            </w:r>
          </w:p>
          <w:p w14:paraId="26E71DDF" w14:textId="77777777" w:rsidR="00E86BD4" w:rsidRPr="00B5183D" w:rsidRDefault="00E86BD4" w:rsidP="004B0BDF">
            <w:pPr>
              <w:spacing w:before="0"/>
              <w:cnfStyle w:val="000000000000" w:firstRow="0" w:lastRow="0" w:firstColumn="0" w:lastColumn="0" w:oddVBand="0" w:evenVBand="0" w:oddHBand="0" w:evenHBand="0" w:firstRowFirstColumn="0" w:firstRowLastColumn="0" w:lastRowFirstColumn="0" w:lastRowLastColumn="0"/>
            </w:pPr>
            <w:r w:rsidRPr="00B5183D">
              <w:t>Quantum technologies</w:t>
            </w:r>
          </w:p>
        </w:tc>
      </w:tr>
      <w:tr w:rsidR="00E86BD4" w:rsidRPr="00B5183D" w14:paraId="71B2FBB1"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33BAC30" w14:textId="77777777" w:rsidR="00E86BD4" w:rsidRPr="00B5183D" w:rsidRDefault="00E86BD4" w:rsidP="004B0BDF">
            <w:r w:rsidRPr="00B5183D">
              <w:t>CSIRO Megatrends</w:t>
            </w:r>
          </w:p>
        </w:tc>
        <w:tc>
          <w:tcPr>
            <w:tcW w:w="5670" w:type="dxa"/>
          </w:tcPr>
          <w:p w14:paraId="434964F6" w14:textId="77777777" w:rsidR="00E86BD4" w:rsidRPr="00B5183D" w:rsidRDefault="00E86BD4" w:rsidP="004B0BDF">
            <w:pPr>
              <w:cnfStyle w:val="000000100000" w:firstRow="0" w:lastRow="0" w:firstColumn="0" w:lastColumn="0" w:oddVBand="0" w:evenVBand="0" w:oddHBand="1" w:evenHBand="0" w:firstRowFirstColumn="0" w:firstRowLastColumn="0" w:lastRowFirstColumn="0" w:lastRowLastColumn="0"/>
            </w:pPr>
            <w:r w:rsidRPr="00B5183D">
              <w:t>The escalating health imperative</w:t>
            </w:r>
          </w:p>
        </w:tc>
      </w:tr>
      <w:tr w:rsidR="00E86BD4" w:rsidRPr="00B5183D" w14:paraId="085DEC5A" w14:textId="77777777" w:rsidTr="00BB0536">
        <w:tc>
          <w:tcPr>
            <w:cnfStyle w:val="001000000000" w:firstRow="0" w:lastRow="0" w:firstColumn="1" w:lastColumn="0" w:oddVBand="0" w:evenVBand="0" w:oddHBand="0" w:evenHBand="0" w:firstRowFirstColumn="0" w:firstRowLastColumn="0" w:lastRowFirstColumn="0" w:lastRowLastColumn="0"/>
            <w:tcW w:w="3397" w:type="dxa"/>
          </w:tcPr>
          <w:p w14:paraId="7A6EBCB1" w14:textId="77777777" w:rsidR="00E86BD4" w:rsidRPr="00B5183D" w:rsidRDefault="00E86BD4" w:rsidP="004B0BDF">
            <w:pPr>
              <w:rPr>
                <w:b w:val="0"/>
                <w:bCs w:val="0"/>
              </w:rPr>
            </w:pPr>
            <w:r>
              <w:t xml:space="preserve">The 2021 </w:t>
            </w:r>
            <w:r w:rsidRPr="00B5183D">
              <w:t>National Research Infrastructure Roadmap</w:t>
            </w:r>
          </w:p>
        </w:tc>
        <w:tc>
          <w:tcPr>
            <w:tcW w:w="5670" w:type="dxa"/>
          </w:tcPr>
          <w:p w14:paraId="0549DB33" w14:textId="77777777" w:rsidR="00E86BD4" w:rsidRDefault="00E86BD4" w:rsidP="004B0BDF">
            <w:pPr>
              <w:ind w:left="567" w:hanging="567"/>
              <w:cnfStyle w:val="000000000000" w:firstRow="0" w:lastRow="0" w:firstColumn="0" w:lastColumn="0" w:oddVBand="0" w:evenVBand="0" w:oddHBand="0" w:evenHBand="0" w:firstRowFirstColumn="0" w:firstRowLastColumn="0" w:lastRowFirstColumn="0" w:lastRowLastColumn="0"/>
            </w:pPr>
            <w:r w:rsidRPr="00B5183D">
              <w:t xml:space="preserve">Medical </w:t>
            </w:r>
            <w:r>
              <w:t>p</w:t>
            </w:r>
            <w:r w:rsidRPr="00B5183D">
              <w:t>roducts</w:t>
            </w:r>
          </w:p>
          <w:p w14:paraId="7D6AE19B" w14:textId="77777777" w:rsidR="00E86BD4" w:rsidRPr="00B5183D" w:rsidRDefault="00E86BD4" w:rsidP="004B0BDF">
            <w:pPr>
              <w:ind w:left="567" w:hanging="567"/>
              <w:cnfStyle w:val="000000000000" w:firstRow="0" w:lastRow="0" w:firstColumn="0" w:lastColumn="0" w:oddVBand="0" w:evenVBand="0" w:oddHBand="0" w:evenHBand="0" w:firstRowFirstColumn="0" w:firstRowLastColumn="0" w:lastRowFirstColumn="0" w:lastRowLastColumn="0"/>
            </w:pPr>
            <w:r>
              <w:t>Frontier technologies and modern manufacturing</w:t>
            </w:r>
          </w:p>
        </w:tc>
      </w:tr>
      <w:tr w:rsidR="00E86BD4" w:rsidRPr="00B5183D" w14:paraId="687C5C12"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640E1AF" w14:textId="77777777" w:rsidR="00E86BD4" w:rsidRPr="00B5183D" w:rsidRDefault="00E86BD4" w:rsidP="004B0BDF">
            <w:r>
              <w:t>Closing the Gap</w:t>
            </w:r>
          </w:p>
        </w:tc>
        <w:tc>
          <w:tcPr>
            <w:tcW w:w="5670" w:type="dxa"/>
          </w:tcPr>
          <w:p w14:paraId="521EB7C3" w14:textId="77777777" w:rsidR="00E86BD4" w:rsidRDefault="00E86BD4" w:rsidP="004B0BDF">
            <w:pPr>
              <w:tabs>
                <w:tab w:val="left" w:pos="1632"/>
              </w:tabs>
              <w:cnfStyle w:val="000000100000" w:firstRow="0" w:lastRow="0" w:firstColumn="0" w:lastColumn="0" w:oddVBand="0" w:evenVBand="0" w:oddHBand="1" w:evenHBand="0" w:firstRowFirstColumn="0" w:firstRowLastColumn="0" w:lastRowFirstColumn="0" w:lastRowLastColumn="0"/>
            </w:pPr>
            <w:r>
              <w:t xml:space="preserve">Target 1- Everyone enjoys long and healthy </w:t>
            </w:r>
            <w:proofErr w:type="gramStart"/>
            <w:r>
              <w:t>lives</w:t>
            </w:r>
            <w:proofErr w:type="gramEnd"/>
          </w:p>
          <w:p w14:paraId="7F7C8EB9" w14:textId="77777777" w:rsidR="00E86BD4" w:rsidRPr="00B5183D" w:rsidRDefault="00E86BD4" w:rsidP="004B0BDF">
            <w:pPr>
              <w:tabs>
                <w:tab w:val="left" w:pos="1632"/>
              </w:tabs>
              <w:cnfStyle w:val="000000100000" w:firstRow="0" w:lastRow="0" w:firstColumn="0" w:lastColumn="0" w:oddVBand="0" w:evenVBand="0" w:oddHBand="1" w:evenHBand="0" w:firstRowFirstColumn="0" w:firstRowLastColumn="0" w:lastRowFirstColumn="0" w:lastRowLastColumn="0"/>
            </w:pPr>
            <w:r>
              <w:t>Target 2 – Children are born healthy and strong</w:t>
            </w:r>
          </w:p>
        </w:tc>
      </w:tr>
    </w:tbl>
    <w:p w14:paraId="05E50AF7" w14:textId="77777777" w:rsidR="00E86BD4" w:rsidRPr="00D84C39" w:rsidRDefault="00E86BD4" w:rsidP="00E86BD4">
      <w:pPr>
        <w:pStyle w:val="Calloutbox"/>
      </w:pPr>
      <w:bookmarkStart w:id="51" w:name="_Hlk161237189"/>
      <w:bookmarkEnd w:id="50"/>
      <w:r w:rsidRPr="00D84C39">
        <w:t xml:space="preserve">The programs listed below are </w:t>
      </w:r>
      <w:r>
        <w:t xml:space="preserve">provided </w:t>
      </w:r>
      <w:r w:rsidRPr="00D84C39">
        <w:t xml:space="preserve">for awareness. </w:t>
      </w:r>
      <w:r>
        <w:t xml:space="preserve"> Applicants do not need to </w:t>
      </w:r>
      <w:r w:rsidRPr="00D84C39">
        <w:t>address</w:t>
      </w:r>
      <w:r>
        <w:t xml:space="preserve"> these programs</w:t>
      </w:r>
      <w:r w:rsidRPr="00D84C39">
        <w:t xml:space="preserve"> within the application. </w:t>
      </w:r>
    </w:p>
    <w:p w14:paraId="0B90C2EC" w14:textId="77777777" w:rsidR="00E86BD4" w:rsidRDefault="00E86BD4" w:rsidP="00BB0536">
      <w:pPr>
        <w:pStyle w:val="Heading4"/>
      </w:pPr>
      <w:r w:rsidRPr="00ED1CC4">
        <w:t xml:space="preserve">National programs that align with this challenge include: </w:t>
      </w:r>
      <w:bookmarkStart w:id="52" w:name="_Hlk160550461"/>
      <w:bookmarkStart w:id="53" w:name="_Hlk160550889"/>
    </w:p>
    <w:p w14:paraId="4B928FC8" w14:textId="77777777" w:rsidR="00E86BD4" w:rsidRPr="00B5183D" w:rsidRDefault="00F82254" w:rsidP="00E86BD4">
      <w:hyperlink r:id="rId52" w:history="1">
        <w:r w:rsidR="00E86BD4" w:rsidRPr="00B5183D">
          <w:rPr>
            <w:rStyle w:val="Hyperlink"/>
          </w:rPr>
          <w:t>Advanced Manufacturing Growth Fund grant recipients</w:t>
        </w:r>
      </w:hyperlink>
      <w:r w:rsidR="00E86BD4" w:rsidRPr="00B5183D">
        <w:t xml:space="preserve"> – Core Technology Imaging Systems Manufacture </w:t>
      </w:r>
    </w:p>
    <w:bookmarkEnd w:id="52"/>
    <w:p w14:paraId="50A2C066" w14:textId="77777777" w:rsidR="00E86BD4" w:rsidRPr="00B5183D" w:rsidRDefault="00E86BD4" w:rsidP="00E86BD4">
      <w:r>
        <w:fldChar w:fldCharType="begin"/>
      </w:r>
      <w:r>
        <w:instrText>HYPERLINK "https://business.gov.au/grants-and-programs/research-and-development-tax-incentive/how-the-rdti-has-helped-other-companies/bluglass"</w:instrText>
      </w:r>
      <w:r>
        <w:fldChar w:fldCharType="separate"/>
      </w:r>
      <w:r w:rsidRPr="00B5183D">
        <w:rPr>
          <w:rStyle w:val="Hyperlink"/>
        </w:rPr>
        <w:t>Research and Development Tax Incentive (R&amp;DTI)</w:t>
      </w:r>
      <w:r>
        <w:rPr>
          <w:rStyle w:val="Hyperlink"/>
        </w:rPr>
        <w:fldChar w:fldCharType="end"/>
      </w:r>
      <w:r w:rsidRPr="00B5183D">
        <w:t xml:space="preserve"> – </w:t>
      </w:r>
      <w:proofErr w:type="spellStart"/>
      <w:r w:rsidRPr="00B5183D">
        <w:t>BluGlass</w:t>
      </w:r>
      <w:proofErr w:type="spellEnd"/>
      <w:r w:rsidRPr="00B5183D">
        <w:t xml:space="preserve"> gallium nitride (</w:t>
      </w:r>
      <w:proofErr w:type="spellStart"/>
      <w:r w:rsidRPr="00B5183D">
        <w:t>GaN</w:t>
      </w:r>
      <w:proofErr w:type="spellEnd"/>
      <w:r w:rsidRPr="00B5183D">
        <w:t xml:space="preserve">) laser diode manufacturer (2009) </w:t>
      </w:r>
    </w:p>
    <w:p w14:paraId="0EBBF39B" w14:textId="6A7EEAE2" w:rsidR="00E86BD4" w:rsidRPr="00B5183D" w:rsidRDefault="00F82254" w:rsidP="00E86BD4">
      <w:hyperlink r:id="rId53" w:history="1">
        <w:r w:rsidR="00E86BD4" w:rsidRPr="00B5183D">
          <w:rPr>
            <w:rStyle w:val="Hyperlink"/>
          </w:rPr>
          <w:t>ARC Centre of Excellence for Nanoscale Bio Photonics</w:t>
        </w:r>
      </w:hyperlink>
      <w:r w:rsidR="00E86BD4" w:rsidRPr="00B5183D">
        <w:t xml:space="preserve"> – $29 million – This will explore nanoscale interactions between light and matter</w:t>
      </w:r>
      <w:r w:rsidR="00E86BD4" w:rsidRPr="00B5183D" w:rsidDel="00CC5876">
        <w:t xml:space="preserve"> </w:t>
      </w:r>
      <w:r w:rsidR="00E86BD4" w:rsidRPr="00B5183D">
        <w:t>(2014–2020)</w:t>
      </w:r>
    </w:p>
    <w:bookmarkEnd w:id="53"/>
    <w:p w14:paraId="5B7D4006" w14:textId="519E3A01" w:rsidR="00E86BD4" w:rsidRPr="00B5183D" w:rsidRDefault="00E86BD4" w:rsidP="00E86BD4">
      <w:r>
        <w:fldChar w:fldCharType="begin"/>
      </w:r>
      <w:r>
        <w:instrText>HYPERLINK "https://www.digitalhealthcrc.com/"</w:instrText>
      </w:r>
      <w:r>
        <w:fldChar w:fldCharType="separate"/>
      </w:r>
      <w:r w:rsidRPr="00B5183D">
        <w:rPr>
          <w:rStyle w:val="Hyperlink"/>
        </w:rPr>
        <w:t>Digital Health CRC</w:t>
      </w:r>
      <w:r>
        <w:rPr>
          <w:rStyle w:val="Hyperlink"/>
        </w:rPr>
        <w:fldChar w:fldCharType="end"/>
      </w:r>
      <w:r w:rsidRPr="00B5183D">
        <w:t xml:space="preserve"> – $55 million (2018–2025) </w:t>
      </w:r>
    </w:p>
    <w:p w14:paraId="6F0E014A" w14:textId="77777777" w:rsidR="00E86BD4" w:rsidRDefault="00F82254" w:rsidP="00E86BD4">
      <w:hyperlink r:id="rId54" w:history="1">
        <w:r w:rsidR="00E86BD4" w:rsidRPr="00B5183D">
          <w:rPr>
            <w:rStyle w:val="Hyperlink"/>
          </w:rPr>
          <w:t>CRC Projects selection round outcomes</w:t>
        </w:r>
      </w:hyperlink>
      <w:r w:rsidR="00E86BD4" w:rsidRPr="00B5183D">
        <w:t xml:space="preserve"> – Nanoparticle manufacturing and its application in brain cancer radiotherapy (2022) </w:t>
      </w:r>
    </w:p>
    <w:p w14:paraId="07546F4B" w14:textId="23F7E7F6" w:rsidR="00E86BD4" w:rsidRPr="00B5183D" w:rsidRDefault="00F82254" w:rsidP="00E86BD4">
      <w:hyperlink r:id="rId55" w:history="1">
        <w:r w:rsidR="00E86BD4" w:rsidRPr="00B5183D">
          <w:rPr>
            <w:rStyle w:val="Hyperlink"/>
          </w:rPr>
          <w:t xml:space="preserve">Frontier Health and Medical Research </w:t>
        </w:r>
        <w:r w:rsidR="00E86BD4">
          <w:rPr>
            <w:rStyle w:val="Hyperlink"/>
          </w:rPr>
          <w:t>I</w:t>
        </w:r>
        <w:r w:rsidR="00E86BD4" w:rsidRPr="00B5183D">
          <w:rPr>
            <w:rStyle w:val="Hyperlink"/>
          </w:rPr>
          <w:t>nitiative</w:t>
        </w:r>
      </w:hyperlink>
      <w:r w:rsidR="00E86BD4" w:rsidRPr="00B5183D">
        <w:t xml:space="preserve"> – Opportunities for funding through Medical Research Future Fund (2022)</w:t>
      </w:r>
      <w:hyperlink r:id="rId56" w:history="1">
        <w:r w:rsidR="00E86BD4" w:rsidRPr="00B5183D">
          <w:rPr>
            <w:rStyle w:val="Hyperlink"/>
          </w:rPr>
          <w:t>CRC Projects selection round outcomes</w:t>
        </w:r>
      </w:hyperlink>
      <w:r w:rsidR="00E86BD4" w:rsidRPr="00B5183D">
        <w:t xml:space="preserve"> – AI</w:t>
      </w:r>
      <w:r w:rsidR="0078720E">
        <w:t>-b</w:t>
      </w:r>
      <w:r w:rsidR="00E86BD4" w:rsidRPr="00B5183D">
        <w:t>ased Portable Digital Slit</w:t>
      </w:r>
      <w:r w:rsidR="0078720E">
        <w:t>-</w:t>
      </w:r>
      <w:r w:rsidR="00E86BD4" w:rsidRPr="00B5183D">
        <w:t xml:space="preserve">lamp for Anterior Segment Eye Diseases (2023) </w:t>
      </w:r>
    </w:p>
    <w:p w14:paraId="4D3E4A04" w14:textId="77777777" w:rsidR="00E86BD4" w:rsidRDefault="00F82254" w:rsidP="00E86BD4">
      <w:pPr>
        <w:spacing w:before="0" w:after="160" w:line="259" w:lineRule="auto"/>
        <w:rPr>
          <w:b/>
          <w:bCs/>
        </w:rPr>
      </w:pPr>
      <w:hyperlink r:id="rId57" w:history="1">
        <w:r w:rsidR="00E86BD4" w:rsidRPr="00B5183D">
          <w:rPr>
            <w:rStyle w:val="Hyperlink"/>
          </w:rPr>
          <w:t>CRC Projects selection round outcomes</w:t>
        </w:r>
      </w:hyperlink>
      <w:r w:rsidR="00E86BD4" w:rsidRPr="00B5183D">
        <w:t xml:space="preserve"> – </w:t>
      </w:r>
      <w:proofErr w:type="spellStart"/>
      <w:r w:rsidR="00E86BD4" w:rsidRPr="00B5183D">
        <w:t>EDGy</w:t>
      </w:r>
      <w:proofErr w:type="spellEnd"/>
      <w:r w:rsidR="00E86BD4" w:rsidRPr="00B5183D">
        <w:t>: Developing High–performing Satellite Control System Stellar Gyros – Gilmour Space Technologies Pty Ltd (2023)</w:t>
      </w:r>
    </w:p>
    <w:p w14:paraId="0D324B26" w14:textId="77777777" w:rsidR="00FB2B97" w:rsidRDefault="00FB2B97">
      <w:pPr>
        <w:spacing w:before="0" w:after="160" w:line="259" w:lineRule="auto"/>
        <w:rPr>
          <w:rFonts w:asciiTheme="majorHAnsi" w:eastAsiaTheme="majorEastAsia" w:hAnsiTheme="majorHAnsi" w:cstheme="majorBidi"/>
          <w:iCs/>
          <w:color w:val="7A3972" w:themeColor="text2"/>
          <w:sz w:val="32"/>
          <w:szCs w:val="28"/>
        </w:rPr>
      </w:pPr>
      <w:r>
        <w:br w:type="page"/>
      </w:r>
    </w:p>
    <w:p w14:paraId="46D90CF1" w14:textId="68C94A3F" w:rsidR="00E86BD4" w:rsidRPr="00B5183D" w:rsidRDefault="00E86BD4" w:rsidP="00BB0536">
      <w:pPr>
        <w:pStyle w:val="Heading4"/>
      </w:pPr>
      <w:r w:rsidRPr="00B5183D">
        <w:lastRenderedPageBreak/>
        <w:t xml:space="preserve">International initiatives that align with this challenge include: </w:t>
      </w:r>
    </w:p>
    <w:p w14:paraId="0FD26740" w14:textId="77777777" w:rsidR="00E86BD4" w:rsidRPr="00B5183D" w:rsidRDefault="00E86BD4" w:rsidP="00BB0536">
      <w:r w:rsidRPr="00B5183D">
        <w:t>Canada</w:t>
      </w:r>
      <w:r w:rsidRPr="00B5183D">
        <w:rPr>
          <w:rStyle w:val="FootnoteReference"/>
        </w:rPr>
        <w:footnoteReference w:id="10"/>
      </w:r>
      <w:r w:rsidRPr="00B5183D">
        <w:t xml:space="preserve"> </w:t>
      </w:r>
      <w:hyperlink r:id="rId58" w:anchor=":~:text=in%20Canada%2C%20a%20country%20known,a%20staggering%20US%2422.17bn." w:history="1">
        <w:r w:rsidRPr="00B5183D">
          <w:rPr>
            <w:rStyle w:val="Hyperlink"/>
          </w:rPr>
          <w:t>Internet of Things</w:t>
        </w:r>
      </w:hyperlink>
      <w:r w:rsidRPr="00B5183D">
        <w:t>: Quantum Sensors (2021)</w:t>
      </w:r>
    </w:p>
    <w:p w14:paraId="15CFB2BB" w14:textId="77777777" w:rsidR="00E86BD4" w:rsidRPr="00FB2B97" w:rsidRDefault="00E86BD4" w:rsidP="00BB0536">
      <w:pPr>
        <w:pStyle w:val="ListParagraph"/>
        <w:numPr>
          <w:ilvl w:val="0"/>
          <w:numId w:val="31"/>
        </w:numPr>
      </w:pPr>
      <w:r w:rsidRPr="00B5183D">
        <w:t xml:space="preserve">Advanced quantum sensor for </w:t>
      </w:r>
      <w:r w:rsidRPr="00FB2B97">
        <w:t>reliable adult neuromonitoring</w:t>
      </w:r>
    </w:p>
    <w:p w14:paraId="5C08776A" w14:textId="77777777" w:rsidR="00E86BD4" w:rsidRPr="00FB2B97" w:rsidRDefault="00E86BD4" w:rsidP="00BB0536">
      <w:pPr>
        <w:pStyle w:val="ListParagraph"/>
        <w:numPr>
          <w:ilvl w:val="0"/>
          <w:numId w:val="31"/>
        </w:numPr>
      </w:pPr>
      <w:r w:rsidRPr="00FB2B97">
        <w:t>Photons in the brain: Imaging biophotons with quantum detectors</w:t>
      </w:r>
    </w:p>
    <w:p w14:paraId="4BDA0249" w14:textId="77777777" w:rsidR="00E86BD4" w:rsidRPr="00B5183D" w:rsidRDefault="00E86BD4" w:rsidP="00BB0536">
      <w:pPr>
        <w:pStyle w:val="ListParagraph"/>
        <w:numPr>
          <w:ilvl w:val="0"/>
          <w:numId w:val="31"/>
        </w:numPr>
      </w:pPr>
      <w:r w:rsidRPr="00FB2B97">
        <w:t>Quantum bio–sensing for next generation</w:t>
      </w:r>
      <w:r w:rsidRPr="00B5183D">
        <w:t xml:space="preserve"> health diagnostics.</w:t>
      </w:r>
    </w:p>
    <w:p w14:paraId="05969020" w14:textId="77777777" w:rsidR="00E86BD4" w:rsidRPr="00B5183D" w:rsidRDefault="00E86BD4" w:rsidP="00E86BD4">
      <w:r>
        <w:t>Switzerland</w:t>
      </w:r>
      <w:r w:rsidRPr="00A87213">
        <w:t> </w:t>
      </w:r>
      <w:hyperlink r:id="rId59" w:history="1">
        <w:r w:rsidRPr="00A87213">
          <w:rPr>
            <w:rStyle w:val="Hyperlink"/>
          </w:rPr>
          <w:t>Geneva Science and Diplomacy Anticipator</w:t>
        </w:r>
      </w:hyperlink>
      <w:r w:rsidRPr="00A87213">
        <w:t> (GESDA)</w:t>
      </w:r>
      <w:r>
        <w:t xml:space="preserve"> – </w:t>
      </w:r>
      <w:r w:rsidRPr="00A87213">
        <w:t>The </w:t>
      </w:r>
      <w:hyperlink r:id="rId60" w:history="1">
        <w:r w:rsidRPr="00A87213">
          <w:rPr>
            <w:rStyle w:val="Hyperlink"/>
          </w:rPr>
          <w:t>Open Quantum Institute</w:t>
        </w:r>
      </w:hyperlink>
      <w:r w:rsidRPr="00A87213">
        <w:t> (OQI) three-year CERN-based pilot will build on the efforts to date to help unleash the full power of quantum computing for the benefit of all</w:t>
      </w:r>
      <w:r>
        <w:t xml:space="preserve"> (2024)</w:t>
      </w:r>
    </w:p>
    <w:p w14:paraId="7C23DAC9" w14:textId="77777777" w:rsidR="00E86BD4" w:rsidRPr="00B5183D" w:rsidRDefault="00E86BD4" w:rsidP="00E86BD4">
      <w:r w:rsidRPr="00B5183D">
        <w:t xml:space="preserve">UK </w:t>
      </w:r>
      <w:hyperlink r:id="rId61" w:history="1">
        <w:r w:rsidRPr="00B5183D">
          <w:rPr>
            <w:rStyle w:val="Hyperlink"/>
          </w:rPr>
          <w:t xml:space="preserve">Using </w:t>
        </w:r>
        <w:r w:rsidRPr="00B5183D">
          <w:rPr>
            <w:rStyle w:val="Hyperlink"/>
            <w:rFonts w:cs="Arial"/>
            <w:shd w:val="clear" w:color="auto" w:fill="FFFFFF"/>
          </w:rPr>
          <w:t>optically pumped magnetometers (OPMs) and magnetoencephalography (MEG) to create wearable brain scanner</w:t>
        </w:r>
        <w:r w:rsidRPr="00B5183D">
          <w:rPr>
            <w:rStyle w:val="Hyperlink"/>
          </w:rPr>
          <w:t xml:space="preserve"> OPM–MEG system to improve epilepsy diagnosis and treatment</w:t>
        </w:r>
      </w:hyperlink>
      <w:r w:rsidRPr="00B5183D">
        <w:rPr>
          <w:color w:val="0070C0"/>
        </w:rPr>
        <w:t xml:space="preserve"> </w:t>
      </w:r>
      <w:r w:rsidRPr="00B5183D">
        <w:t>(2023)</w:t>
      </w:r>
    </w:p>
    <w:p w14:paraId="068D55F2" w14:textId="77777777" w:rsidR="00E86BD4" w:rsidRPr="00B5183D" w:rsidRDefault="00E86BD4" w:rsidP="00E86BD4">
      <w:pPr>
        <w:spacing w:before="0" w:after="160" w:line="259" w:lineRule="auto"/>
      </w:pPr>
      <w:r w:rsidRPr="00B5183D">
        <w:t xml:space="preserve">UK </w:t>
      </w:r>
      <w:hyperlink r:id="rId62" w:history="1">
        <w:r w:rsidRPr="00B5183D">
          <w:rPr>
            <w:rStyle w:val="Hyperlink"/>
          </w:rPr>
          <w:t>Quantum Strategy Mission number 3</w:t>
        </w:r>
      </w:hyperlink>
      <w:r w:rsidRPr="00B5183D">
        <w:t xml:space="preserve"> – By 2030, every NHS Trust will benefit from quantum sensing-enabled solutions, helping those with chronic illness live healthier, longer lives through early diagnosis and treatment (2023)</w:t>
      </w:r>
    </w:p>
    <w:p w14:paraId="7726E161" w14:textId="77777777" w:rsidR="00E86BD4" w:rsidRPr="00B5183D" w:rsidRDefault="00E86BD4" w:rsidP="00E86BD4">
      <w:r w:rsidRPr="00B5183D">
        <w:t xml:space="preserve">UK </w:t>
      </w:r>
      <w:hyperlink r:id="rId63" w:history="1">
        <w:r w:rsidRPr="00B5183D">
          <w:rPr>
            <w:rStyle w:val="Hyperlink"/>
          </w:rPr>
          <w:t>Quantum Strategy Mission number 5</w:t>
        </w:r>
      </w:hyperlink>
      <w:r w:rsidRPr="00B5183D">
        <w:t xml:space="preserve"> – By 2030, mobile, networked quantum sensors will have unlocked new situational awareness capabilities, exploited across critical infrastructure in the transport, telecoms, energy, and defence sectors (2023)</w:t>
      </w:r>
    </w:p>
    <w:p w14:paraId="29A1367C" w14:textId="77777777" w:rsidR="00E86BD4" w:rsidRDefault="00E86BD4" w:rsidP="00E86BD4">
      <w:r w:rsidRPr="00B5183D">
        <w:t xml:space="preserve">US </w:t>
      </w:r>
      <w:hyperlink r:id="rId64" w:history="1">
        <w:r w:rsidRPr="00B5183D">
          <w:rPr>
            <w:rStyle w:val="Hyperlink"/>
          </w:rPr>
          <w:t>Quantum Sensing Challenges for Transformational Advances in Quantum Systems</w:t>
        </w:r>
      </w:hyperlink>
      <w:r w:rsidRPr="00B5183D">
        <w:t xml:space="preserve"> (2022) </w:t>
      </w:r>
      <w:bookmarkEnd w:id="51"/>
    </w:p>
    <w:p w14:paraId="64651AA3" w14:textId="77777777" w:rsidR="00596223" w:rsidRPr="004548DB" w:rsidRDefault="00596223" w:rsidP="00596223">
      <w:pPr>
        <w:rPr>
          <w:rFonts w:eastAsia="Gotham Narrow" w:cstheme="minorHAnsi"/>
          <w:szCs w:val="20"/>
        </w:rPr>
      </w:pPr>
      <w:r w:rsidRPr="004548DB">
        <w:rPr>
          <w:rFonts w:cstheme="minorHAnsi"/>
          <w:szCs w:val="20"/>
        </w:rPr>
        <w:br w:type="page"/>
      </w:r>
    </w:p>
    <w:p w14:paraId="27AC39A3" w14:textId="5BB77C52" w:rsidR="00E86BD4" w:rsidRDefault="00596223" w:rsidP="00E86BD4">
      <w:pPr>
        <w:pStyle w:val="Calloutboxpurplestrong"/>
      </w:pPr>
      <w:bookmarkStart w:id="54" w:name="_Toc161672115"/>
      <w:r w:rsidRPr="009760B3">
        <w:lastRenderedPageBreak/>
        <w:t>CTCP: Round 1 – Stage 1 Feasibility Challenge 3</w:t>
      </w:r>
    </w:p>
    <w:p w14:paraId="15BBB89B" w14:textId="3064D380" w:rsidR="00596223" w:rsidRDefault="00596223" w:rsidP="00E86BD4">
      <w:pPr>
        <w:pStyle w:val="Heading2"/>
      </w:pPr>
      <w:bookmarkStart w:id="55" w:name="_Toc164854370"/>
      <w:r w:rsidRPr="009760B3">
        <w:t xml:space="preserve">Challenge </w:t>
      </w:r>
      <w:r w:rsidR="00FB2B97">
        <w:t>3</w:t>
      </w:r>
      <w:bookmarkEnd w:id="55"/>
      <w:bookmarkEnd w:id="54"/>
    </w:p>
    <w:p w14:paraId="735363F7" w14:textId="31282331" w:rsidR="00FB2B97" w:rsidRPr="007320C9" w:rsidRDefault="00FB2B97" w:rsidP="00BB0536">
      <w:pPr>
        <w:pStyle w:val="Heading3"/>
      </w:pPr>
      <w:bookmarkStart w:id="56" w:name="_Toc164157219"/>
      <w:bookmarkStart w:id="57" w:name="_Toc164854371"/>
      <w:r w:rsidRPr="007320C9">
        <w:t xml:space="preserve">Enhance </w:t>
      </w:r>
      <w:r w:rsidRPr="007320C9">
        <w:rPr>
          <w:lang w:val="en-US"/>
        </w:rPr>
        <w:t xml:space="preserve">communication with autonomous systems in varying </w:t>
      </w:r>
      <w:proofErr w:type="gramStart"/>
      <w:r w:rsidRPr="007320C9">
        <w:rPr>
          <w:lang w:val="en-US"/>
        </w:rPr>
        <w:t>environments</w:t>
      </w:r>
      <w:bookmarkEnd w:id="56"/>
      <w:bookmarkEnd w:id="57"/>
      <w:proofErr w:type="gramEnd"/>
    </w:p>
    <w:p w14:paraId="5EC59DF4" w14:textId="77777777" w:rsidR="00FB2B97" w:rsidRPr="00B5183D" w:rsidRDefault="00FB2B97" w:rsidP="00BB0536">
      <w:pPr>
        <w:pStyle w:val="Heading4"/>
        <w:rPr>
          <w:highlight w:val="yellow"/>
        </w:rPr>
      </w:pPr>
      <w:r w:rsidRPr="00B5183D">
        <w:t>Challenge Overview</w:t>
      </w:r>
    </w:p>
    <w:p w14:paraId="46020346" w14:textId="756FFC64" w:rsidR="00FB2B97" w:rsidRDefault="00FB2B97" w:rsidP="00FB2B97">
      <w:r w:rsidRPr="00E53EDA">
        <w:t xml:space="preserve">Australia </w:t>
      </w:r>
      <w:r>
        <w:t>has a strong</w:t>
      </w:r>
      <w:r w:rsidRPr="00E53EDA">
        <w:t xml:space="preserve"> telecommunications</w:t>
      </w:r>
      <w:r>
        <w:t xml:space="preserve"> sector</w:t>
      </w:r>
      <w:r w:rsidRPr="00E53EDA">
        <w:t xml:space="preserve">, evidenced by its $30 billion </w:t>
      </w:r>
      <w:r>
        <w:t>Internet of Things</w:t>
      </w:r>
      <w:r w:rsidRPr="00E53EDA">
        <w:t xml:space="preserve"> industry and </w:t>
      </w:r>
      <w:r>
        <w:t>its</w:t>
      </w:r>
      <w:r w:rsidRPr="00E53EDA">
        <w:t xml:space="preserve"> photonics sector that contributes $4.3 billion annually</w:t>
      </w:r>
      <w:r w:rsidR="00512945">
        <w:t>.</w:t>
      </w:r>
      <w:r>
        <w:rPr>
          <w:rStyle w:val="FootnoteReference"/>
        </w:rPr>
        <w:footnoteReference w:id="11"/>
      </w:r>
      <w:r w:rsidRPr="00E53EDA">
        <w:t xml:space="preserve"> </w:t>
      </w:r>
      <w:r>
        <w:t xml:space="preserve">Australia also leverages autonomous systems </w:t>
      </w:r>
      <w:r w:rsidRPr="00E53EDA">
        <w:t xml:space="preserve">across key sectors such as agriculture, healthcare, and mining, with these technologies predicted to contribute $19 trillion globally from 2020 to 2030. </w:t>
      </w:r>
      <w:r w:rsidRPr="002949FC">
        <w:t>Such advancements could significantly enhance workforce productivity, particularly in regional areas, by up to 50%</w:t>
      </w:r>
      <w:r w:rsidR="00512945">
        <w:t>.</w:t>
      </w:r>
      <w:r>
        <w:rPr>
          <w:rStyle w:val="FootnoteReference"/>
        </w:rPr>
        <w:footnoteReference w:id="12"/>
      </w:r>
    </w:p>
    <w:p w14:paraId="56446EF1" w14:textId="77777777" w:rsidR="00FB2B97" w:rsidRDefault="00FB2B97" w:rsidP="00FB2B97">
      <w:r w:rsidRPr="002949FC">
        <w:t xml:space="preserve">The </w:t>
      </w:r>
      <w:r>
        <w:t>development of</w:t>
      </w:r>
      <w:r w:rsidRPr="002949FC">
        <w:t xml:space="preserve"> solutions </w:t>
      </w:r>
      <w:r>
        <w:t>that can operate</w:t>
      </w:r>
      <w:r w:rsidRPr="002949FC">
        <w:t xml:space="preserve"> in GPS</w:t>
      </w:r>
      <w:r>
        <w:t xml:space="preserve">/GNSS </w:t>
      </w:r>
      <w:r w:rsidRPr="002949FC">
        <w:t xml:space="preserve">denied environments is becoming increasingly crucial. These solutions are vital for ensuring continuous operation and resilience across various industries, where </w:t>
      </w:r>
      <w:r>
        <w:t xml:space="preserve">traditional communication </w:t>
      </w:r>
      <w:r w:rsidRPr="002949FC">
        <w:t>signals may be compromised or unavailable.</w:t>
      </w:r>
    </w:p>
    <w:p w14:paraId="1A60FD94" w14:textId="77777777" w:rsidR="00FB2B97" w:rsidRPr="00B5183D" w:rsidRDefault="00FB2B97" w:rsidP="00FB2B97">
      <w:r w:rsidRPr="00B5183D">
        <w:t xml:space="preserve">This challenge aims to explore innovative approaches for enhancing communication with autonomous systems operating in both GPS/GNSS –connected and GPS/GNSS denied environments. Applicants will </w:t>
      </w:r>
      <w:r>
        <w:t>develop</w:t>
      </w:r>
      <w:r w:rsidRPr="00B5183D">
        <w:t xml:space="preserve"> robust communications solutions that ensure seamless interaction and data exchange between autonomous systems and their surroundings. Emphasis should be placed on enhancing connectivity, adaptability, resilience in diverse environmental conditions and advancing the capabilities of autonomous systems in real–world scenarios. Applicants are not limited to earth–based technologies and are welcomed to leverage sensing technology that could be deployed on satellites. </w:t>
      </w:r>
    </w:p>
    <w:p w14:paraId="38371CC6" w14:textId="77777777" w:rsidR="00FB2B97" w:rsidRPr="00B5183D" w:rsidRDefault="00FB2B97" w:rsidP="00BB0536">
      <w:pPr>
        <w:pStyle w:val="Heading4"/>
      </w:pPr>
      <w:r w:rsidRPr="00B5183D">
        <w:t>What is the relevance of the challenge to industry?</w:t>
      </w:r>
    </w:p>
    <w:p w14:paraId="3557AA5A" w14:textId="77777777" w:rsidR="00FB2B97" w:rsidRPr="00B5183D" w:rsidRDefault="00FB2B97" w:rsidP="00FB2B97">
      <w:pPr>
        <w:pStyle w:val="ListParagraph"/>
        <w:numPr>
          <w:ilvl w:val="0"/>
          <w:numId w:val="33"/>
        </w:numPr>
      </w:pPr>
      <w:r w:rsidRPr="00B5183D">
        <w:t>Simplified navigation of autonomous vehicles in GPS/GNSS–connected and GPS/GNSS–denied environments.</w:t>
      </w:r>
    </w:p>
    <w:p w14:paraId="7F2F110A" w14:textId="77777777" w:rsidR="00FB2B97" w:rsidRDefault="00FB2B97" w:rsidP="00FB2B97">
      <w:pPr>
        <w:pStyle w:val="ListParagraph"/>
        <w:numPr>
          <w:ilvl w:val="0"/>
          <w:numId w:val="33"/>
        </w:numPr>
      </w:pPr>
      <w:r w:rsidRPr="00B5183D">
        <w:t>Improvements in personnel and equipment safety and tracking.</w:t>
      </w:r>
    </w:p>
    <w:p w14:paraId="4BAD9E60" w14:textId="77777777" w:rsidR="00FB2B97" w:rsidRDefault="00FB2B97" w:rsidP="00FB2B97">
      <w:pPr>
        <w:pStyle w:val="ListParagraph"/>
        <w:numPr>
          <w:ilvl w:val="0"/>
          <w:numId w:val="33"/>
        </w:numPr>
      </w:pPr>
      <w:r>
        <w:t>Increased productivity in existing sectors.</w:t>
      </w:r>
    </w:p>
    <w:p w14:paraId="5EA19886" w14:textId="77777777" w:rsidR="00FB2B97" w:rsidRDefault="00FB2B97" w:rsidP="00FB2B97">
      <w:pPr>
        <w:pStyle w:val="ListParagraph"/>
        <w:numPr>
          <w:ilvl w:val="0"/>
          <w:numId w:val="33"/>
        </w:numPr>
      </w:pPr>
      <w:r>
        <w:t>More accurate and stable asset and personnel tracking.</w:t>
      </w:r>
    </w:p>
    <w:p w14:paraId="786529BD" w14:textId="77777777" w:rsidR="00FB2B97" w:rsidRPr="00B5183D" w:rsidRDefault="00FB2B97" w:rsidP="00FB2B97">
      <w:pPr>
        <w:pStyle w:val="ListParagraph"/>
        <w:numPr>
          <w:ilvl w:val="0"/>
          <w:numId w:val="33"/>
        </w:numPr>
      </w:pPr>
      <w:r>
        <w:t>M</w:t>
      </w:r>
      <w:r w:rsidRPr="00253E33">
        <w:t>onitoring essential services such as electricity supply and transportation</w:t>
      </w:r>
      <w:r>
        <w:t>.</w:t>
      </w:r>
    </w:p>
    <w:p w14:paraId="5BFF286D" w14:textId="77777777" w:rsidR="00FB2B97" w:rsidRPr="00B5183D" w:rsidRDefault="00FB2B97" w:rsidP="00FB2B97">
      <w:pPr>
        <w:pStyle w:val="Calloutbox"/>
      </w:pPr>
      <w:r>
        <w:t xml:space="preserve">Please note that the possible solutions and expected benefits listed below are provided as suggestions. Certain suggestions may be more ambitious than others. Applicants should not feel limited to the suggestions listed below and are encouraged to present other innovative solutions which address the challenge.  </w:t>
      </w:r>
    </w:p>
    <w:p w14:paraId="76F902C5" w14:textId="77777777" w:rsidR="00FB2B97" w:rsidRDefault="00FB2B97">
      <w:pPr>
        <w:spacing w:before="0" w:after="160" w:line="259" w:lineRule="auto"/>
        <w:rPr>
          <w:rFonts w:asciiTheme="majorHAnsi" w:eastAsiaTheme="majorEastAsia" w:hAnsiTheme="majorHAnsi" w:cstheme="majorBidi"/>
          <w:iCs/>
          <w:color w:val="7A3972" w:themeColor="text2"/>
          <w:sz w:val="32"/>
          <w:szCs w:val="28"/>
        </w:rPr>
      </w:pPr>
      <w:r>
        <w:br w:type="page"/>
      </w:r>
    </w:p>
    <w:p w14:paraId="66BEC5AC" w14:textId="42EF7219" w:rsidR="00FB2B97" w:rsidRPr="00B5183D" w:rsidRDefault="00FB2B97" w:rsidP="00BB0536">
      <w:pPr>
        <w:pStyle w:val="Heading4"/>
      </w:pPr>
      <w:r w:rsidRPr="00B5183D">
        <w:lastRenderedPageBreak/>
        <w:t xml:space="preserve">Possible solution elements may include: </w:t>
      </w:r>
    </w:p>
    <w:p w14:paraId="3FB23CCA" w14:textId="77777777" w:rsidR="00FB2B97" w:rsidRPr="00B5183D" w:rsidRDefault="00FB2B97" w:rsidP="00FB2B97">
      <w:pPr>
        <w:pStyle w:val="ListParagraph"/>
        <w:numPr>
          <w:ilvl w:val="0"/>
          <w:numId w:val="33"/>
        </w:numPr>
      </w:pPr>
      <w:r w:rsidRPr="00B5183D">
        <w:rPr>
          <w:b/>
          <w:bCs/>
        </w:rPr>
        <w:t xml:space="preserve">Quantum enhanced </w:t>
      </w:r>
      <w:r>
        <w:rPr>
          <w:b/>
          <w:bCs/>
        </w:rPr>
        <w:t>vehicle to vehicle</w:t>
      </w:r>
      <w:r w:rsidRPr="00B5183D">
        <w:rPr>
          <w:b/>
          <w:bCs/>
        </w:rPr>
        <w:t xml:space="preserve"> communication</w:t>
      </w:r>
      <w:r w:rsidRPr="00B5183D">
        <w:t xml:space="preserve"> – improved efficiency, security, and reliability, ensuring connectivity even in GPS–denied environments. </w:t>
      </w:r>
    </w:p>
    <w:p w14:paraId="33D2DB0A" w14:textId="77777777" w:rsidR="00FB2B97" w:rsidRPr="00B5183D" w:rsidRDefault="00FB2B97" w:rsidP="00FB2B97">
      <w:pPr>
        <w:pStyle w:val="ListParagraph"/>
        <w:numPr>
          <w:ilvl w:val="0"/>
          <w:numId w:val="33"/>
        </w:numPr>
      </w:pPr>
      <w:r w:rsidRPr="00B5183D">
        <w:rPr>
          <w:b/>
          <w:bCs/>
        </w:rPr>
        <w:t>Precision asset tracking</w:t>
      </w:r>
      <w:r w:rsidRPr="00B5183D">
        <w:t xml:space="preserve"> – enhanced precision and accuracy </w:t>
      </w:r>
      <w:r>
        <w:t xml:space="preserve">in the </w:t>
      </w:r>
      <w:r w:rsidRPr="00B5183D">
        <w:t>tracking</w:t>
      </w:r>
      <w:r>
        <w:t xml:space="preserve"> of</w:t>
      </w:r>
      <w:r w:rsidRPr="00B5183D">
        <w:t xml:space="preserve"> autonomous systems, encompassing real–time location monitoring, predictive maintenance, and fleet management, particularly in areas with limited (or no) GPS/GNSS availability. </w:t>
      </w:r>
    </w:p>
    <w:p w14:paraId="3B29D750" w14:textId="77777777" w:rsidR="00FB2B97" w:rsidRPr="00B5183D" w:rsidRDefault="00FB2B97" w:rsidP="00FB2B97">
      <w:pPr>
        <w:pStyle w:val="ListParagraph"/>
        <w:numPr>
          <w:ilvl w:val="0"/>
          <w:numId w:val="33"/>
        </w:numPr>
      </w:pPr>
      <w:r w:rsidRPr="00B5183D">
        <w:rPr>
          <w:b/>
          <w:bCs/>
        </w:rPr>
        <w:t>Security and privacy measures</w:t>
      </w:r>
      <w:r w:rsidRPr="00B5183D">
        <w:t xml:space="preserve"> – improved ability to address security and privacy concerns associated with autonomous systems including communication and tracking, ensuring data integrity, confidentiality, and security of interactions.</w:t>
      </w:r>
    </w:p>
    <w:p w14:paraId="4F35F93E" w14:textId="77777777" w:rsidR="00FB2B97" w:rsidRPr="00B5183D" w:rsidRDefault="00FB2B97" w:rsidP="00FB2B97">
      <w:pPr>
        <w:pStyle w:val="ListParagraph"/>
        <w:numPr>
          <w:ilvl w:val="0"/>
          <w:numId w:val="33"/>
        </w:numPr>
      </w:pPr>
      <w:r w:rsidRPr="00B5183D">
        <w:rPr>
          <w:b/>
          <w:bCs/>
        </w:rPr>
        <w:t>Improved unmanned coordination methods</w:t>
      </w:r>
      <w:r w:rsidRPr="00B5183D">
        <w:t xml:space="preserve"> – improved abilities for drone and unpiloted technologies, allowing for greater autonomous functionality. </w:t>
      </w:r>
    </w:p>
    <w:p w14:paraId="10148F88" w14:textId="77777777" w:rsidR="00FB2B97" w:rsidRPr="00B5183D" w:rsidRDefault="00FB2B97" w:rsidP="00BB0536">
      <w:pPr>
        <w:pStyle w:val="Heading4"/>
      </w:pPr>
      <w:bookmarkStart w:id="58" w:name="_Hlk158724416"/>
      <w:r>
        <w:t>Expected benefits:</w:t>
      </w:r>
      <w:r w:rsidRPr="00B5183D">
        <w:t xml:space="preserve"> </w:t>
      </w:r>
      <w:bookmarkEnd w:id="58"/>
    </w:p>
    <w:p w14:paraId="7FD320FB" w14:textId="77777777" w:rsidR="00FB2B97" w:rsidRPr="00B5183D" w:rsidRDefault="00FB2B97" w:rsidP="00FB2B97">
      <w:pPr>
        <w:pStyle w:val="ListParagraph"/>
        <w:numPr>
          <w:ilvl w:val="0"/>
          <w:numId w:val="34"/>
        </w:numPr>
      </w:pPr>
      <w:r w:rsidRPr="00B5183D">
        <w:rPr>
          <w:b/>
          <w:bCs/>
        </w:rPr>
        <w:t xml:space="preserve">Faster </w:t>
      </w:r>
      <w:r>
        <w:rPr>
          <w:b/>
          <w:bCs/>
        </w:rPr>
        <w:t>vehicle to vehicle</w:t>
      </w:r>
      <w:r w:rsidRPr="00B5183D">
        <w:rPr>
          <w:b/>
          <w:bCs/>
        </w:rPr>
        <w:t xml:space="preserve"> communications</w:t>
      </w:r>
      <w:r w:rsidRPr="00B5183D">
        <w:t xml:space="preserve"> – faster and more secure exchange of critical information between vehicles or autonomous systems.</w:t>
      </w:r>
    </w:p>
    <w:p w14:paraId="61A52F73" w14:textId="77777777" w:rsidR="00FB2B97" w:rsidRPr="00B5183D" w:rsidRDefault="00FB2B97" w:rsidP="00FB2B97">
      <w:pPr>
        <w:pStyle w:val="ListParagraph"/>
        <w:numPr>
          <w:ilvl w:val="0"/>
          <w:numId w:val="34"/>
        </w:numPr>
      </w:pPr>
      <w:r w:rsidRPr="00B5183D">
        <w:rPr>
          <w:b/>
          <w:bCs/>
        </w:rPr>
        <w:t>Connectivity in remote and challenging environments</w:t>
      </w:r>
      <w:r w:rsidRPr="00B5183D">
        <w:t xml:space="preserve"> – ability to ensure connectivity even in remote or challenging terrains, and improved reliability of communication and tracking capabilities in areas previously underserved by traditional systems. </w:t>
      </w:r>
    </w:p>
    <w:p w14:paraId="191A28C5" w14:textId="77777777" w:rsidR="00FB2B97" w:rsidRPr="00B5183D" w:rsidRDefault="00FB2B97" w:rsidP="00FB2B97">
      <w:pPr>
        <w:pStyle w:val="ListParagraph"/>
        <w:numPr>
          <w:ilvl w:val="0"/>
          <w:numId w:val="34"/>
        </w:numPr>
        <w:rPr>
          <w:bCs/>
        </w:rPr>
      </w:pPr>
      <w:r w:rsidRPr="00B5183D">
        <w:rPr>
          <w:b/>
        </w:rPr>
        <w:t xml:space="preserve">Improved fleet management and logistics </w:t>
      </w:r>
      <w:r w:rsidRPr="00B5183D">
        <w:rPr>
          <w:bCs/>
        </w:rPr>
        <w:t>–improved efficiency in transportation of equipment and personnel through the ability to choose the best routes to avoid congestion – resulting in lower emissions and costs.</w:t>
      </w:r>
    </w:p>
    <w:p w14:paraId="1B9AC6D0" w14:textId="751F54C1" w:rsidR="00FB2B97" w:rsidRPr="00B5183D" w:rsidRDefault="00FB2B97" w:rsidP="00FB2B97">
      <w:pPr>
        <w:pStyle w:val="ListParagraph"/>
        <w:numPr>
          <w:ilvl w:val="0"/>
          <w:numId w:val="34"/>
        </w:numPr>
      </w:pPr>
      <w:r w:rsidRPr="00B5183D">
        <w:rPr>
          <w:b/>
          <w:bCs/>
        </w:rPr>
        <w:t>Potential for autonomous vehicle integration</w:t>
      </w:r>
      <w:r w:rsidRPr="00B5183D">
        <w:t xml:space="preserve"> – ability to create a foundation for the integration of autonomous vehicles into transportation networks, enabling safer and more efficient self</w:t>
      </w:r>
      <w:r w:rsidR="0078720E">
        <w:t>-</w:t>
      </w:r>
      <w:r w:rsidRPr="00B5183D">
        <w:t xml:space="preserve">driving capabilities. </w:t>
      </w:r>
    </w:p>
    <w:p w14:paraId="1BC9EAB6" w14:textId="77777777" w:rsidR="00FB2B97" w:rsidRPr="00B5183D" w:rsidRDefault="00FB2B97" w:rsidP="00FB2B97">
      <w:pPr>
        <w:pStyle w:val="ListParagraph"/>
        <w:numPr>
          <w:ilvl w:val="0"/>
          <w:numId w:val="34"/>
        </w:numPr>
      </w:pPr>
      <w:r w:rsidRPr="00B5183D">
        <w:rPr>
          <w:b/>
          <w:bCs/>
        </w:rPr>
        <w:t>Enhanced road infrastructure planning</w:t>
      </w:r>
      <w:r w:rsidRPr="00B5183D">
        <w:t xml:space="preserve"> – improved tracking precision, providing data to inform and improve road infrastructure planning. </w:t>
      </w:r>
    </w:p>
    <w:p w14:paraId="2C3E1718" w14:textId="77777777" w:rsidR="00FB2B97" w:rsidRPr="00B5183D" w:rsidRDefault="00FB2B97" w:rsidP="00FB2B97">
      <w:pPr>
        <w:pStyle w:val="ListParagraph"/>
        <w:numPr>
          <w:ilvl w:val="0"/>
          <w:numId w:val="34"/>
        </w:numPr>
      </w:pPr>
      <w:r w:rsidRPr="00B5183D">
        <w:rPr>
          <w:b/>
          <w:bCs/>
        </w:rPr>
        <w:t>Improved worker safety when working with autonomous systems</w:t>
      </w:r>
      <w:r w:rsidRPr="00B5183D">
        <w:t xml:space="preserve"> – real-time monitoring of the location of human </w:t>
      </w:r>
      <w:r>
        <w:t xml:space="preserve">resources, </w:t>
      </w:r>
      <w:r w:rsidRPr="00B5183D">
        <w:t xml:space="preserve">and enhanced communication </w:t>
      </w:r>
      <w:r>
        <w:t xml:space="preserve">with navigation </w:t>
      </w:r>
      <w:r w:rsidRPr="00B5183D">
        <w:t>systems</w:t>
      </w:r>
      <w:r>
        <w:t xml:space="preserve"> may allow more</w:t>
      </w:r>
      <w:r w:rsidRPr="00B5183D">
        <w:t xml:space="preserve"> immediate responses to emergenc</w:t>
      </w:r>
      <w:r>
        <w:t>y situations</w:t>
      </w:r>
      <w:r w:rsidRPr="00B5183D">
        <w:t>.</w:t>
      </w:r>
    </w:p>
    <w:p w14:paraId="1A981D18" w14:textId="77777777" w:rsidR="00FB2B97" w:rsidRPr="00B5183D" w:rsidRDefault="00FB2B97" w:rsidP="00BB0536">
      <w:pPr>
        <w:pStyle w:val="Heading4"/>
      </w:pPr>
      <w:r w:rsidRPr="00B5183D">
        <w:t xml:space="preserve">Intended technology end users or customers may include: </w:t>
      </w:r>
    </w:p>
    <w:p w14:paraId="58A0DFFC" w14:textId="77777777" w:rsidR="00FB2B97" w:rsidRPr="00B5183D" w:rsidRDefault="00FB2B97" w:rsidP="00FB2B97">
      <w:pPr>
        <w:pStyle w:val="ListParagraph"/>
        <w:numPr>
          <w:ilvl w:val="0"/>
          <w:numId w:val="32"/>
        </w:numPr>
      </w:pPr>
      <w:r w:rsidRPr="00B5183D">
        <w:t>Agricultural companies</w:t>
      </w:r>
      <w:r>
        <w:t>.</w:t>
      </w:r>
    </w:p>
    <w:p w14:paraId="2EBD9E37" w14:textId="77777777" w:rsidR="00FB2B97" w:rsidRPr="00B5183D" w:rsidRDefault="00FB2B97" w:rsidP="00FB2B97">
      <w:pPr>
        <w:pStyle w:val="ListParagraph"/>
        <w:numPr>
          <w:ilvl w:val="0"/>
          <w:numId w:val="32"/>
        </w:numPr>
      </w:pPr>
      <w:r w:rsidRPr="00B5183D">
        <w:t>Logistics companies</w:t>
      </w:r>
      <w:r>
        <w:t>.</w:t>
      </w:r>
    </w:p>
    <w:p w14:paraId="3B6B6B63" w14:textId="77777777" w:rsidR="00FB2B97" w:rsidRDefault="00FB2B97" w:rsidP="00FB2B97">
      <w:pPr>
        <w:pStyle w:val="ListParagraph"/>
        <w:numPr>
          <w:ilvl w:val="0"/>
          <w:numId w:val="32"/>
        </w:numPr>
      </w:pPr>
      <w:r w:rsidRPr="00B5183D">
        <w:t>Mining and resources</w:t>
      </w:r>
      <w:r>
        <w:t>.</w:t>
      </w:r>
    </w:p>
    <w:p w14:paraId="230392C7" w14:textId="77777777" w:rsidR="00FB2B97" w:rsidRDefault="00FB2B97" w:rsidP="00FB2B97">
      <w:pPr>
        <w:pStyle w:val="ListParagraph"/>
        <w:numPr>
          <w:ilvl w:val="0"/>
          <w:numId w:val="32"/>
        </w:numPr>
      </w:pPr>
      <w:r>
        <w:t xml:space="preserve">State and Territory governments. </w:t>
      </w:r>
    </w:p>
    <w:p w14:paraId="5B229FA7" w14:textId="77777777" w:rsidR="00FB2B97" w:rsidRDefault="00FB2B97" w:rsidP="00FB2B97">
      <w:pPr>
        <w:pStyle w:val="ListParagraph"/>
        <w:numPr>
          <w:ilvl w:val="0"/>
          <w:numId w:val="32"/>
        </w:numPr>
      </w:pPr>
      <w:r>
        <w:t xml:space="preserve">Vehicle or vehicle component manufacturers. </w:t>
      </w:r>
    </w:p>
    <w:p w14:paraId="5A53AED2" w14:textId="77777777" w:rsidR="00FB2B97" w:rsidRPr="008F28BC" w:rsidRDefault="00FB2B97" w:rsidP="00FB2B97">
      <w:pPr>
        <w:pStyle w:val="Calloutbox"/>
      </w:pPr>
      <w:r w:rsidRPr="008F28BC">
        <w:t xml:space="preserve">The </w:t>
      </w:r>
      <w:r>
        <w:t>policies and strategies</w:t>
      </w:r>
      <w:r w:rsidRPr="008F28BC">
        <w:t xml:space="preserve"> listed below are </w:t>
      </w:r>
      <w:r>
        <w:t xml:space="preserve">provided </w:t>
      </w:r>
      <w:r w:rsidRPr="008F28BC">
        <w:t xml:space="preserve">for awareness </w:t>
      </w:r>
      <w:r>
        <w:t>of how this challenge aligns with broader government policy</w:t>
      </w:r>
      <w:r w:rsidRPr="008F28BC">
        <w:t xml:space="preserve">. </w:t>
      </w:r>
      <w:r>
        <w:t xml:space="preserve"> Applicants do not need to </w:t>
      </w:r>
      <w:r w:rsidRPr="008F28BC">
        <w:t>address</w:t>
      </w:r>
      <w:r>
        <w:t xml:space="preserve"> these policies </w:t>
      </w:r>
      <w:r w:rsidRPr="008F28BC">
        <w:t>within the</w:t>
      </w:r>
      <w:r>
        <w:t>ir</w:t>
      </w:r>
      <w:r w:rsidRPr="008F28BC">
        <w:t xml:space="preserve"> application. </w:t>
      </w:r>
    </w:p>
    <w:p w14:paraId="2F128427" w14:textId="77777777" w:rsidR="00FB2B97" w:rsidRDefault="00FB2B97">
      <w:pPr>
        <w:spacing w:before="0" w:after="160" w:line="259" w:lineRule="auto"/>
        <w:rPr>
          <w:b/>
          <w:bCs/>
        </w:rPr>
      </w:pPr>
      <w:r>
        <w:rPr>
          <w:b/>
          <w:bCs/>
        </w:rPr>
        <w:br w:type="page"/>
      </w:r>
    </w:p>
    <w:p w14:paraId="5766905E" w14:textId="2C680EF4" w:rsidR="00FB2B97" w:rsidRPr="00B5183D" w:rsidRDefault="00FB2B97" w:rsidP="00BB0536">
      <w:pPr>
        <w:pStyle w:val="Heading4"/>
      </w:pPr>
      <w:r w:rsidRPr="00B5183D">
        <w:lastRenderedPageBreak/>
        <w:t>National policies and strategies that align with this challenge include:</w:t>
      </w:r>
    </w:p>
    <w:tbl>
      <w:tblPr>
        <w:tblStyle w:val="GridTable4-Accent1"/>
        <w:tblW w:w="9067" w:type="dxa"/>
        <w:tblLook w:val="04A0" w:firstRow="1" w:lastRow="0" w:firstColumn="1" w:lastColumn="0" w:noHBand="0" w:noVBand="1"/>
      </w:tblPr>
      <w:tblGrid>
        <w:gridCol w:w="2972"/>
        <w:gridCol w:w="6095"/>
      </w:tblGrid>
      <w:tr w:rsidR="00FB2B97" w:rsidRPr="00B5183D" w14:paraId="4F85228C" w14:textId="77777777" w:rsidTr="00BB0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4BD5D70" w14:textId="77777777" w:rsidR="00FB2B97" w:rsidRPr="00B5183D" w:rsidRDefault="00FB2B97" w:rsidP="004B0BDF">
            <w:r w:rsidRPr="00B5183D">
              <w:t>National strategy, plan, or policy</w:t>
            </w:r>
          </w:p>
        </w:tc>
        <w:tc>
          <w:tcPr>
            <w:tcW w:w="6095" w:type="dxa"/>
          </w:tcPr>
          <w:p w14:paraId="3FB64BC2" w14:textId="77777777" w:rsidR="00FB2B97" w:rsidRPr="00B5183D" w:rsidRDefault="00FB2B97" w:rsidP="004B0BDF">
            <w:pPr>
              <w:cnfStyle w:val="100000000000" w:firstRow="1" w:lastRow="0" w:firstColumn="0" w:lastColumn="0" w:oddVBand="0" w:evenVBand="0" w:oddHBand="0" w:evenHBand="0" w:firstRowFirstColumn="0" w:firstRowLastColumn="0" w:lastRowFirstColumn="0" w:lastRowLastColumn="0"/>
            </w:pPr>
            <w:r w:rsidRPr="00B5183D">
              <w:t>Areas of alignment with this challenge</w:t>
            </w:r>
          </w:p>
        </w:tc>
      </w:tr>
      <w:tr w:rsidR="00FB2B97" w:rsidRPr="00B5183D" w14:paraId="32C5F717"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18B433B" w14:textId="77777777" w:rsidR="00FB2B97" w:rsidRPr="00B5183D" w:rsidRDefault="00FB2B97" w:rsidP="004B0BDF">
            <w:r w:rsidRPr="00B5183D">
              <w:t>National Reconstruction Fund Priorities</w:t>
            </w:r>
          </w:p>
        </w:tc>
        <w:tc>
          <w:tcPr>
            <w:tcW w:w="6095" w:type="dxa"/>
          </w:tcPr>
          <w:p w14:paraId="169EF744" w14:textId="77777777" w:rsidR="00FB2B97" w:rsidRPr="00B5183D" w:rsidRDefault="00FB2B97" w:rsidP="004B0BDF">
            <w:pPr>
              <w:cnfStyle w:val="000000100000" w:firstRow="0" w:lastRow="0" w:firstColumn="0" w:lastColumn="0" w:oddVBand="0" w:evenVBand="0" w:oddHBand="1" w:evenHBand="0" w:firstRowFirstColumn="0" w:firstRowLastColumn="0" w:lastRowFirstColumn="0" w:lastRowLastColumn="0"/>
            </w:pPr>
            <w:r w:rsidRPr="00B5183D">
              <w:t>Priority 3: Transport</w:t>
            </w:r>
          </w:p>
          <w:p w14:paraId="6B80B475" w14:textId="77777777" w:rsidR="00FB2B97" w:rsidRPr="00B5183D" w:rsidRDefault="00FB2B97" w:rsidP="004B0BDF">
            <w:pPr>
              <w:cnfStyle w:val="000000100000" w:firstRow="0" w:lastRow="0" w:firstColumn="0" w:lastColumn="0" w:oddVBand="0" w:evenVBand="0" w:oddHBand="1" w:evenHBand="0" w:firstRowFirstColumn="0" w:firstRowLastColumn="0" w:lastRowFirstColumn="0" w:lastRowLastColumn="0"/>
            </w:pPr>
            <w:r w:rsidRPr="00B5183D">
              <w:t xml:space="preserve">Priority 4: Value-add in the agriculture, forestry, and fisheries </w:t>
            </w:r>
            <w:proofErr w:type="gramStart"/>
            <w:r w:rsidRPr="00B5183D">
              <w:t>sectors</w:t>
            </w:r>
            <w:proofErr w:type="gramEnd"/>
          </w:p>
          <w:p w14:paraId="4397D4A8" w14:textId="77777777" w:rsidR="00FB2B97" w:rsidRPr="00B5183D" w:rsidRDefault="00FB2B97" w:rsidP="004B0BDF">
            <w:pPr>
              <w:cnfStyle w:val="000000100000" w:firstRow="0" w:lastRow="0" w:firstColumn="0" w:lastColumn="0" w:oddVBand="0" w:evenVBand="0" w:oddHBand="1" w:evenHBand="0" w:firstRowFirstColumn="0" w:firstRowLastColumn="0" w:lastRowFirstColumn="0" w:lastRowLastColumn="0"/>
            </w:pPr>
            <w:r w:rsidRPr="00B5183D">
              <w:t>Priority 5: Value-add in resources</w:t>
            </w:r>
          </w:p>
        </w:tc>
      </w:tr>
      <w:tr w:rsidR="00FB2B97" w:rsidRPr="00B5183D" w14:paraId="0FA3F481" w14:textId="77777777" w:rsidTr="00BB0536">
        <w:tc>
          <w:tcPr>
            <w:cnfStyle w:val="001000000000" w:firstRow="0" w:lastRow="0" w:firstColumn="1" w:lastColumn="0" w:oddVBand="0" w:evenVBand="0" w:oddHBand="0" w:evenHBand="0" w:firstRowFirstColumn="0" w:firstRowLastColumn="0" w:lastRowFirstColumn="0" w:lastRowLastColumn="0"/>
            <w:tcW w:w="2972" w:type="dxa"/>
          </w:tcPr>
          <w:p w14:paraId="6FA500D3" w14:textId="77777777" w:rsidR="00FB2B97" w:rsidRPr="00B5183D" w:rsidRDefault="00FB2B97" w:rsidP="004B0BDF">
            <w:pPr>
              <w:rPr>
                <w:b w:val="0"/>
                <w:bCs w:val="0"/>
              </w:rPr>
            </w:pPr>
            <w:r w:rsidRPr="00B5183D">
              <w:t>Proposed National Science and Research Priorities</w:t>
            </w:r>
          </w:p>
        </w:tc>
        <w:tc>
          <w:tcPr>
            <w:tcW w:w="6095" w:type="dxa"/>
          </w:tcPr>
          <w:p w14:paraId="281D85D5" w14:textId="77777777" w:rsidR="00FB2B97" w:rsidRPr="00B5183D" w:rsidRDefault="00FB2B97" w:rsidP="004B0BDF">
            <w:pPr>
              <w:cnfStyle w:val="000000000000" w:firstRow="0" w:lastRow="0" w:firstColumn="0" w:lastColumn="0" w:oddVBand="0" w:evenVBand="0" w:oddHBand="0" w:evenHBand="0" w:firstRowFirstColumn="0" w:firstRowLastColumn="0" w:lastRowFirstColumn="0" w:lastRowLastColumn="0"/>
            </w:pPr>
            <w:r w:rsidRPr="00B5183D">
              <w:t>Priority 5: B</w:t>
            </w:r>
            <w:r w:rsidRPr="007320C9">
              <w:rPr>
                <w:rFonts w:eastAsia="Aptos" w:cs="Times New Roman"/>
              </w:rPr>
              <w:t>uilding a secure and resilient nation</w:t>
            </w:r>
          </w:p>
        </w:tc>
      </w:tr>
      <w:tr w:rsidR="00FB2B97" w:rsidRPr="00B5183D" w14:paraId="79C06F72"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7AE37" w14:textId="77777777" w:rsidR="00FB2B97" w:rsidRPr="00B5183D" w:rsidRDefault="00FB2B97" w:rsidP="004B0BDF">
            <w:pPr>
              <w:rPr>
                <w:b w:val="0"/>
                <w:bCs w:val="0"/>
              </w:rPr>
            </w:pPr>
            <w:r w:rsidRPr="00B5183D">
              <w:t>Critical Technologies Statement</w:t>
            </w:r>
          </w:p>
        </w:tc>
        <w:tc>
          <w:tcPr>
            <w:tcW w:w="6095" w:type="dxa"/>
          </w:tcPr>
          <w:p w14:paraId="1613340C" w14:textId="77777777" w:rsidR="00FB2B97" w:rsidRPr="00B5183D" w:rsidRDefault="00FB2B97" w:rsidP="004B0BDF">
            <w:pPr>
              <w:cnfStyle w:val="000000100000" w:firstRow="0" w:lastRow="0" w:firstColumn="0" w:lastColumn="0" w:oddVBand="0" w:evenVBand="0" w:oddHBand="1" w:evenHBand="0" w:firstRowFirstColumn="0" w:firstRowLastColumn="0" w:lastRowFirstColumn="0" w:lastRowLastColumn="0"/>
              <w:rPr>
                <w:b/>
                <w:bCs/>
              </w:rPr>
            </w:pPr>
            <w:r w:rsidRPr="00B5183D">
              <w:t xml:space="preserve">Solving national challenges here in Australia –Manufacturing </w:t>
            </w:r>
          </w:p>
        </w:tc>
      </w:tr>
      <w:tr w:rsidR="00FB2B97" w:rsidRPr="00B5183D" w14:paraId="68745CD2" w14:textId="77777777" w:rsidTr="00BB0536">
        <w:tc>
          <w:tcPr>
            <w:cnfStyle w:val="001000000000" w:firstRow="0" w:lastRow="0" w:firstColumn="1" w:lastColumn="0" w:oddVBand="0" w:evenVBand="0" w:oddHBand="0" w:evenHBand="0" w:firstRowFirstColumn="0" w:firstRowLastColumn="0" w:lastRowFirstColumn="0" w:lastRowLastColumn="0"/>
            <w:tcW w:w="2972" w:type="dxa"/>
          </w:tcPr>
          <w:p w14:paraId="6680665E" w14:textId="77777777" w:rsidR="00FB2B97" w:rsidRPr="00B5183D" w:rsidRDefault="00FB2B97" w:rsidP="004B0BDF">
            <w:pPr>
              <w:rPr>
                <w:b w:val="0"/>
                <w:bCs w:val="0"/>
              </w:rPr>
            </w:pPr>
            <w:r w:rsidRPr="00B5183D">
              <w:t>List of Critical Technologies in the National Interest</w:t>
            </w:r>
          </w:p>
        </w:tc>
        <w:tc>
          <w:tcPr>
            <w:tcW w:w="6095" w:type="dxa"/>
          </w:tcPr>
          <w:p w14:paraId="66E40B06" w14:textId="77777777" w:rsidR="00FB2B97" w:rsidRPr="00B5183D" w:rsidRDefault="00FB2B97" w:rsidP="004B0BDF">
            <w:pPr>
              <w:cnfStyle w:val="000000000000" w:firstRow="0" w:lastRow="0" w:firstColumn="0" w:lastColumn="0" w:oddVBand="0" w:evenVBand="0" w:oddHBand="0" w:evenHBand="0" w:firstRowFirstColumn="0" w:firstRowLastColumn="0" w:lastRowFirstColumn="0" w:lastRowLastColumn="0"/>
            </w:pPr>
            <w:r w:rsidRPr="00B5183D">
              <w:t>Advanced information and communication technologies</w:t>
            </w:r>
          </w:p>
          <w:p w14:paraId="5587CE14" w14:textId="77777777" w:rsidR="00FB2B97" w:rsidRPr="00B5183D" w:rsidRDefault="00FB2B97" w:rsidP="004B0BDF">
            <w:pPr>
              <w:cnfStyle w:val="000000000000" w:firstRow="0" w:lastRow="0" w:firstColumn="0" w:lastColumn="0" w:oddVBand="0" w:evenVBand="0" w:oddHBand="0" w:evenHBand="0" w:firstRowFirstColumn="0" w:firstRowLastColumn="0" w:lastRowFirstColumn="0" w:lastRowLastColumn="0"/>
            </w:pPr>
            <w:r w:rsidRPr="00B5183D">
              <w:t>Quantum technologies</w:t>
            </w:r>
          </w:p>
          <w:p w14:paraId="55F9BA7E" w14:textId="77777777" w:rsidR="00FB2B97" w:rsidRPr="00B5183D" w:rsidRDefault="00FB2B97" w:rsidP="004B0BDF">
            <w:pPr>
              <w:cnfStyle w:val="000000000000" w:firstRow="0" w:lastRow="0" w:firstColumn="0" w:lastColumn="0" w:oddVBand="0" w:evenVBand="0" w:oddHBand="0" w:evenHBand="0" w:firstRowFirstColumn="0" w:firstRowLastColumn="0" w:lastRowFirstColumn="0" w:lastRowLastColumn="0"/>
              <w:rPr>
                <w:b/>
                <w:bCs/>
              </w:rPr>
            </w:pPr>
            <w:r w:rsidRPr="00B5183D">
              <w:t>Autonomous systems, robotics, positioning, timing, and sensing</w:t>
            </w:r>
          </w:p>
        </w:tc>
      </w:tr>
      <w:tr w:rsidR="00FB2B97" w:rsidRPr="00B5183D" w14:paraId="2E2C9EC8"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19D774" w14:textId="77777777" w:rsidR="00FB2B97" w:rsidRPr="00B5183D" w:rsidRDefault="00FB2B97" w:rsidP="004B0BDF">
            <w:r w:rsidRPr="00B5183D">
              <w:t>CSIRO Megatrends</w:t>
            </w:r>
          </w:p>
        </w:tc>
        <w:tc>
          <w:tcPr>
            <w:tcW w:w="6095" w:type="dxa"/>
          </w:tcPr>
          <w:p w14:paraId="216B5DF3" w14:textId="77777777" w:rsidR="00FB2B97" w:rsidRPr="00B5183D" w:rsidRDefault="00FB2B97" w:rsidP="004B0BDF">
            <w:pPr>
              <w:cnfStyle w:val="000000100000" w:firstRow="0" w:lastRow="0" w:firstColumn="0" w:lastColumn="0" w:oddVBand="0" w:evenVBand="0" w:oddHBand="1" w:evenHBand="0" w:firstRowFirstColumn="0" w:firstRowLastColumn="0" w:lastRowFirstColumn="0" w:lastRowLastColumn="0"/>
            </w:pPr>
            <w:r w:rsidRPr="00B5183D">
              <w:t xml:space="preserve">Increasingly autonomous </w:t>
            </w:r>
          </w:p>
          <w:p w14:paraId="2F0000D4" w14:textId="77777777" w:rsidR="00FB2B97" w:rsidRPr="00B5183D" w:rsidRDefault="00FB2B97" w:rsidP="004B0BDF">
            <w:pPr>
              <w:cnfStyle w:val="000000100000" w:firstRow="0" w:lastRow="0" w:firstColumn="0" w:lastColumn="0" w:oddVBand="0" w:evenVBand="0" w:oddHBand="1" w:evenHBand="0" w:firstRowFirstColumn="0" w:firstRowLastColumn="0" w:lastRowFirstColumn="0" w:lastRowLastColumn="0"/>
            </w:pPr>
            <w:r w:rsidRPr="00B5183D">
              <w:t>Diving into digital</w:t>
            </w:r>
          </w:p>
        </w:tc>
      </w:tr>
      <w:tr w:rsidR="00FB2B97" w:rsidRPr="00B5183D" w14:paraId="485C1DAD" w14:textId="77777777" w:rsidTr="00BB0536">
        <w:tc>
          <w:tcPr>
            <w:cnfStyle w:val="001000000000" w:firstRow="0" w:lastRow="0" w:firstColumn="1" w:lastColumn="0" w:oddVBand="0" w:evenVBand="0" w:oddHBand="0" w:evenHBand="0" w:firstRowFirstColumn="0" w:firstRowLastColumn="0" w:lastRowFirstColumn="0" w:lastRowLastColumn="0"/>
            <w:tcW w:w="2972" w:type="dxa"/>
          </w:tcPr>
          <w:p w14:paraId="00D4295D" w14:textId="77777777" w:rsidR="00FB2B97" w:rsidRPr="00B5183D" w:rsidRDefault="00FB2B97" w:rsidP="004B0BDF">
            <w:pPr>
              <w:rPr>
                <w:b w:val="0"/>
                <w:bCs w:val="0"/>
              </w:rPr>
            </w:pPr>
            <w:r>
              <w:t xml:space="preserve">The 2021 </w:t>
            </w:r>
            <w:r w:rsidRPr="00B5183D">
              <w:t>National Research Infrastructure Roadmap</w:t>
            </w:r>
          </w:p>
        </w:tc>
        <w:tc>
          <w:tcPr>
            <w:tcW w:w="6095" w:type="dxa"/>
          </w:tcPr>
          <w:p w14:paraId="66438BEE" w14:textId="77777777" w:rsidR="00FB2B97" w:rsidRPr="00B5183D" w:rsidRDefault="00FB2B97" w:rsidP="004B0BDF">
            <w:pPr>
              <w:cnfStyle w:val="000000000000" w:firstRow="0" w:lastRow="0" w:firstColumn="0" w:lastColumn="0" w:oddVBand="0" w:evenVBand="0" w:oddHBand="0" w:evenHBand="0" w:firstRowFirstColumn="0" w:firstRowLastColumn="0" w:lastRowFirstColumn="0" w:lastRowLastColumn="0"/>
            </w:pPr>
            <w:r w:rsidRPr="00B5183D">
              <w:t xml:space="preserve">Frontier </w:t>
            </w:r>
            <w:r>
              <w:t>t</w:t>
            </w:r>
            <w:r w:rsidRPr="00B5183D">
              <w:t xml:space="preserve">echnologies and </w:t>
            </w:r>
            <w:r>
              <w:t>m</w:t>
            </w:r>
            <w:r w:rsidRPr="00B5183D">
              <w:t xml:space="preserve">odern </w:t>
            </w:r>
            <w:r>
              <w:t>m</w:t>
            </w:r>
            <w:r w:rsidRPr="00B5183D">
              <w:t>anufacturing</w:t>
            </w:r>
          </w:p>
        </w:tc>
      </w:tr>
    </w:tbl>
    <w:p w14:paraId="10EB5097" w14:textId="77777777" w:rsidR="00FB2B97" w:rsidRPr="00D84C39" w:rsidRDefault="00FB2B97" w:rsidP="00341398">
      <w:pPr>
        <w:pStyle w:val="Calloutbox"/>
      </w:pPr>
      <w:r w:rsidRPr="00D84C39">
        <w:t xml:space="preserve">The programs listed below are </w:t>
      </w:r>
      <w:r>
        <w:t xml:space="preserve">provided </w:t>
      </w:r>
      <w:r w:rsidRPr="00D84C39">
        <w:t xml:space="preserve">for awareness. </w:t>
      </w:r>
      <w:r>
        <w:t xml:space="preserve"> Applicants do not need to </w:t>
      </w:r>
      <w:r w:rsidRPr="00D84C39">
        <w:t>address</w:t>
      </w:r>
      <w:r>
        <w:t xml:space="preserve"> these programs</w:t>
      </w:r>
      <w:r w:rsidRPr="00D84C39">
        <w:t xml:space="preserve"> within the application. </w:t>
      </w:r>
    </w:p>
    <w:p w14:paraId="2E7F630F" w14:textId="77777777" w:rsidR="00FB2B97" w:rsidRPr="00B5183D" w:rsidRDefault="00FB2B97" w:rsidP="00BB0536">
      <w:pPr>
        <w:pStyle w:val="Heading4"/>
      </w:pPr>
      <w:r w:rsidRPr="00B5183D">
        <w:t>National programs that align with this challenge include:</w:t>
      </w:r>
    </w:p>
    <w:p w14:paraId="680804BF" w14:textId="21E449F3" w:rsidR="00FB2B97" w:rsidRPr="00B5183D" w:rsidRDefault="00F82254" w:rsidP="00FB2B97">
      <w:hyperlink r:id="rId65" w:history="1">
        <w:proofErr w:type="spellStart"/>
        <w:r w:rsidR="00FB2B97" w:rsidRPr="00B5183D">
          <w:rPr>
            <w:rStyle w:val="Hyperlink"/>
          </w:rPr>
          <w:t>iMove</w:t>
        </w:r>
        <w:proofErr w:type="spellEnd"/>
        <w:r w:rsidR="00FB2B97" w:rsidRPr="00B5183D">
          <w:rPr>
            <w:rStyle w:val="Hyperlink"/>
          </w:rPr>
          <w:t xml:space="preserve"> CRC</w:t>
        </w:r>
      </w:hyperlink>
      <w:r w:rsidR="00FB2B97" w:rsidRPr="00B5183D">
        <w:t xml:space="preserve"> – $55 million (2017–2027)</w:t>
      </w:r>
    </w:p>
    <w:p w14:paraId="16AB0C79" w14:textId="683FE06E" w:rsidR="00FB2B97" w:rsidRDefault="00F82254" w:rsidP="00FB2B97">
      <w:hyperlink r:id="rId66" w:history="1">
        <w:proofErr w:type="spellStart"/>
        <w:r w:rsidR="00FB2B97" w:rsidRPr="00B5183D">
          <w:rPr>
            <w:rStyle w:val="Hyperlink"/>
          </w:rPr>
          <w:t>SmartSat</w:t>
        </w:r>
        <w:proofErr w:type="spellEnd"/>
        <w:r w:rsidR="00FB2B97" w:rsidRPr="00B5183D">
          <w:rPr>
            <w:rStyle w:val="Hyperlink"/>
          </w:rPr>
          <w:t xml:space="preserve"> CRC</w:t>
        </w:r>
      </w:hyperlink>
      <w:r w:rsidR="00FB2B97" w:rsidRPr="00B5183D">
        <w:t xml:space="preserve"> – $55 million – (2019–2026)</w:t>
      </w:r>
    </w:p>
    <w:p w14:paraId="3B0A45D0" w14:textId="77C94827" w:rsidR="00FB2B97" w:rsidRPr="00B5183D" w:rsidRDefault="00F82254" w:rsidP="00FB2B97">
      <w:pPr>
        <w:rPr>
          <w:b/>
          <w:bCs/>
        </w:rPr>
      </w:pPr>
      <w:hyperlink r:id="rId67" w:history="1">
        <w:r w:rsidR="00FB2B97" w:rsidRPr="00B5183D">
          <w:rPr>
            <w:rStyle w:val="Hyperlink"/>
          </w:rPr>
          <w:t>Blue Economy CRC</w:t>
        </w:r>
      </w:hyperlink>
      <w:r w:rsidR="00FB2B97" w:rsidRPr="00B5183D">
        <w:t xml:space="preserve"> – $70 million (2019–2029)</w:t>
      </w:r>
    </w:p>
    <w:p w14:paraId="14251DD3" w14:textId="77777777" w:rsidR="00FB2B97" w:rsidRDefault="00F82254" w:rsidP="00FB2B97">
      <w:hyperlink r:id="rId68" w:history="1">
        <w:r w:rsidR="00FB2B97" w:rsidRPr="00B5183D">
          <w:rPr>
            <w:rStyle w:val="Hyperlink"/>
          </w:rPr>
          <w:t>CRC Projects selection round outcomes</w:t>
        </w:r>
      </w:hyperlink>
      <w:r w:rsidR="00FB2B97" w:rsidRPr="00B5183D">
        <w:t xml:space="preserve"> – </w:t>
      </w:r>
      <w:r w:rsidR="00FB2B97" w:rsidRPr="00B5183D">
        <w:rPr>
          <w:rFonts w:cs="Calibri"/>
        </w:rPr>
        <w:t>Digital Interferometry Optical Gyroscope for autonomous navigation</w:t>
      </w:r>
      <w:r w:rsidR="00FB2B97" w:rsidRPr="00B5183D">
        <w:t xml:space="preserve"> (2020) </w:t>
      </w:r>
    </w:p>
    <w:p w14:paraId="6EF5D249" w14:textId="186F39B7" w:rsidR="00FB2B97" w:rsidRPr="00B5183D" w:rsidRDefault="00F82254" w:rsidP="00FB2B97">
      <w:hyperlink r:id="rId69" w:history="1">
        <w:r w:rsidR="00FB2B97" w:rsidRPr="00B5183D">
          <w:rPr>
            <w:rStyle w:val="Hyperlink"/>
          </w:rPr>
          <w:t>Transformations in Mining Economies CRC</w:t>
        </w:r>
      </w:hyperlink>
      <w:r w:rsidR="00FB2B97" w:rsidRPr="00B5183D">
        <w:t xml:space="preserve"> – $29.5 million (2020–2030)</w:t>
      </w:r>
    </w:p>
    <w:p w14:paraId="679121EB" w14:textId="77777777" w:rsidR="00FB2B97" w:rsidRPr="00B5183D" w:rsidRDefault="00F82254" w:rsidP="00FB2B97">
      <w:pPr>
        <w:rPr>
          <w:rFonts w:cs="Calibri"/>
        </w:rPr>
      </w:pPr>
      <w:hyperlink r:id="rId70" w:history="1">
        <w:r w:rsidR="00FB2B97" w:rsidRPr="00B5183D">
          <w:rPr>
            <w:rStyle w:val="Hyperlink"/>
          </w:rPr>
          <w:t>CRC Projects selection round outcomes</w:t>
        </w:r>
      </w:hyperlink>
      <w:r w:rsidR="00FB2B97" w:rsidRPr="00B5183D" w:rsidDel="006D453D">
        <w:t xml:space="preserve"> – </w:t>
      </w:r>
      <w:r w:rsidR="00FB2B97" w:rsidRPr="00B5183D">
        <w:rPr>
          <w:rFonts w:cs="Calibri"/>
        </w:rPr>
        <w:t>Wireless mining conveyor technology to improve safety and reduce outages</w:t>
      </w:r>
      <w:r w:rsidR="00FB2B97" w:rsidRPr="00B5183D">
        <w:t xml:space="preserve"> (2021) </w:t>
      </w:r>
    </w:p>
    <w:p w14:paraId="45CF27B0" w14:textId="77777777" w:rsidR="00FB2B97" w:rsidRPr="007320C9" w:rsidRDefault="00F82254" w:rsidP="00FB2B97">
      <w:pPr>
        <w:rPr>
          <w:rStyle w:val="Hyperlink"/>
          <w:rFonts w:cs="Calibri"/>
          <w:color w:val="auto"/>
        </w:rPr>
      </w:pPr>
      <w:hyperlink r:id="rId71" w:history="1">
        <w:r w:rsidR="00FB2B97" w:rsidRPr="00B5183D">
          <w:rPr>
            <w:rStyle w:val="Hyperlink"/>
            <w:rFonts w:cs="Calibri"/>
          </w:rPr>
          <w:t>Moon to Mars Supply Chain program</w:t>
        </w:r>
      </w:hyperlink>
      <w:r w:rsidR="00FB2B97" w:rsidRPr="00B5183D">
        <w:rPr>
          <w:rStyle w:val="Hyperlink"/>
          <w:rFonts w:cs="Calibri"/>
          <w:color w:val="auto"/>
          <w:u w:val="none"/>
        </w:rPr>
        <w:t xml:space="preserve"> - </w:t>
      </w:r>
      <w:r w:rsidR="00FB2B97" w:rsidRPr="00B5183D">
        <w:t xml:space="preserve">Australian Space Agency </w:t>
      </w:r>
      <w:r w:rsidR="00FB2B97" w:rsidRPr="00B5183D">
        <w:rPr>
          <w:rStyle w:val="Hyperlink"/>
          <w:rFonts w:cs="Calibri"/>
          <w:color w:val="auto"/>
          <w:u w:val="none"/>
        </w:rPr>
        <w:t>(2021)</w:t>
      </w:r>
    </w:p>
    <w:p w14:paraId="1BD0E7D5" w14:textId="77777777" w:rsidR="00FB2B97" w:rsidRDefault="00FB2B97">
      <w:pPr>
        <w:spacing w:before="0" w:after="160" w:line="259" w:lineRule="auto"/>
        <w:rPr>
          <w:rFonts w:asciiTheme="majorHAnsi" w:eastAsiaTheme="majorEastAsia" w:hAnsiTheme="majorHAnsi" w:cstheme="majorBidi"/>
          <w:iCs/>
          <w:color w:val="7A3972" w:themeColor="text2"/>
          <w:sz w:val="32"/>
          <w:szCs w:val="28"/>
        </w:rPr>
      </w:pPr>
      <w:r>
        <w:br w:type="page"/>
      </w:r>
    </w:p>
    <w:p w14:paraId="20B3361A" w14:textId="30252388" w:rsidR="00FB2B97" w:rsidRPr="00B5183D" w:rsidRDefault="00FB2B97" w:rsidP="00BB0536">
      <w:pPr>
        <w:pStyle w:val="Heading4"/>
      </w:pPr>
      <w:r w:rsidRPr="00B5183D">
        <w:lastRenderedPageBreak/>
        <w:t xml:space="preserve">International initiatives that align with this challenge include: </w:t>
      </w:r>
    </w:p>
    <w:p w14:paraId="162F3799" w14:textId="159845DD" w:rsidR="00FB2B97" w:rsidRPr="00B5183D" w:rsidRDefault="00FB2B97" w:rsidP="00FB2B97">
      <w:pPr>
        <w:spacing w:before="0" w:after="160" w:line="259" w:lineRule="auto"/>
      </w:pPr>
      <w:r w:rsidRPr="00B5183D">
        <w:t xml:space="preserve">UK </w:t>
      </w:r>
      <w:hyperlink r:id="rId72" w:history="1">
        <w:r w:rsidRPr="00B5183D">
          <w:rPr>
            <w:rStyle w:val="Hyperlink"/>
          </w:rPr>
          <w:t>Quantum Strategy Mission number 4</w:t>
        </w:r>
      </w:hyperlink>
      <w:r w:rsidRPr="00B5183D">
        <w:t xml:space="preserve"> </w:t>
      </w:r>
      <w:r w:rsidR="0078720E">
        <w:t>–</w:t>
      </w:r>
      <w:r w:rsidRPr="00B5183D">
        <w:t xml:space="preserve"> By 2030, quantum navigation systems, including clocks, will be deployed on aircraft, providing next-generation accuracy for resilience that is independent of satellite signals (2023)</w:t>
      </w:r>
    </w:p>
    <w:p w14:paraId="062AE7A9" w14:textId="6B070E76" w:rsidR="00596223" w:rsidRPr="004548DB" w:rsidRDefault="00FB2B97" w:rsidP="00596223">
      <w:pPr>
        <w:rPr>
          <w:rFonts w:eastAsia="Gotham Narrow" w:cstheme="minorHAnsi"/>
          <w:szCs w:val="20"/>
        </w:rPr>
      </w:pPr>
      <w:r w:rsidRPr="00B5183D">
        <w:t xml:space="preserve">UK </w:t>
      </w:r>
      <w:hyperlink r:id="rId73" w:history="1">
        <w:r w:rsidRPr="00B5183D">
          <w:rPr>
            <w:rStyle w:val="Hyperlink"/>
          </w:rPr>
          <w:t>Quantum Strategy Mission number 5</w:t>
        </w:r>
      </w:hyperlink>
      <w:r w:rsidRPr="00B5183D">
        <w:t xml:space="preserve"> – By 2030, mobile, networked quantum sensors will have unlocked new situational awareness capabilities, exploited across critical infrastructure in the transport, telecoms, energy, and defence sectors (2023)</w:t>
      </w:r>
      <w:r w:rsidR="00596223" w:rsidRPr="004548DB">
        <w:rPr>
          <w:rFonts w:cstheme="minorHAnsi"/>
          <w:szCs w:val="20"/>
        </w:rPr>
        <w:br w:type="page"/>
      </w:r>
    </w:p>
    <w:p w14:paraId="18F55AFB" w14:textId="32657CD8" w:rsidR="00FB2B97" w:rsidRDefault="00596223" w:rsidP="00FB2B97">
      <w:pPr>
        <w:pStyle w:val="Calloutboxpurplestrong"/>
      </w:pPr>
      <w:bookmarkStart w:id="59" w:name="_Toc161672116"/>
      <w:r w:rsidRPr="009760B3">
        <w:lastRenderedPageBreak/>
        <w:t>CTCP: Round 1 – Stage 1 Feasibility Challenge 4</w:t>
      </w:r>
      <w:bookmarkEnd w:id="59"/>
    </w:p>
    <w:p w14:paraId="0F7ABE78" w14:textId="2D358A47" w:rsidR="00FB2B97" w:rsidRDefault="00FB2B97" w:rsidP="00FB2B97">
      <w:pPr>
        <w:pStyle w:val="Heading2"/>
      </w:pPr>
      <w:bookmarkStart w:id="60" w:name="_Toc164854372"/>
      <w:r>
        <w:t>Challenge 4</w:t>
      </w:r>
      <w:bookmarkEnd w:id="60"/>
    </w:p>
    <w:p w14:paraId="1E1A2138" w14:textId="5E20B008" w:rsidR="00FB2B97" w:rsidRPr="007320C9" w:rsidRDefault="00FB2B97" w:rsidP="00BB0536">
      <w:pPr>
        <w:pStyle w:val="Heading3"/>
      </w:pPr>
      <w:bookmarkStart w:id="61" w:name="_Toc160526538"/>
      <w:bookmarkStart w:id="62" w:name="_Toc164157220"/>
      <w:bookmarkStart w:id="63" w:name="_Toc164854373"/>
      <w:bookmarkStart w:id="64" w:name="_Hlk160464569"/>
      <w:r w:rsidRPr="007320C9">
        <w:t xml:space="preserve">Optimise and reduce the impact of resource exploration, extraction, and mineral </w:t>
      </w:r>
      <w:proofErr w:type="gramStart"/>
      <w:r w:rsidRPr="007320C9">
        <w:t>processing</w:t>
      </w:r>
      <w:bookmarkEnd w:id="61"/>
      <w:bookmarkEnd w:id="62"/>
      <w:bookmarkEnd w:id="63"/>
      <w:proofErr w:type="gramEnd"/>
      <w:r w:rsidRPr="007320C9">
        <w:t xml:space="preserve"> </w:t>
      </w:r>
    </w:p>
    <w:p w14:paraId="1EE7108D" w14:textId="77777777" w:rsidR="00FB2B97" w:rsidRPr="00B5183D" w:rsidRDefault="00FB2B97" w:rsidP="00BB0536">
      <w:pPr>
        <w:pStyle w:val="Heading4"/>
      </w:pPr>
      <w:r w:rsidRPr="00B5183D">
        <w:t>Challenge Overview</w:t>
      </w:r>
    </w:p>
    <w:p w14:paraId="2172AA18" w14:textId="68D93562" w:rsidR="00FB2B97" w:rsidRDefault="00FB2B97" w:rsidP="00FB2B97">
      <w:r>
        <w:t>The Australian mining sector is a cornerstone of the Australian economy and generated $455 billion in export revenue for the 2022-2023 financial year</w:t>
      </w:r>
      <w:r w:rsidR="00512945">
        <w:t>.</w:t>
      </w:r>
      <w:r>
        <w:rPr>
          <w:rStyle w:val="FootnoteReference"/>
        </w:rPr>
        <w:footnoteReference w:id="13"/>
      </w:r>
      <w:r>
        <w:t xml:space="preserve"> By leveraging advanced technologies in critical mineral extraction and processing, the sector has the potential to increase its value by an additional $9.4</w:t>
      </w:r>
      <w:r w:rsidR="0078720E">
        <w:t> </w:t>
      </w:r>
      <w:r>
        <w:t>billion</w:t>
      </w:r>
      <w:r w:rsidR="00512945">
        <w:t>.</w:t>
      </w:r>
      <w:r>
        <w:rPr>
          <w:rStyle w:val="FootnoteReference"/>
        </w:rPr>
        <w:footnoteReference w:id="14"/>
      </w:r>
      <w:r>
        <w:t xml:space="preserve"> </w:t>
      </w:r>
    </w:p>
    <w:p w14:paraId="46F42F63" w14:textId="7CD40FC1" w:rsidR="00FB2B97" w:rsidRPr="00B5183D" w:rsidRDefault="00FB2B97" w:rsidP="00FB2B97">
      <w:r>
        <w:t>The urgency to find and process more minerals is becoming even more important due to the depletion of easily accessible resources.  With over 60% of Australia’s resource projects being conducted on lands that are subject to Native Title claims or determinations</w:t>
      </w:r>
      <w:r w:rsidR="009871B5">
        <w:rPr>
          <w:rStyle w:val="FootnoteReference"/>
        </w:rPr>
        <w:footnoteReference w:id="15"/>
      </w:r>
      <w:r>
        <w:t xml:space="preserve"> the need for less invasive exploration techniques is critical. Advancements in exploration and mining techniques will enable the industry to preserve First Nations</w:t>
      </w:r>
      <w:r w:rsidR="00137605">
        <w:t xml:space="preserve"> people’s</w:t>
      </w:r>
      <w:r>
        <w:t xml:space="preserve"> </w:t>
      </w:r>
      <w:r w:rsidR="00137605">
        <w:t xml:space="preserve">Country, </w:t>
      </w:r>
      <w:r>
        <w:t xml:space="preserve">culture and </w:t>
      </w:r>
      <w:r w:rsidR="00137605">
        <w:t>cultural heritage</w:t>
      </w:r>
      <w:r>
        <w:t xml:space="preserve"> and the environment. </w:t>
      </w:r>
      <w:r w:rsidRPr="00B5183D">
        <w:t xml:space="preserve">This challenge invites applicants to explore optimisation of resource exploration, extraction, and mineral processing through the innovative application of quantum technologies. Solutions may address the transition towards net zero, </w:t>
      </w:r>
      <w:r>
        <w:t>through</w:t>
      </w:r>
      <w:r w:rsidRPr="00B5183D">
        <w:t xml:space="preserve"> optimisation of existing systems. The challenge seeks solutions that leverage quantum advancements to maximise resource efficiency, minimise waste and reduce the environmental impact associated with traditional mining practices.</w:t>
      </w:r>
    </w:p>
    <w:p w14:paraId="20CACC8C" w14:textId="333C0B43" w:rsidR="00FB2B97" w:rsidRPr="00B5183D" w:rsidRDefault="00FB2B97" w:rsidP="00FB2B97">
      <w:r>
        <w:t>Existing</w:t>
      </w:r>
      <w:r w:rsidRPr="00B5183D">
        <w:t xml:space="preserve"> solutions within the mining sector may </w:t>
      </w:r>
      <w:r>
        <w:t>be able to be optimised using</w:t>
      </w:r>
      <w:r w:rsidRPr="00B5183D">
        <w:t xml:space="preserve"> quantum technologies. </w:t>
      </w:r>
      <w:r>
        <w:t xml:space="preserve">Alternatively, </w:t>
      </w:r>
      <w:r w:rsidRPr="00B5183D">
        <w:t>existing quantum capabilities</w:t>
      </w:r>
      <w:r>
        <w:t xml:space="preserve"> used in the mining sector may be adapted to solve different problems</w:t>
      </w:r>
      <w:r w:rsidRPr="00B5183D">
        <w:t xml:space="preserve">. </w:t>
      </w:r>
      <w:r>
        <w:t xml:space="preserve">Applicants may also </w:t>
      </w:r>
      <w:r w:rsidRPr="00B5183D">
        <w:t xml:space="preserve">develop new </w:t>
      </w:r>
      <w:r>
        <w:t>tools</w:t>
      </w:r>
      <w:r w:rsidRPr="00B5183D">
        <w:t xml:space="preserve"> to address issues such as deep exploration, water intrusion, in-situ extraction, inherent mass variabilities and mineral content</w:t>
      </w:r>
      <w:r w:rsidR="00512945">
        <w:t>.</w:t>
      </w:r>
      <w:r w:rsidRPr="00B5183D">
        <w:rPr>
          <w:rStyle w:val="FootnoteReference"/>
        </w:rPr>
        <w:footnoteReference w:id="16"/>
      </w:r>
      <w:r w:rsidRPr="00B5183D">
        <w:t xml:space="preserve"> </w:t>
      </w:r>
    </w:p>
    <w:bookmarkEnd w:id="64"/>
    <w:p w14:paraId="244D5C67" w14:textId="7517C3AC" w:rsidR="00FB2B97" w:rsidRPr="00B5183D" w:rsidRDefault="00FB2B97" w:rsidP="00BB0536">
      <w:pPr>
        <w:pStyle w:val="Heading4"/>
      </w:pPr>
      <w:r w:rsidRPr="00B5183D">
        <w:t>What is the relevance of the challenge to industry</w:t>
      </w:r>
      <w:r w:rsidRPr="00B5183D">
        <w:rPr>
          <w:rStyle w:val="FootnoteReference"/>
        </w:rPr>
        <w:footnoteReference w:id="17"/>
      </w:r>
      <w:r w:rsidRPr="00B5183D">
        <w:t>?</w:t>
      </w:r>
    </w:p>
    <w:p w14:paraId="46DEB3FC" w14:textId="1BCAEA06" w:rsidR="00FB2B97" w:rsidRPr="00B5183D" w:rsidRDefault="00FB2B97" w:rsidP="00FB2B97">
      <w:pPr>
        <w:pStyle w:val="ListParagraph"/>
        <w:numPr>
          <w:ilvl w:val="0"/>
          <w:numId w:val="35"/>
        </w:numPr>
        <w:rPr>
          <w:b/>
          <w:bCs/>
        </w:rPr>
      </w:pPr>
      <w:r w:rsidRPr="00B5183D">
        <w:t xml:space="preserve">Resource extraction can have major environmental and social </w:t>
      </w:r>
      <w:r>
        <w:t>consequences</w:t>
      </w:r>
      <w:r w:rsidRPr="00B5183D">
        <w:t>, and impact social license to operate</w:t>
      </w:r>
      <w:r w:rsidR="00512945">
        <w:t>.</w:t>
      </w:r>
      <w:r w:rsidRPr="00B5183D">
        <w:rPr>
          <w:rStyle w:val="FootnoteReference"/>
        </w:rPr>
        <w:footnoteReference w:id="18"/>
      </w:r>
    </w:p>
    <w:p w14:paraId="68AB98D8" w14:textId="77777777" w:rsidR="00FB2B97" w:rsidRPr="00B5183D" w:rsidRDefault="00FB2B97" w:rsidP="00FB2B97">
      <w:pPr>
        <w:pStyle w:val="ListParagraph"/>
        <w:numPr>
          <w:ilvl w:val="0"/>
          <w:numId w:val="35"/>
        </w:numPr>
        <w:rPr>
          <w:b/>
          <w:bCs/>
        </w:rPr>
      </w:pPr>
      <w:r w:rsidRPr="00B5183D">
        <w:t xml:space="preserve">The transition to net zero requires further development of decarbonisation technologies, many of which could benefit from quantum systems. </w:t>
      </w:r>
    </w:p>
    <w:p w14:paraId="1A138F8E" w14:textId="77777777" w:rsidR="00FB2B97" w:rsidRDefault="00FB2B97" w:rsidP="00FB2B97">
      <w:pPr>
        <w:pStyle w:val="ListParagraph"/>
        <w:numPr>
          <w:ilvl w:val="0"/>
          <w:numId w:val="35"/>
        </w:numPr>
      </w:pPr>
      <w:r>
        <w:t xml:space="preserve">Responsible and ethical exploration. </w:t>
      </w:r>
    </w:p>
    <w:p w14:paraId="7B770270" w14:textId="77777777" w:rsidR="00FB2B97" w:rsidRPr="00B5183D" w:rsidRDefault="00FB2B97" w:rsidP="00FB2B97">
      <w:pPr>
        <w:pStyle w:val="ListParagraph"/>
        <w:numPr>
          <w:ilvl w:val="0"/>
          <w:numId w:val="35"/>
        </w:numPr>
      </w:pPr>
      <w:r>
        <w:t>Less invasive data collection, lowering the</w:t>
      </w:r>
      <w:r w:rsidRPr="00B5183D">
        <w:t xml:space="preserve"> impact </w:t>
      </w:r>
      <w:r>
        <w:t xml:space="preserve">on the environment and the community. This may </w:t>
      </w:r>
      <w:r w:rsidRPr="00B5183D">
        <w:t xml:space="preserve">allow industry to </w:t>
      </w:r>
      <w:r>
        <w:t xml:space="preserve">better plan mining operations and </w:t>
      </w:r>
      <w:r w:rsidRPr="00B5183D">
        <w:t xml:space="preserve">reduce the upfront costs associated with the exploration phase. </w:t>
      </w:r>
    </w:p>
    <w:p w14:paraId="1FA58A4F" w14:textId="77777777" w:rsidR="00FB2B97" w:rsidRDefault="00FB2B97" w:rsidP="00FB2B97">
      <w:pPr>
        <w:pStyle w:val="ListParagraph"/>
        <w:numPr>
          <w:ilvl w:val="0"/>
          <w:numId w:val="35"/>
        </w:numPr>
      </w:pPr>
      <w:r>
        <w:lastRenderedPageBreak/>
        <w:t>Reduced</w:t>
      </w:r>
      <w:r w:rsidRPr="00B5183D">
        <w:t xml:space="preserve"> upfront expenses may help to make previously unprofitable extraction sites profitable in the future, allowing for expanded site viability. </w:t>
      </w:r>
    </w:p>
    <w:p w14:paraId="2CB7C9D9" w14:textId="77777777" w:rsidR="00FB2B97" w:rsidRPr="00B5183D" w:rsidRDefault="00FB2B97" w:rsidP="00FB2B97">
      <w:pPr>
        <w:pStyle w:val="ListParagraph"/>
        <w:numPr>
          <w:ilvl w:val="0"/>
          <w:numId w:val="35"/>
        </w:numPr>
      </w:pPr>
      <w:r>
        <w:t>Real-time sensing of minerals to reduce energy and waste from transportation to surface and/or processing of low-grade deposits.</w:t>
      </w:r>
    </w:p>
    <w:p w14:paraId="21C758CF" w14:textId="77777777" w:rsidR="00FB2B97" w:rsidRPr="00B5183D" w:rsidRDefault="00FB2B97" w:rsidP="00FB2B97">
      <w:pPr>
        <w:pStyle w:val="Calloutbox"/>
      </w:pPr>
      <w:r>
        <w:t xml:space="preserve">Please note that the possible solutions and expected benefits listed below are provided as suggestions. Certain suggestions may be more ambitious than others.  Applicants should not feel limited to the suggestions listed below and are encouraged to present other innovative solutions which address the challenge.  </w:t>
      </w:r>
    </w:p>
    <w:p w14:paraId="77A6C1E8" w14:textId="77777777" w:rsidR="00FB2B97" w:rsidRPr="00B5183D" w:rsidRDefault="00FB2B97" w:rsidP="00BB0536">
      <w:pPr>
        <w:pStyle w:val="Heading4"/>
      </w:pPr>
      <w:r w:rsidRPr="00B5183D">
        <w:t>Possible solution elements may include:</w:t>
      </w:r>
    </w:p>
    <w:p w14:paraId="5369D0C6" w14:textId="77777777" w:rsidR="00FB2B97" w:rsidRPr="00B5183D" w:rsidRDefault="00FB2B97" w:rsidP="00FB2B97">
      <w:pPr>
        <w:pStyle w:val="ListParagraph"/>
        <w:numPr>
          <w:ilvl w:val="0"/>
          <w:numId w:val="35"/>
        </w:numPr>
        <w:rPr>
          <w:b/>
          <w:bCs/>
        </w:rPr>
      </w:pPr>
      <w:r w:rsidRPr="00B5183D">
        <w:rPr>
          <w:b/>
          <w:bCs/>
        </w:rPr>
        <w:t xml:space="preserve">Quantum algorithms for efficient extraction </w:t>
      </w:r>
      <w:r w:rsidRPr="0078720E">
        <w:t>–</w:t>
      </w:r>
      <w:r w:rsidRPr="00B5183D">
        <w:rPr>
          <w:b/>
          <w:bCs/>
        </w:rPr>
        <w:t xml:space="preserve"> </w:t>
      </w:r>
      <w:r w:rsidRPr="00B5183D">
        <w:t>optimised resource exploration and extraction processes, focussing on maximising resource utilisation and minimising environmental impact.</w:t>
      </w:r>
    </w:p>
    <w:p w14:paraId="1D7B2090" w14:textId="77777777" w:rsidR="00FB2B97" w:rsidRPr="00B5183D" w:rsidRDefault="00FB2B97" w:rsidP="00FB2B97">
      <w:pPr>
        <w:pStyle w:val="ListParagraph"/>
        <w:numPr>
          <w:ilvl w:val="0"/>
          <w:numId w:val="35"/>
        </w:numPr>
        <w:rPr>
          <w:b/>
          <w:bCs/>
        </w:rPr>
      </w:pPr>
      <w:r w:rsidRPr="00B5183D">
        <w:rPr>
          <w:b/>
          <w:bCs/>
        </w:rPr>
        <w:t xml:space="preserve">Quantum algorithms for efficient transport </w:t>
      </w:r>
      <w:r w:rsidRPr="0078720E">
        <w:t>–</w:t>
      </w:r>
      <w:r w:rsidRPr="00B5183D">
        <w:rPr>
          <w:rFonts w:eastAsia="Times New Roman"/>
        </w:rPr>
        <w:t xml:space="preserve"> algorithms could allow for the optimisation of transportation routes, reducing the associated costs.</w:t>
      </w:r>
    </w:p>
    <w:p w14:paraId="179CE59E" w14:textId="6CFAE97D" w:rsidR="00FB2B97" w:rsidRPr="00B5183D" w:rsidRDefault="00FB2B97" w:rsidP="00FB2B97">
      <w:pPr>
        <w:pStyle w:val="ListParagraph"/>
        <w:numPr>
          <w:ilvl w:val="0"/>
          <w:numId w:val="35"/>
        </w:numPr>
        <w:rPr>
          <w:b/>
          <w:bCs/>
        </w:rPr>
      </w:pPr>
      <w:r w:rsidRPr="00B5183D">
        <w:rPr>
          <w:b/>
          <w:bCs/>
        </w:rPr>
        <w:t>Ecosystem–friendly extraction techniques</w:t>
      </w:r>
      <w:r w:rsidR="0078720E">
        <w:rPr>
          <w:b/>
          <w:bCs/>
        </w:rPr>
        <w:t xml:space="preserve"> </w:t>
      </w:r>
      <w:r w:rsidRPr="0078720E">
        <w:t>–</w:t>
      </w:r>
      <w:r w:rsidRPr="00B5183D">
        <w:rPr>
          <w:b/>
          <w:bCs/>
        </w:rPr>
        <w:t xml:space="preserve"> </w:t>
      </w:r>
      <w:r w:rsidRPr="00B5183D">
        <w:t>development of extraction techniques that minimise disruption to local ecosystems, biodiversity, and habitats.</w:t>
      </w:r>
    </w:p>
    <w:p w14:paraId="7921A5CD" w14:textId="77777777" w:rsidR="00FB2B97" w:rsidRPr="00B5183D" w:rsidRDefault="00FB2B97" w:rsidP="00FB2B97">
      <w:pPr>
        <w:pStyle w:val="ListParagraph"/>
        <w:numPr>
          <w:ilvl w:val="0"/>
          <w:numId w:val="35"/>
        </w:numPr>
      </w:pPr>
      <w:r w:rsidRPr="00B5183D">
        <w:rPr>
          <w:b/>
          <w:bCs/>
        </w:rPr>
        <w:t xml:space="preserve">Quantum enhanced geological exploration </w:t>
      </w:r>
      <w:r w:rsidRPr="0078720E">
        <w:t>–</w:t>
      </w:r>
      <w:r w:rsidRPr="00B5183D">
        <w:rPr>
          <w:b/>
          <w:bCs/>
        </w:rPr>
        <w:t xml:space="preserve"> </w:t>
      </w:r>
      <w:r w:rsidRPr="00B5183D">
        <w:t xml:space="preserve">enhanced geological exploration processes, improving the accuracy and efficiency of resource identification. </w:t>
      </w:r>
    </w:p>
    <w:p w14:paraId="1AE2ADA6" w14:textId="77777777" w:rsidR="00FB2B97" w:rsidRPr="00B5183D" w:rsidRDefault="00FB2B97" w:rsidP="00FB2B97">
      <w:pPr>
        <w:pStyle w:val="ListParagraph"/>
        <w:numPr>
          <w:ilvl w:val="0"/>
          <w:numId w:val="35"/>
        </w:numPr>
        <w:rPr>
          <w:b/>
          <w:bCs/>
        </w:rPr>
      </w:pPr>
      <w:r w:rsidRPr="00B5183D">
        <w:rPr>
          <w:b/>
          <w:bCs/>
        </w:rPr>
        <w:t xml:space="preserve">Integration with existing mining infrastructure </w:t>
      </w:r>
      <w:r w:rsidRPr="0078720E">
        <w:t>–</w:t>
      </w:r>
      <w:r w:rsidRPr="00B5183D">
        <w:rPr>
          <w:b/>
          <w:bCs/>
        </w:rPr>
        <w:t xml:space="preserve"> </w:t>
      </w:r>
      <w:r w:rsidRPr="00B5183D">
        <w:t>development of</w:t>
      </w:r>
      <w:r w:rsidRPr="00B5183D">
        <w:rPr>
          <w:b/>
          <w:bCs/>
        </w:rPr>
        <w:t xml:space="preserve"> </w:t>
      </w:r>
      <w:r w:rsidRPr="00B5183D">
        <w:t>solutions that seamlessly integrate with existing mining infrastructure, ensuring practical implementation and industry adoption.</w:t>
      </w:r>
    </w:p>
    <w:p w14:paraId="052C7CAB" w14:textId="1B2B7381" w:rsidR="00FB2B97" w:rsidRPr="00B5183D" w:rsidRDefault="00FB2B97" w:rsidP="00FB2B97">
      <w:pPr>
        <w:pStyle w:val="ListParagraph"/>
        <w:numPr>
          <w:ilvl w:val="0"/>
          <w:numId w:val="35"/>
        </w:numPr>
        <w:rPr>
          <w:b/>
          <w:bCs/>
        </w:rPr>
      </w:pPr>
      <w:r w:rsidRPr="00B5183D">
        <w:rPr>
          <w:rFonts w:eastAsia="Times New Roman"/>
          <w:b/>
          <w:bCs/>
        </w:rPr>
        <w:t>Quantum sensors</w:t>
      </w:r>
      <w:r w:rsidRPr="00B5183D">
        <w:rPr>
          <w:rFonts w:eastAsia="Times New Roman"/>
        </w:rPr>
        <w:t xml:space="preserve"> </w:t>
      </w:r>
      <w:r w:rsidR="0078720E" w:rsidRPr="0078720E">
        <w:t>–</w:t>
      </w:r>
      <w:r w:rsidR="0078720E" w:rsidRPr="00B5183D">
        <w:rPr>
          <w:b/>
          <w:bCs/>
        </w:rPr>
        <w:t xml:space="preserve"> </w:t>
      </w:r>
      <w:r>
        <w:rPr>
          <w:rFonts w:eastAsia="Times New Roman"/>
        </w:rPr>
        <w:t>development of solutions</w:t>
      </w:r>
      <w:r w:rsidRPr="00B5183D">
        <w:rPr>
          <w:rFonts w:eastAsia="Times New Roman"/>
        </w:rPr>
        <w:t xml:space="preserve"> to monitor carbon emissions</w:t>
      </w:r>
      <w:r>
        <w:rPr>
          <w:rFonts w:eastAsia="Times New Roman"/>
        </w:rPr>
        <w:t xml:space="preserve"> (e.g., methane and carbon dioxide) to improve safety and environmental outcomes</w:t>
      </w:r>
      <w:r w:rsidRPr="00B5183D">
        <w:rPr>
          <w:rFonts w:eastAsia="Times New Roman"/>
        </w:rPr>
        <w:t>.</w:t>
      </w:r>
    </w:p>
    <w:p w14:paraId="16B76AEA" w14:textId="77777777" w:rsidR="00FB2B97" w:rsidRPr="00B5183D" w:rsidRDefault="00FB2B97" w:rsidP="00FB2B97">
      <w:pPr>
        <w:pStyle w:val="ListParagraph"/>
        <w:numPr>
          <w:ilvl w:val="0"/>
          <w:numId w:val="35"/>
        </w:numPr>
        <w:rPr>
          <w:b/>
          <w:bCs/>
        </w:rPr>
      </w:pPr>
      <w:r w:rsidRPr="00B5183D">
        <w:rPr>
          <w:b/>
          <w:bCs/>
        </w:rPr>
        <w:t xml:space="preserve">Quantum gravity sensing </w:t>
      </w:r>
      <w:r w:rsidRPr="0078720E">
        <w:t>–</w:t>
      </w:r>
      <w:r w:rsidRPr="00B5183D">
        <w:rPr>
          <w:b/>
          <w:bCs/>
        </w:rPr>
        <w:t xml:space="preserve"> </w:t>
      </w:r>
      <w:r w:rsidRPr="00B5183D">
        <w:t>enables more precise detection of mineral deposits while minimi</w:t>
      </w:r>
      <w:r>
        <w:t>s</w:t>
      </w:r>
      <w:r w:rsidRPr="00B5183D">
        <w:t>ing environmental disruptions in exploration activities.</w:t>
      </w:r>
      <w:r w:rsidRPr="00B5183D">
        <w:rPr>
          <w:b/>
          <w:bCs/>
        </w:rPr>
        <w:t xml:space="preserve"> </w:t>
      </w:r>
    </w:p>
    <w:p w14:paraId="158D4EBB" w14:textId="77777777" w:rsidR="00FB2B97" w:rsidRPr="00B5183D" w:rsidRDefault="00FB2B97" w:rsidP="00FB2B97">
      <w:pPr>
        <w:pStyle w:val="ListParagraph"/>
        <w:numPr>
          <w:ilvl w:val="0"/>
          <w:numId w:val="35"/>
        </w:numPr>
        <w:rPr>
          <w:b/>
          <w:bCs/>
        </w:rPr>
      </w:pPr>
      <w:r w:rsidRPr="00B5183D">
        <w:rPr>
          <w:b/>
          <w:bCs/>
        </w:rPr>
        <w:t xml:space="preserve">Quantum enhanced electric vehicles </w:t>
      </w:r>
      <w:r w:rsidRPr="0078720E">
        <w:t>–</w:t>
      </w:r>
      <w:r w:rsidRPr="00B5183D">
        <w:rPr>
          <w:b/>
          <w:bCs/>
        </w:rPr>
        <w:t xml:space="preserve"> </w:t>
      </w:r>
      <w:r>
        <w:t>electric vehicle</w:t>
      </w:r>
      <w:r w:rsidRPr="00B5183D">
        <w:t>s will continue to be more prevalent on mining sites</w:t>
      </w:r>
      <w:r>
        <w:t xml:space="preserve">. Their increased use </w:t>
      </w:r>
      <w:r w:rsidRPr="00B5183D">
        <w:t xml:space="preserve">will lead to a growth in the need for assistive technologies that value-add current technologies. </w:t>
      </w:r>
    </w:p>
    <w:p w14:paraId="6912067E" w14:textId="77777777" w:rsidR="00FB2B97" w:rsidRPr="00B5183D" w:rsidRDefault="00FB2B97" w:rsidP="00FB2B97">
      <w:pPr>
        <w:pStyle w:val="ListParagraph"/>
        <w:numPr>
          <w:ilvl w:val="0"/>
          <w:numId w:val="35"/>
        </w:numPr>
        <w:rPr>
          <w:b/>
          <w:bCs/>
        </w:rPr>
      </w:pPr>
      <w:r w:rsidRPr="00B5183D">
        <w:rPr>
          <w:b/>
          <w:bCs/>
        </w:rPr>
        <w:t xml:space="preserve">Quantum gyroscope </w:t>
      </w:r>
      <w:r w:rsidRPr="0078720E">
        <w:t>–</w:t>
      </w:r>
      <w:r w:rsidRPr="00B5183D">
        <w:rPr>
          <w:b/>
          <w:bCs/>
        </w:rPr>
        <w:t xml:space="preserve"> </w:t>
      </w:r>
      <w:r w:rsidRPr="00B5183D">
        <w:t>Exploration needs in GPS</w:t>
      </w:r>
      <w:r>
        <w:t>/GNSS</w:t>
      </w:r>
      <w:r w:rsidRPr="00B5183D">
        <w:t xml:space="preserve"> denied environments may create a market need for technologies offering high-precision location data gathering tools, such as a quantum gyroscope.</w:t>
      </w:r>
    </w:p>
    <w:p w14:paraId="73FEF253" w14:textId="77777777" w:rsidR="00FB2B97" w:rsidRPr="00B5183D" w:rsidRDefault="00FB2B97" w:rsidP="00BB0536">
      <w:pPr>
        <w:pStyle w:val="Heading4"/>
      </w:pPr>
      <w:r>
        <w:t>Expected benefits:</w:t>
      </w:r>
      <w:r w:rsidRPr="00B5183D">
        <w:t xml:space="preserve"> </w:t>
      </w:r>
    </w:p>
    <w:p w14:paraId="16A348AD" w14:textId="77777777" w:rsidR="00FB2B97" w:rsidRPr="00B5183D" w:rsidRDefault="00FB2B97" w:rsidP="00FB2B97">
      <w:pPr>
        <w:pStyle w:val="ListParagraph"/>
        <w:numPr>
          <w:ilvl w:val="0"/>
          <w:numId w:val="36"/>
        </w:numPr>
      </w:pPr>
      <w:r w:rsidRPr="00B5183D">
        <w:rPr>
          <w:b/>
          <w:bCs/>
        </w:rPr>
        <w:t>Resource efficiency and maximisation</w:t>
      </w:r>
      <w:r w:rsidRPr="00B5183D">
        <w:t xml:space="preserve"> – precise and targeted resource exploration and discovery, extraction, </w:t>
      </w:r>
      <w:r>
        <w:t xml:space="preserve">together with </w:t>
      </w:r>
      <w:r w:rsidRPr="00B5183D">
        <w:t>maximised resource utilisation and efficiency</w:t>
      </w:r>
      <w:r>
        <w:t xml:space="preserve"> and</w:t>
      </w:r>
      <w:r w:rsidRPr="00B5183D">
        <w:t xml:space="preserve"> transformation of resource extraction processes</w:t>
      </w:r>
      <w:r>
        <w:t>.</w:t>
      </w:r>
    </w:p>
    <w:p w14:paraId="1127C554" w14:textId="77777777" w:rsidR="00FB2B97" w:rsidRPr="00B5183D" w:rsidRDefault="00FB2B97" w:rsidP="00FB2B97">
      <w:pPr>
        <w:pStyle w:val="ListParagraph"/>
        <w:numPr>
          <w:ilvl w:val="0"/>
          <w:numId w:val="36"/>
        </w:numPr>
      </w:pPr>
      <w:r w:rsidRPr="00B5183D">
        <w:rPr>
          <w:b/>
          <w:bCs/>
        </w:rPr>
        <w:t>Environmental conservation</w:t>
      </w:r>
      <w:r w:rsidRPr="00B5183D">
        <w:t xml:space="preserve"> – reduced environmental impacts, increased sustainability of mining practices. </w:t>
      </w:r>
    </w:p>
    <w:p w14:paraId="3DC9EEFF" w14:textId="77777777" w:rsidR="00FB2B97" w:rsidRPr="00B5183D" w:rsidRDefault="00FB2B97" w:rsidP="00FB2B97">
      <w:pPr>
        <w:pStyle w:val="ListParagraph"/>
        <w:numPr>
          <w:ilvl w:val="0"/>
          <w:numId w:val="36"/>
        </w:numPr>
        <w:rPr>
          <w:b/>
          <w:bCs/>
        </w:rPr>
      </w:pPr>
      <w:r w:rsidRPr="00B5183D">
        <w:rPr>
          <w:b/>
          <w:bCs/>
        </w:rPr>
        <w:t>Waste reduction and sustainability</w:t>
      </w:r>
      <w:r w:rsidRPr="00B5183D">
        <w:t xml:space="preserve"> – reduced waste generation through efficient extraction techniques, contributing to a more sustainable and responsible mining industry and secondary prospectivity through </w:t>
      </w:r>
      <w:r>
        <w:t>using</w:t>
      </w:r>
      <w:r w:rsidRPr="00B5183D">
        <w:t xml:space="preserve"> </w:t>
      </w:r>
      <w:proofErr w:type="gramStart"/>
      <w:r w:rsidRPr="00B5183D">
        <w:t>mine</w:t>
      </w:r>
      <w:proofErr w:type="gramEnd"/>
      <w:r w:rsidRPr="00B5183D">
        <w:t xml:space="preserve"> waste.</w:t>
      </w:r>
      <w:r w:rsidRPr="00B5183D">
        <w:rPr>
          <w:b/>
          <w:bCs/>
        </w:rPr>
        <w:t xml:space="preserve"> </w:t>
      </w:r>
      <w:r>
        <w:t xml:space="preserve">This may include </w:t>
      </w:r>
      <w:r w:rsidRPr="00B5183D">
        <w:t>recycling</w:t>
      </w:r>
      <w:r>
        <w:t xml:space="preserve"> of</w:t>
      </w:r>
      <w:r w:rsidRPr="00B5183D">
        <w:t xml:space="preserve"> tailing dams.</w:t>
      </w:r>
    </w:p>
    <w:p w14:paraId="06E2916B" w14:textId="77777777" w:rsidR="00FB2B97" w:rsidRPr="00B5183D" w:rsidRDefault="00FB2B97" w:rsidP="00FB2B97">
      <w:pPr>
        <w:pStyle w:val="ListParagraph"/>
        <w:numPr>
          <w:ilvl w:val="0"/>
          <w:numId w:val="36"/>
        </w:numPr>
      </w:pPr>
      <w:r w:rsidRPr="00B5183D">
        <w:rPr>
          <w:b/>
          <w:bCs/>
        </w:rPr>
        <w:t>Geological exploration enhancement</w:t>
      </w:r>
      <w:r w:rsidRPr="00B5183D">
        <w:t xml:space="preserve"> – improved accuracy and efficiency of geological exploration, allowing more informed decision making. </w:t>
      </w:r>
    </w:p>
    <w:p w14:paraId="3CF1751C" w14:textId="77777777" w:rsidR="00FB2B97" w:rsidRPr="00B5183D" w:rsidRDefault="00FB2B97" w:rsidP="00FB2B97">
      <w:pPr>
        <w:pStyle w:val="ListParagraph"/>
        <w:numPr>
          <w:ilvl w:val="0"/>
          <w:numId w:val="36"/>
        </w:numPr>
        <w:rPr>
          <w:b/>
          <w:bCs/>
        </w:rPr>
      </w:pPr>
      <w:r w:rsidRPr="00B5183D">
        <w:rPr>
          <w:b/>
          <w:bCs/>
        </w:rPr>
        <w:t xml:space="preserve">Long term resource management </w:t>
      </w:r>
      <w:r w:rsidRPr="00B5183D">
        <w:t>– increased sustainability of mining practices, ensuring the longevity of mining resources and operations.</w:t>
      </w:r>
      <w:r w:rsidRPr="00B5183D">
        <w:rPr>
          <w:b/>
          <w:bCs/>
        </w:rPr>
        <w:t xml:space="preserve"> </w:t>
      </w:r>
    </w:p>
    <w:p w14:paraId="162698B4" w14:textId="77777777" w:rsidR="00FB2B97" w:rsidRPr="00B5183D" w:rsidRDefault="00FB2B97" w:rsidP="00FB2B97">
      <w:pPr>
        <w:pStyle w:val="ListParagraph"/>
        <w:numPr>
          <w:ilvl w:val="0"/>
          <w:numId w:val="36"/>
        </w:numPr>
        <w:rPr>
          <w:b/>
          <w:bCs/>
        </w:rPr>
      </w:pPr>
      <w:r w:rsidRPr="00B5183D">
        <w:rPr>
          <w:b/>
          <w:bCs/>
        </w:rPr>
        <w:lastRenderedPageBreak/>
        <w:t xml:space="preserve">Ecosystem restoration </w:t>
      </w:r>
      <w:r w:rsidRPr="0078720E">
        <w:t>–</w:t>
      </w:r>
      <w:r w:rsidRPr="00B5183D">
        <w:rPr>
          <w:b/>
          <w:bCs/>
        </w:rPr>
        <w:t xml:space="preserve"> </w:t>
      </w:r>
      <w:r w:rsidRPr="00B5183D">
        <w:t>improving on post mine rehabilitation practices to restore disturbed land.</w:t>
      </w:r>
    </w:p>
    <w:p w14:paraId="61BCE996" w14:textId="77777777" w:rsidR="00FB2B97" w:rsidRPr="00B5183D" w:rsidRDefault="00FB2B97" w:rsidP="00FB2B97">
      <w:pPr>
        <w:pStyle w:val="ListParagraph"/>
        <w:numPr>
          <w:ilvl w:val="0"/>
          <w:numId w:val="36"/>
        </w:numPr>
        <w:rPr>
          <w:b/>
          <w:bCs/>
        </w:rPr>
      </w:pPr>
      <w:r w:rsidRPr="00B5183D">
        <w:rPr>
          <w:b/>
          <w:bCs/>
        </w:rPr>
        <w:t xml:space="preserve">Water conservation </w:t>
      </w:r>
      <w:r w:rsidRPr="0078720E">
        <w:t>–</w:t>
      </w:r>
      <w:r w:rsidRPr="00B5183D">
        <w:rPr>
          <w:b/>
          <w:bCs/>
        </w:rPr>
        <w:t xml:space="preserve"> </w:t>
      </w:r>
      <w:r w:rsidRPr="00B5183D">
        <w:t>optimised management of tailing dams and post mine rehabilitation practices helps conserve water resources by reducing contamination and optimi</w:t>
      </w:r>
      <w:r>
        <w:t>s</w:t>
      </w:r>
      <w:r w:rsidRPr="00B5183D">
        <w:t>ing water usage in mineral processing operations.</w:t>
      </w:r>
      <w:r w:rsidRPr="00B5183D">
        <w:rPr>
          <w:b/>
          <w:bCs/>
        </w:rPr>
        <w:t xml:space="preserve"> </w:t>
      </w:r>
    </w:p>
    <w:p w14:paraId="4312344A" w14:textId="77777777" w:rsidR="00FB2B97" w:rsidRPr="00B5183D" w:rsidRDefault="00FB2B97" w:rsidP="00BB0536">
      <w:pPr>
        <w:pStyle w:val="Heading4"/>
      </w:pPr>
      <w:r w:rsidRPr="00B5183D">
        <w:t xml:space="preserve">Intended technology end users or customers may include: </w:t>
      </w:r>
    </w:p>
    <w:p w14:paraId="2C6CE0B6" w14:textId="77777777" w:rsidR="00FB2B97" w:rsidRPr="00B5183D" w:rsidRDefault="00FB2B97" w:rsidP="00FB2B97">
      <w:pPr>
        <w:pStyle w:val="ListParagraph"/>
        <w:numPr>
          <w:ilvl w:val="0"/>
          <w:numId w:val="32"/>
        </w:numPr>
        <w:ind w:left="720"/>
      </w:pPr>
      <w:r w:rsidRPr="00B5183D">
        <w:t xml:space="preserve">Mining </w:t>
      </w:r>
      <w:r>
        <w:t>and resource</w:t>
      </w:r>
      <w:r w:rsidRPr="00B5183D">
        <w:t>s</w:t>
      </w:r>
    </w:p>
    <w:p w14:paraId="67F57A2F" w14:textId="77777777" w:rsidR="00FB2B97" w:rsidRPr="00B5183D" w:rsidRDefault="00FB2B97" w:rsidP="00FB2B97">
      <w:pPr>
        <w:pStyle w:val="ListParagraph"/>
        <w:numPr>
          <w:ilvl w:val="0"/>
          <w:numId w:val="32"/>
        </w:numPr>
        <w:ind w:left="720"/>
      </w:pPr>
      <w:r>
        <w:t>Mining equipment manufacturers</w:t>
      </w:r>
    </w:p>
    <w:p w14:paraId="4F5D55A2" w14:textId="77777777" w:rsidR="00FB2B97" w:rsidRDefault="00FB2B97" w:rsidP="00FB2B97">
      <w:pPr>
        <w:pStyle w:val="ListParagraph"/>
        <w:numPr>
          <w:ilvl w:val="0"/>
          <w:numId w:val="32"/>
        </w:numPr>
        <w:ind w:left="720"/>
      </w:pPr>
      <w:r w:rsidRPr="00B5183D">
        <w:t>Landscape restoration companies</w:t>
      </w:r>
    </w:p>
    <w:p w14:paraId="4AAB0BA8" w14:textId="77777777" w:rsidR="00FB2B97" w:rsidRPr="00E20110" w:rsidRDefault="00FB2B97" w:rsidP="00341398">
      <w:pPr>
        <w:pStyle w:val="Calloutbox"/>
        <w:spacing w:before="120" w:after="120"/>
      </w:pPr>
      <w:r w:rsidRPr="008F28BC">
        <w:t xml:space="preserve">The </w:t>
      </w:r>
      <w:r>
        <w:t>policies and strategies</w:t>
      </w:r>
      <w:r w:rsidRPr="008F28BC">
        <w:t xml:space="preserve"> listed below are </w:t>
      </w:r>
      <w:r>
        <w:t xml:space="preserve">provided </w:t>
      </w:r>
      <w:r w:rsidRPr="008F28BC">
        <w:t xml:space="preserve">for awareness </w:t>
      </w:r>
      <w:r>
        <w:t>of how this challenge aligns with broader government policy</w:t>
      </w:r>
      <w:r w:rsidRPr="008F28BC">
        <w:t xml:space="preserve">. </w:t>
      </w:r>
      <w:r>
        <w:t xml:space="preserve"> Applicants do not need to </w:t>
      </w:r>
      <w:r w:rsidRPr="008F28BC">
        <w:t>address</w:t>
      </w:r>
      <w:r>
        <w:t xml:space="preserve"> these policies </w:t>
      </w:r>
      <w:r w:rsidRPr="008F28BC">
        <w:t>within the</w:t>
      </w:r>
      <w:r>
        <w:t>ir</w:t>
      </w:r>
      <w:r w:rsidRPr="008F28BC">
        <w:t xml:space="preserve"> application. </w:t>
      </w:r>
    </w:p>
    <w:p w14:paraId="1EEB03C6" w14:textId="0506C9CF" w:rsidR="00FB2B97" w:rsidRPr="008E35CD" w:rsidRDefault="00FB2B97" w:rsidP="00BB0536">
      <w:pPr>
        <w:pStyle w:val="Heading4"/>
      </w:pPr>
      <w:r w:rsidRPr="008E35CD">
        <w:t>National policies and strategies that align with this challenge include:</w:t>
      </w:r>
    </w:p>
    <w:tbl>
      <w:tblPr>
        <w:tblStyle w:val="GridTable4-Accent1"/>
        <w:tblW w:w="0" w:type="auto"/>
        <w:tblLook w:val="04A0" w:firstRow="1" w:lastRow="0" w:firstColumn="1" w:lastColumn="0" w:noHBand="0" w:noVBand="1"/>
      </w:tblPr>
      <w:tblGrid>
        <w:gridCol w:w="3539"/>
        <w:gridCol w:w="5477"/>
      </w:tblGrid>
      <w:tr w:rsidR="00FB2B97" w:rsidRPr="00B5183D" w14:paraId="7BCECB46" w14:textId="77777777" w:rsidTr="00BB0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8FC914E" w14:textId="77777777" w:rsidR="00FB2B97" w:rsidRPr="00B5183D" w:rsidRDefault="00FB2B97" w:rsidP="004B0BDF">
            <w:r w:rsidRPr="00B5183D">
              <w:t>National strategy, plan, or policy</w:t>
            </w:r>
          </w:p>
        </w:tc>
        <w:tc>
          <w:tcPr>
            <w:tcW w:w="5477" w:type="dxa"/>
          </w:tcPr>
          <w:p w14:paraId="4C5F3706" w14:textId="77777777" w:rsidR="00FB2B97" w:rsidRPr="00B5183D" w:rsidRDefault="00FB2B97" w:rsidP="004B0BDF">
            <w:pPr>
              <w:cnfStyle w:val="100000000000" w:firstRow="1" w:lastRow="0" w:firstColumn="0" w:lastColumn="0" w:oddVBand="0" w:evenVBand="0" w:oddHBand="0" w:evenHBand="0" w:firstRowFirstColumn="0" w:firstRowLastColumn="0" w:lastRowFirstColumn="0" w:lastRowLastColumn="0"/>
            </w:pPr>
            <w:r w:rsidRPr="00B5183D">
              <w:t>Areas of alignment with this challenge</w:t>
            </w:r>
          </w:p>
        </w:tc>
      </w:tr>
      <w:tr w:rsidR="00FB2B97" w:rsidRPr="00B5183D" w14:paraId="4916F9BE"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759446D" w14:textId="77777777" w:rsidR="00FB2B97" w:rsidRPr="00B5183D" w:rsidRDefault="00FB2B97" w:rsidP="00341398">
            <w:pPr>
              <w:spacing w:before="80" w:after="80"/>
            </w:pPr>
            <w:r w:rsidRPr="00B5183D">
              <w:t>National Reconstruction Fund Priorities</w:t>
            </w:r>
          </w:p>
        </w:tc>
        <w:tc>
          <w:tcPr>
            <w:tcW w:w="5477" w:type="dxa"/>
          </w:tcPr>
          <w:p w14:paraId="46A2D726"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 xml:space="preserve">Priority 1: Value–add in </w:t>
            </w:r>
            <w:proofErr w:type="gramStart"/>
            <w:r w:rsidRPr="00B5183D">
              <w:t>resources</w:t>
            </w:r>
            <w:proofErr w:type="gramEnd"/>
            <w:r w:rsidRPr="00B5183D">
              <w:t xml:space="preserve"> </w:t>
            </w:r>
          </w:p>
          <w:p w14:paraId="7024A691"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 xml:space="preserve">Priority 5: </w:t>
            </w:r>
            <w:r w:rsidRPr="00B5183D">
              <w:rPr>
                <w:bCs/>
              </w:rPr>
              <w:t>Renewables and low emissions technologies</w:t>
            </w:r>
          </w:p>
        </w:tc>
      </w:tr>
      <w:tr w:rsidR="00FB2B97" w:rsidRPr="00B5183D" w14:paraId="741250EC" w14:textId="77777777" w:rsidTr="00BB0536">
        <w:tc>
          <w:tcPr>
            <w:cnfStyle w:val="001000000000" w:firstRow="0" w:lastRow="0" w:firstColumn="1" w:lastColumn="0" w:oddVBand="0" w:evenVBand="0" w:oddHBand="0" w:evenHBand="0" w:firstRowFirstColumn="0" w:firstRowLastColumn="0" w:lastRowFirstColumn="0" w:lastRowLastColumn="0"/>
            <w:tcW w:w="3539" w:type="dxa"/>
          </w:tcPr>
          <w:p w14:paraId="1177CB9D" w14:textId="77777777" w:rsidR="00FB2B97" w:rsidRPr="00B5183D" w:rsidRDefault="00FB2B97" w:rsidP="00341398">
            <w:pPr>
              <w:spacing w:before="80" w:after="80"/>
              <w:rPr>
                <w:b w:val="0"/>
                <w:bCs w:val="0"/>
              </w:rPr>
            </w:pPr>
            <w:r w:rsidRPr="00B5183D">
              <w:t>Proposed National Science and Research Priorities</w:t>
            </w:r>
          </w:p>
        </w:tc>
        <w:tc>
          <w:tcPr>
            <w:tcW w:w="5477" w:type="dxa"/>
          </w:tcPr>
          <w:p w14:paraId="3BCAF47E"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pPr>
            <w:r w:rsidRPr="00B5183D">
              <w:t xml:space="preserve">Priority 1: </w:t>
            </w:r>
            <w:r w:rsidRPr="007320C9">
              <w:rPr>
                <w:rFonts w:eastAsia="Aptos" w:cs="Times New Roman"/>
              </w:rPr>
              <w:t>Transitioning to a net zero future</w:t>
            </w:r>
          </w:p>
        </w:tc>
      </w:tr>
      <w:tr w:rsidR="00FB2B97" w:rsidRPr="00B5183D" w14:paraId="0B575835"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DB7750D" w14:textId="77777777" w:rsidR="00FB2B97" w:rsidRPr="00B5183D" w:rsidRDefault="00FB2B97" w:rsidP="00341398">
            <w:pPr>
              <w:spacing w:before="80" w:after="80"/>
              <w:rPr>
                <w:b w:val="0"/>
                <w:bCs w:val="0"/>
              </w:rPr>
            </w:pPr>
            <w:r w:rsidRPr="00B5183D">
              <w:t>Critical Technologies Statement</w:t>
            </w:r>
          </w:p>
        </w:tc>
        <w:tc>
          <w:tcPr>
            <w:tcW w:w="5477" w:type="dxa"/>
          </w:tcPr>
          <w:p w14:paraId="021275BA"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Solving national challenges here in Australia – Manufacturing</w:t>
            </w:r>
          </w:p>
          <w:p w14:paraId="193B19BE"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rPr>
                <w:b/>
                <w:bCs/>
              </w:rPr>
            </w:pPr>
            <w:r w:rsidRPr="00B5183D">
              <w:t>Solving national challenges here in Australia – Emissions Reduction</w:t>
            </w:r>
          </w:p>
        </w:tc>
      </w:tr>
      <w:tr w:rsidR="00FB2B97" w:rsidRPr="00B5183D" w14:paraId="344218D3" w14:textId="77777777" w:rsidTr="00BB0536">
        <w:tc>
          <w:tcPr>
            <w:cnfStyle w:val="001000000000" w:firstRow="0" w:lastRow="0" w:firstColumn="1" w:lastColumn="0" w:oddVBand="0" w:evenVBand="0" w:oddHBand="0" w:evenHBand="0" w:firstRowFirstColumn="0" w:firstRowLastColumn="0" w:lastRowFirstColumn="0" w:lastRowLastColumn="0"/>
            <w:tcW w:w="3539" w:type="dxa"/>
          </w:tcPr>
          <w:p w14:paraId="30DFACFE" w14:textId="77777777" w:rsidR="00FB2B97" w:rsidRPr="00B5183D" w:rsidRDefault="00FB2B97" w:rsidP="00341398">
            <w:pPr>
              <w:spacing w:before="80" w:after="80"/>
              <w:rPr>
                <w:b w:val="0"/>
                <w:bCs w:val="0"/>
              </w:rPr>
            </w:pPr>
            <w:r w:rsidRPr="00B5183D">
              <w:t>List of Critical Technologies in the National Interest</w:t>
            </w:r>
          </w:p>
        </w:tc>
        <w:tc>
          <w:tcPr>
            <w:tcW w:w="5477" w:type="dxa"/>
          </w:tcPr>
          <w:p w14:paraId="0FFC478C"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pPr>
            <w:r w:rsidRPr="00B5183D">
              <w:t xml:space="preserve">Advanced manufacturing and material technologies </w:t>
            </w:r>
          </w:p>
          <w:p w14:paraId="5C516CF8"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pPr>
            <w:r w:rsidRPr="00B5183D">
              <w:t>Quantum technologies</w:t>
            </w:r>
          </w:p>
          <w:p w14:paraId="3ACE5F41"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pPr>
            <w:r w:rsidRPr="00B5183D">
              <w:t>Autonomous systems, robotics, positioning, timing, and sensing</w:t>
            </w:r>
          </w:p>
          <w:p w14:paraId="1A290F71"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rPr>
                <w:b/>
                <w:bCs/>
              </w:rPr>
            </w:pPr>
            <w:r w:rsidRPr="00B5183D">
              <w:t>Clean energy generation and storage technologies</w:t>
            </w:r>
          </w:p>
        </w:tc>
      </w:tr>
      <w:tr w:rsidR="00FB2B97" w:rsidRPr="00B5183D" w14:paraId="6278D939"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6BF2806" w14:textId="77777777" w:rsidR="00FB2B97" w:rsidRPr="00B5183D" w:rsidRDefault="00FB2B97" w:rsidP="00341398">
            <w:pPr>
              <w:spacing w:before="80" w:after="80"/>
            </w:pPr>
            <w:r w:rsidRPr="00B5183D">
              <w:t>CSIRO Megatrends</w:t>
            </w:r>
          </w:p>
        </w:tc>
        <w:tc>
          <w:tcPr>
            <w:tcW w:w="5477" w:type="dxa"/>
          </w:tcPr>
          <w:p w14:paraId="4E6F520F"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 xml:space="preserve">Increasingly autonomous </w:t>
            </w:r>
          </w:p>
          <w:p w14:paraId="1FABE829"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Diving into digital</w:t>
            </w:r>
          </w:p>
          <w:p w14:paraId="20F63727"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 xml:space="preserve">Leaner greener and cleaner </w:t>
            </w:r>
          </w:p>
          <w:p w14:paraId="20AE86DF"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Adapting to climate change</w:t>
            </w:r>
          </w:p>
        </w:tc>
      </w:tr>
      <w:tr w:rsidR="00FB2B97" w:rsidRPr="00B5183D" w14:paraId="39FF2483" w14:textId="77777777" w:rsidTr="00BB0536">
        <w:tc>
          <w:tcPr>
            <w:cnfStyle w:val="001000000000" w:firstRow="0" w:lastRow="0" w:firstColumn="1" w:lastColumn="0" w:oddVBand="0" w:evenVBand="0" w:oddHBand="0" w:evenHBand="0" w:firstRowFirstColumn="0" w:firstRowLastColumn="0" w:lastRowFirstColumn="0" w:lastRowLastColumn="0"/>
            <w:tcW w:w="3539" w:type="dxa"/>
          </w:tcPr>
          <w:p w14:paraId="51325319" w14:textId="77777777" w:rsidR="00FB2B97" w:rsidRPr="00B5183D" w:rsidRDefault="00FB2B97" w:rsidP="00341398">
            <w:pPr>
              <w:spacing w:before="80" w:after="80"/>
            </w:pPr>
            <w:r w:rsidRPr="00B5183D">
              <w:t>Net Zero Plan</w:t>
            </w:r>
          </w:p>
        </w:tc>
        <w:tc>
          <w:tcPr>
            <w:tcW w:w="5477" w:type="dxa"/>
          </w:tcPr>
          <w:p w14:paraId="12AAB56F"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pPr>
            <w:r w:rsidRPr="00B5183D">
              <w:t>Industry</w:t>
            </w:r>
          </w:p>
        </w:tc>
      </w:tr>
      <w:tr w:rsidR="00FB2B97" w:rsidRPr="00B5183D" w14:paraId="047D2AB7"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C28907B" w14:textId="77777777" w:rsidR="00FB2B97" w:rsidRPr="00B5183D" w:rsidRDefault="00FB2B97" w:rsidP="0078720E">
            <w:pPr>
              <w:spacing w:before="80" w:after="80"/>
              <w:ind w:left="26" w:hanging="26"/>
            </w:pPr>
            <w:r w:rsidRPr="00B5183D">
              <w:t>Australia’s Long-Term Emissions Reduction Plan</w:t>
            </w:r>
          </w:p>
        </w:tc>
        <w:tc>
          <w:tcPr>
            <w:tcW w:w="5477" w:type="dxa"/>
          </w:tcPr>
          <w:p w14:paraId="0B3B7ED3"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rsidRPr="00B5183D">
              <w:t>Achieve net zero emissions by 2050</w:t>
            </w:r>
          </w:p>
        </w:tc>
      </w:tr>
      <w:tr w:rsidR="00FB2B97" w:rsidRPr="00B5183D" w14:paraId="379AEC27" w14:textId="77777777" w:rsidTr="00BB0536">
        <w:tc>
          <w:tcPr>
            <w:cnfStyle w:val="001000000000" w:firstRow="0" w:lastRow="0" w:firstColumn="1" w:lastColumn="0" w:oddVBand="0" w:evenVBand="0" w:oddHBand="0" w:evenHBand="0" w:firstRowFirstColumn="0" w:firstRowLastColumn="0" w:lastRowFirstColumn="0" w:lastRowLastColumn="0"/>
            <w:tcW w:w="3539" w:type="dxa"/>
          </w:tcPr>
          <w:p w14:paraId="50DC5B96" w14:textId="77777777" w:rsidR="00FB2B97" w:rsidRPr="00B5183D" w:rsidRDefault="00FB2B97" w:rsidP="00341398">
            <w:pPr>
              <w:spacing w:before="80" w:after="80"/>
              <w:rPr>
                <w:b w:val="0"/>
                <w:bCs w:val="0"/>
              </w:rPr>
            </w:pPr>
            <w:r>
              <w:t xml:space="preserve">The 2021 </w:t>
            </w:r>
            <w:r w:rsidRPr="00B5183D">
              <w:t>National Research Infrastructure Roadmap</w:t>
            </w:r>
          </w:p>
        </w:tc>
        <w:tc>
          <w:tcPr>
            <w:tcW w:w="5477" w:type="dxa"/>
          </w:tcPr>
          <w:p w14:paraId="30B270AB"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pPr>
            <w:r w:rsidRPr="00B5183D">
              <w:t xml:space="preserve">Resources </w:t>
            </w:r>
            <w:r>
              <w:t>t</w:t>
            </w:r>
            <w:r w:rsidRPr="00B5183D">
              <w:t xml:space="preserve">echnology and </w:t>
            </w:r>
            <w:r>
              <w:t>c</w:t>
            </w:r>
            <w:r w:rsidRPr="00B5183D">
              <w:t xml:space="preserve">ritical </w:t>
            </w:r>
            <w:r>
              <w:t>m</w:t>
            </w:r>
            <w:r w:rsidRPr="00B5183D">
              <w:t xml:space="preserve">inerals </w:t>
            </w:r>
            <w:r>
              <w:t>p</w:t>
            </w:r>
            <w:r w:rsidRPr="00B5183D">
              <w:t>rocessing</w:t>
            </w:r>
          </w:p>
          <w:p w14:paraId="48992E88" w14:textId="77777777" w:rsidR="00FB2B97" w:rsidRPr="00B5183D" w:rsidRDefault="00FB2B97" w:rsidP="00341398">
            <w:pPr>
              <w:spacing w:before="80" w:after="80"/>
              <w:cnfStyle w:val="000000000000" w:firstRow="0" w:lastRow="0" w:firstColumn="0" w:lastColumn="0" w:oddVBand="0" w:evenVBand="0" w:oddHBand="0" w:evenHBand="0" w:firstRowFirstColumn="0" w:firstRowLastColumn="0" w:lastRowFirstColumn="0" w:lastRowLastColumn="0"/>
            </w:pPr>
            <w:r w:rsidRPr="00B5183D">
              <w:t xml:space="preserve">Frontier </w:t>
            </w:r>
            <w:r>
              <w:t>t</w:t>
            </w:r>
            <w:r w:rsidRPr="00B5183D">
              <w:t xml:space="preserve">echnologies and </w:t>
            </w:r>
            <w:r>
              <w:t>m</w:t>
            </w:r>
            <w:r w:rsidRPr="00B5183D">
              <w:t xml:space="preserve">odern </w:t>
            </w:r>
            <w:r>
              <w:t>m</w:t>
            </w:r>
            <w:r w:rsidRPr="00B5183D">
              <w:t>anufacturing</w:t>
            </w:r>
          </w:p>
        </w:tc>
      </w:tr>
      <w:tr w:rsidR="00FB2B97" w:rsidRPr="00B5183D" w14:paraId="6354DC0A" w14:textId="77777777" w:rsidTr="00BB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D62585A" w14:textId="77777777" w:rsidR="00FB2B97" w:rsidRPr="00B5183D" w:rsidRDefault="00FB2B97" w:rsidP="00341398">
            <w:pPr>
              <w:spacing w:before="80" w:after="80"/>
            </w:pPr>
            <w:r>
              <w:t>Critical minerals strategy 2023 – 2030</w:t>
            </w:r>
          </w:p>
        </w:tc>
        <w:tc>
          <w:tcPr>
            <w:tcW w:w="5477" w:type="dxa"/>
          </w:tcPr>
          <w:p w14:paraId="50E459C6" w14:textId="77777777" w:rsidR="00FB2B97" w:rsidRPr="00B5183D" w:rsidRDefault="00FB2B97" w:rsidP="00341398">
            <w:pPr>
              <w:spacing w:before="80" w:after="80"/>
              <w:cnfStyle w:val="000000100000" w:firstRow="0" w:lastRow="0" w:firstColumn="0" w:lastColumn="0" w:oddVBand="0" w:evenVBand="0" w:oddHBand="1" w:evenHBand="0" w:firstRowFirstColumn="0" w:firstRowLastColumn="0" w:lastRowFirstColumn="0" w:lastRowLastColumn="0"/>
            </w:pPr>
            <w:r>
              <w:t>C</w:t>
            </w:r>
            <w:r w:rsidRPr="00C20653">
              <w:t>reate diverse, resilient, and sustainable supply chains through strong and secure international partnerships</w:t>
            </w:r>
          </w:p>
        </w:tc>
      </w:tr>
    </w:tbl>
    <w:p w14:paraId="498A670A" w14:textId="77777777" w:rsidR="00FB2B97" w:rsidRPr="00D84C39" w:rsidRDefault="00FB2B97" w:rsidP="00341398">
      <w:pPr>
        <w:pStyle w:val="Calloutbox"/>
      </w:pPr>
      <w:r w:rsidRPr="00D84C39">
        <w:lastRenderedPageBreak/>
        <w:t xml:space="preserve">The programs listed below are </w:t>
      </w:r>
      <w:r>
        <w:t xml:space="preserve">provided </w:t>
      </w:r>
      <w:r w:rsidRPr="00D84C39">
        <w:t xml:space="preserve">for awareness. </w:t>
      </w:r>
      <w:r>
        <w:t xml:space="preserve"> Applicants do not need to </w:t>
      </w:r>
      <w:r w:rsidRPr="00D84C39">
        <w:t>address</w:t>
      </w:r>
      <w:r>
        <w:t xml:space="preserve"> these programs</w:t>
      </w:r>
      <w:r w:rsidRPr="00D84C39">
        <w:t xml:space="preserve"> within the application. </w:t>
      </w:r>
    </w:p>
    <w:p w14:paraId="5D9FCAB0" w14:textId="05CF08C0" w:rsidR="00FB2B97" w:rsidRPr="00B5183D" w:rsidRDefault="00FB2B97" w:rsidP="00BB0536">
      <w:pPr>
        <w:pStyle w:val="Heading4"/>
      </w:pPr>
      <w:r w:rsidRPr="00B5183D">
        <w:t>National programs that align with this challenge include:</w:t>
      </w:r>
    </w:p>
    <w:p w14:paraId="562FBCE5" w14:textId="03EDBCB9" w:rsidR="00FB2B97" w:rsidRPr="00B5183D" w:rsidRDefault="00F82254" w:rsidP="00EE7CBD">
      <w:pPr>
        <w:rPr>
          <w:rFonts w:cs="Calibri"/>
        </w:rPr>
      </w:pPr>
      <w:hyperlink r:id="rId74" w:history="1">
        <w:r w:rsidR="00FB2B97" w:rsidRPr="00B5183D">
          <w:rPr>
            <w:rStyle w:val="Hyperlink"/>
            <w:rFonts w:cs="Calibri"/>
          </w:rPr>
          <w:t>MinEx CRC</w:t>
        </w:r>
      </w:hyperlink>
      <w:r w:rsidR="00FB2B97" w:rsidRPr="00B5183D">
        <w:rPr>
          <w:rFonts w:cs="Calibri"/>
        </w:rPr>
        <w:t xml:space="preserve"> – $50</w:t>
      </w:r>
      <w:r w:rsidR="00FB2B97" w:rsidRPr="00B5183D">
        <w:t xml:space="preserve"> million </w:t>
      </w:r>
      <w:r w:rsidR="00FB2B97" w:rsidRPr="00B5183D">
        <w:rPr>
          <w:rFonts w:cs="Calibri"/>
        </w:rPr>
        <w:t>(2018–2028)</w:t>
      </w:r>
    </w:p>
    <w:p w14:paraId="006E79CF" w14:textId="564D23C2" w:rsidR="00FB2B97" w:rsidRDefault="00F82254" w:rsidP="00EE7CBD">
      <w:hyperlink r:id="rId75" w:history="1">
        <w:r w:rsidR="00FB2B97" w:rsidRPr="00B5183D">
          <w:rPr>
            <w:rStyle w:val="Hyperlink"/>
          </w:rPr>
          <w:t>Future Battery Industries CRC</w:t>
        </w:r>
      </w:hyperlink>
      <w:r w:rsidR="00FB2B97" w:rsidRPr="00B5183D">
        <w:t xml:space="preserve"> – $25 million – (2019–2025)</w:t>
      </w:r>
    </w:p>
    <w:p w14:paraId="29439ACB" w14:textId="55392FEB" w:rsidR="00FB2B97" w:rsidRPr="00B5183D" w:rsidRDefault="00F82254" w:rsidP="00EE7CBD">
      <w:hyperlink r:id="rId76" w:history="1">
        <w:proofErr w:type="spellStart"/>
        <w:r w:rsidR="00FB2B97" w:rsidRPr="00B5183D">
          <w:rPr>
            <w:rStyle w:val="Hyperlink"/>
          </w:rPr>
          <w:t>SmartCrete</w:t>
        </w:r>
        <w:proofErr w:type="spellEnd"/>
        <w:r w:rsidR="00FB2B97" w:rsidRPr="00B5183D">
          <w:rPr>
            <w:rStyle w:val="Hyperlink"/>
          </w:rPr>
          <w:t xml:space="preserve"> CRC</w:t>
        </w:r>
      </w:hyperlink>
      <w:r w:rsidR="00FB2B97" w:rsidRPr="00B5183D">
        <w:t xml:space="preserve"> – $21 million (2020–2027)</w:t>
      </w:r>
    </w:p>
    <w:p w14:paraId="2196381D" w14:textId="53A0DB25" w:rsidR="00FB2B97" w:rsidRPr="00B5183D" w:rsidRDefault="00F82254" w:rsidP="00EE7CBD">
      <w:pPr>
        <w:rPr>
          <w:rFonts w:cs="Calibri"/>
        </w:rPr>
      </w:pPr>
      <w:hyperlink r:id="rId77" w:history="1">
        <w:r w:rsidR="00FB2B97" w:rsidRPr="00B5183D">
          <w:rPr>
            <w:rStyle w:val="Hyperlink"/>
            <w:rFonts w:cs="Calibri"/>
          </w:rPr>
          <w:t>Transformations in Mining Economies CRC</w:t>
        </w:r>
      </w:hyperlink>
      <w:r w:rsidR="00FB2B97" w:rsidRPr="00B5183D">
        <w:rPr>
          <w:rFonts w:cs="Calibri"/>
        </w:rPr>
        <w:t xml:space="preserve"> – $29.5</w:t>
      </w:r>
      <w:r w:rsidR="00FB2B97" w:rsidRPr="00B5183D">
        <w:t xml:space="preserve"> million</w:t>
      </w:r>
      <w:r w:rsidR="00FB2B97" w:rsidRPr="00B5183D" w:rsidDel="000C4548">
        <w:rPr>
          <w:rFonts w:cs="Calibri"/>
        </w:rPr>
        <w:t xml:space="preserve"> </w:t>
      </w:r>
      <w:r w:rsidR="00FB2B97" w:rsidRPr="00B5183D">
        <w:rPr>
          <w:rFonts w:cs="Calibri"/>
        </w:rPr>
        <w:t>(2020–2030)</w:t>
      </w:r>
    </w:p>
    <w:p w14:paraId="1AF371C3" w14:textId="7F5CD62E" w:rsidR="00FB2B97" w:rsidRPr="00B5183D" w:rsidRDefault="00F82254" w:rsidP="00EE7CBD">
      <w:hyperlink r:id="rId78" w:history="1">
        <w:r w:rsidR="00FB2B97" w:rsidRPr="00B5183D">
          <w:rPr>
            <w:rStyle w:val="Hyperlink"/>
          </w:rPr>
          <w:t>Future Energy Exports CRC</w:t>
        </w:r>
      </w:hyperlink>
      <w:r w:rsidR="00FB2B97" w:rsidRPr="00B5183D">
        <w:t xml:space="preserve"> – $40 million</w:t>
      </w:r>
      <w:r w:rsidR="00FB2B97" w:rsidRPr="00B5183D" w:rsidDel="00C249DF">
        <w:t xml:space="preserve"> </w:t>
      </w:r>
      <w:r w:rsidR="00FB2B97" w:rsidRPr="00B5183D">
        <w:t>(2020–2030)</w:t>
      </w:r>
    </w:p>
    <w:p w14:paraId="08601109" w14:textId="147E654B" w:rsidR="00FB2B97" w:rsidRPr="00B5183D" w:rsidRDefault="00F82254" w:rsidP="00EE7CBD">
      <w:pPr>
        <w:rPr>
          <w:rFonts w:cs="Calibri"/>
        </w:rPr>
      </w:pPr>
      <w:hyperlink r:id="rId79" w:history="1">
        <w:r w:rsidR="00FB2B97" w:rsidRPr="00B5183D">
          <w:rPr>
            <w:rStyle w:val="Hyperlink"/>
          </w:rPr>
          <w:t>Heavy Industry Low–carbon Transition (HILT) CRC</w:t>
        </w:r>
      </w:hyperlink>
      <w:r w:rsidR="00FB2B97" w:rsidRPr="00B5183D">
        <w:t xml:space="preserve"> – $39 million</w:t>
      </w:r>
      <w:r w:rsidR="00FB2B97" w:rsidRPr="00B5183D" w:rsidDel="007E47D5">
        <w:t xml:space="preserve"> </w:t>
      </w:r>
      <w:r w:rsidR="00FB2B97" w:rsidRPr="00B5183D">
        <w:t>(2021–2031)</w:t>
      </w:r>
    </w:p>
    <w:p w14:paraId="687A312A" w14:textId="77777777" w:rsidR="00FB2B97" w:rsidRPr="00B5183D" w:rsidRDefault="00F82254" w:rsidP="00EE7CBD">
      <w:hyperlink r:id="rId80" w:history="1">
        <w:r w:rsidR="00FB2B97" w:rsidRPr="00B5183D">
          <w:rPr>
            <w:rStyle w:val="Hyperlink"/>
          </w:rPr>
          <w:t>CRC Projects selection round outcomes</w:t>
        </w:r>
      </w:hyperlink>
      <w:r w:rsidR="00FB2B97" w:rsidRPr="00B5183D">
        <w:t xml:space="preserve"> – </w:t>
      </w:r>
      <w:r w:rsidR="00FB2B97" w:rsidRPr="00B5183D">
        <w:rPr>
          <w:rFonts w:cs="Calibri"/>
        </w:rPr>
        <w:t>Extracting critical minerals and rare earths from bauxite residue</w:t>
      </w:r>
      <w:r w:rsidR="00FB2B97" w:rsidRPr="00B5183D">
        <w:t xml:space="preserve"> (2021) </w:t>
      </w:r>
    </w:p>
    <w:p w14:paraId="32BD04DE" w14:textId="77777777" w:rsidR="00FB2B97" w:rsidRPr="00B5183D" w:rsidRDefault="00F82254" w:rsidP="00EE7CBD">
      <w:hyperlink r:id="rId81" w:history="1">
        <w:r w:rsidR="00FB2B97" w:rsidRPr="00B5183D">
          <w:rPr>
            <w:rStyle w:val="Hyperlink"/>
          </w:rPr>
          <w:t>CRC Projects selection round outcomes</w:t>
        </w:r>
      </w:hyperlink>
      <w:r w:rsidR="00FB2B97" w:rsidRPr="00B5183D">
        <w:t xml:space="preserve"> – </w:t>
      </w:r>
      <w:r w:rsidR="00FB2B97" w:rsidRPr="00B5183D">
        <w:rPr>
          <w:rFonts w:cs="Calibri"/>
        </w:rPr>
        <w:t>High value–added manufacturing from polymetallic critical minerals</w:t>
      </w:r>
      <w:r w:rsidR="00FB2B97" w:rsidRPr="00B5183D">
        <w:t xml:space="preserve"> (2021) </w:t>
      </w:r>
    </w:p>
    <w:p w14:paraId="3077452E" w14:textId="77777777" w:rsidR="00FB2B97" w:rsidRPr="00B5183D" w:rsidRDefault="00FB2B97" w:rsidP="00BB0536">
      <w:pPr>
        <w:pStyle w:val="Heading4"/>
      </w:pPr>
      <w:r w:rsidRPr="00B5183D">
        <w:t xml:space="preserve">International initiatives that align with this challenge include: </w:t>
      </w:r>
    </w:p>
    <w:p w14:paraId="6AA5C3EF" w14:textId="77777777" w:rsidR="00FB2B97" w:rsidRPr="00B5183D" w:rsidRDefault="00FB2B97" w:rsidP="00FB2B97">
      <w:pPr>
        <w:spacing w:before="0" w:after="160" w:line="259" w:lineRule="auto"/>
      </w:pPr>
      <w:r w:rsidRPr="00B5183D">
        <w:t xml:space="preserve">Canada </w:t>
      </w:r>
      <w:hyperlink r:id="rId82" w:anchor="gs-n-cs-filter1" w:history="1">
        <w:r w:rsidRPr="00B5183D">
          <w:rPr>
            <w:rStyle w:val="Hyperlink"/>
          </w:rPr>
          <w:t>Internet of Things</w:t>
        </w:r>
      </w:hyperlink>
      <w:r w:rsidRPr="00B5183D">
        <w:t xml:space="preserve"> – Quantum mining: coherent quantum imaging tools for process mineralogy analytics (2023)</w:t>
      </w:r>
    </w:p>
    <w:p w14:paraId="745A99F0" w14:textId="77777777" w:rsidR="00FB2B97" w:rsidRPr="00B5183D" w:rsidRDefault="00FB2B97" w:rsidP="00FB2B97">
      <w:r w:rsidRPr="00B5183D">
        <w:t xml:space="preserve">UK </w:t>
      </w:r>
      <w:hyperlink r:id="rId83" w:history="1">
        <w:r w:rsidRPr="00B5183D">
          <w:rPr>
            <w:rStyle w:val="Hyperlink"/>
          </w:rPr>
          <w:t>Quantum Strategy Mission number 5</w:t>
        </w:r>
      </w:hyperlink>
      <w:r w:rsidRPr="00B5183D">
        <w:t xml:space="preserve"> – By 2030, mobile, networked quantum sensors will have unlocked new situational awareness capabilities, exploited across critical infrastructure in the transport, telecoms, energy, and defence sectors (2023)</w:t>
      </w:r>
    </w:p>
    <w:p w14:paraId="481816B4" w14:textId="68D0E80F" w:rsidR="00EE7CBD" w:rsidRDefault="00EE7CBD">
      <w:pPr>
        <w:spacing w:before="0" w:after="160" w:line="259" w:lineRule="auto"/>
        <w:rPr>
          <w:rFonts w:asciiTheme="majorHAnsi" w:eastAsiaTheme="majorEastAsia" w:hAnsiTheme="majorHAnsi" w:cstheme="majorBidi"/>
          <w:color w:val="7A3972" w:themeColor="text2"/>
          <w:sz w:val="48"/>
          <w:szCs w:val="48"/>
        </w:rPr>
      </w:pPr>
      <w:r>
        <w:br w:type="page"/>
      </w:r>
    </w:p>
    <w:p w14:paraId="72F1734F" w14:textId="77777777" w:rsidR="00596223" w:rsidRPr="00EE7CBD" w:rsidRDefault="00596223" w:rsidP="00EE7CBD">
      <w:pPr>
        <w:pStyle w:val="Heading2"/>
      </w:pPr>
      <w:bookmarkStart w:id="65" w:name="_Toc161672117"/>
      <w:bookmarkStart w:id="66" w:name="_Toc164854374"/>
      <w:r w:rsidRPr="00EE7CBD">
        <w:lastRenderedPageBreak/>
        <w:t>Information of interest</w:t>
      </w:r>
      <w:bookmarkEnd w:id="65"/>
      <w:bookmarkEnd w:id="66"/>
    </w:p>
    <w:p w14:paraId="33E19F8D" w14:textId="6E715FD6" w:rsidR="00596223" w:rsidRPr="00BB0536" w:rsidRDefault="00596223" w:rsidP="00BB0536">
      <w:pPr>
        <w:pStyle w:val="Normalplusextrabefore"/>
        <w:spacing w:before="0"/>
        <w:rPr>
          <w:b w:val="0"/>
          <w:bCs w:val="0"/>
          <w:szCs w:val="20"/>
        </w:rPr>
      </w:pPr>
      <w:r w:rsidRPr="00BB0536">
        <w:rPr>
          <w:b w:val="0"/>
          <w:bCs w:val="0"/>
          <w:szCs w:val="20"/>
        </w:rPr>
        <w:t>Department of Industry, Science and Resources (DISR): The National Quantum Strategy</w:t>
      </w:r>
      <w:r w:rsidR="00E30820" w:rsidRPr="00BB0536">
        <w:rPr>
          <w:b w:val="0"/>
          <w:bCs w:val="0"/>
          <w:szCs w:val="20"/>
        </w:rPr>
        <w:t xml:space="preserve"> </w:t>
      </w:r>
      <w:r w:rsidR="00E30820" w:rsidRPr="00BB0536">
        <w:rPr>
          <w:b w:val="0"/>
          <w:bCs w:val="0"/>
          <w:szCs w:val="20"/>
        </w:rPr>
        <w:br/>
      </w:r>
      <w:hyperlink r:id="rId84" w:history="1">
        <w:r w:rsidR="00E30820" w:rsidRPr="00BB0536">
          <w:rPr>
            <w:rStyle w:val="Hyperlink"/>
            <w:b w:val="0"/>
            <w:bCs w:val="0"/>
            <w:szCs w:val="20"/>
          </w:rPr>
          <w:t>https://www.industry.gov.au/publications/national-quantum-strategy</w:t>
        </w:r>
      </w:hyperlink>
      <w:r w:rsidRPr="00BB0536">
        <w:rPr>
          <w:b w:val="0"/>
          <w:bCs w:val="0"/>
          <w:szCs w:val="20"/>
        </w:rPr>
        <w:t xml:space="preserve"> </w:t>
      </w:r>
    </w:p>
    <w:p w14:paraId="4D2C1777" w14:textId="0E76807E" w:rsidR="00596223" w:rsidRPr="00BB0536" w:rsidRDefault="00596223" w:rsidP="00BB0536">
      <w:pPr>
        <w:pStyle w:val="Normalplusextrabefore"/>
        <w:spacing w:before="0"/>
        <w:rPr>
          <w:b w:val="0"/>
          <w:bCs w:val="0"/>
          <w:szCs w:val="20"/>
        </w:rPr>
      </w:pPr>
      <w:r w:rsidRPr="00BB0536">
        <w:rPr>
          <w:b w:val="0"/>
          <w:bCs w:val="0"/>
          <w:szCs w:val="20"/>
        </w:rPr>
        <w:t>DISR: National Reconstruction Fund</w:t>
      </w:r>
      <w:r w:rsidR="00E30820" w:rsidRPr="00BB0536">
        <w:rPr>
          <w:b w:val="0"/>
          <w:bCs w:val="0"/>
          <w:szCs w:val="20"/>
        </w:rPr>
        <w:t xml:space="preserve"> </w:t>
      </w:r>
      <w:r w:rsidR="00E30820" w:rsidRPr="00BB0536">
        <w:rPr>
          <w:b w:val="0"/>
          <w:bCs w:val="0"/>
          <w:szCs w:val="20"/>
        </w:rPr>
        <w:br/>
      </w:r>
      <w:hyperlink r:id="rId85" w:history="1">
        <w:r w:rsidR="00E30820" w:rsidRPr="00BB0536">
          <w:rPr>
            <w:rStyle w:val="Hyperlink"/>
            <w:b w:val="0"/>
            <w:bCs w:val="0"/>
            <w:szCs w:val="20"/>
          </w:rPr>
          <w:t>https://www.industry.gov.au/news/national-reconstruction-fund-diversifying-and-transforming-australias-industry-and-economy</w:t>
        </w:r>
      </w:hyperlink>
    </w:p>
    <w:p w14:paraId="749F53FF" w14:textId="732C1D0A" w:rsidR="00596223" w:rsidRPr="00BB0536" w:rsidRDefault="00596223" w:rsidP="00BB0536">
      <w:pPr>
        <w:pStyle w:val="Normalplusextrabefore"/>
        <w:spacing w:before="0"/>
        <w:rPr>
          <w:b w:val="0"/>
          <w:bCs w:val="0"/>
          <w:szCs w:val="20"/>
        </w:rPr>
      </w:pPr>
      <w:r w:rsidRPr="00BB0536">
        <w:rPr>
          <w:b w:val="0"/>
          <w:bCs w:val="0"/>
          <w:szCs w:val="20"/>
        </w:rPr>
        <w:t>DISR: List of Critical Technologies in the National Interest</w:t>
      </w:r>
      <w:r w:rsidR="00E30820" w:rsidRPr="00BB0536">
        <w:rPr>
          <w:b w:val="0"/>
          <w:bCs w:val="0"/>
          <w:szCs w:val="20"/>
        </w:rPr>
        <w:t xml:space="preserve"> </w:t>
      </w:r>
      <w:r w:rsidR="00E30820" w:rsidRPr="00BB0536">
        <w:rPr>
          <w:b w:val="0"/>
          <w:bCs w:val="0"/>
          <w:szCs w:val="20"/>
        </w:rPr>
        <w:br/>
      </w:r>
      <w:hyperlink r:id="rId86" w:history="1">
        <w:r w:rsidR="00E30820" w:rsidRPr="00BB0536">
          <w:rPr>
            <w:rStyle w:val="Hyperlink"/>
            <w:b w:val="0"/>
            <w:bCs w:val="0"/>
            <w:szCs w:val="20"/>
          </w:rPr>
          <w:t>https://www.industry.gov.au/publications/list-critical-technologies-national-interest</w:t>
        </w:r>
      </w:hyperlink>
      <w:r w:rsidRPr="00BB0536">
        <w:rPr>
          <w:b w:val="0"/>
          <w:bCs w:val="0"/>
          <w:szCs w:val="20"/>
        </w:rPr>
        <w:t xml:space="preserve"> </w:t>
      </w:r>
    </w:p>
    <w:p w14:paraId="13DD51A3" w14:textId="7E62FC78" w:rsidR="00596223" w:rsidRPr="00BB0536" w:rsidRDefault="00596223" w:rsidP="00BB0536">
      <w:pPr>
        <w:pStyle w:val="Normalplusextrabefore"/>
        <w:spacing w:before="0"/>
        <w:rPr>
          <w:b w:val="0"/>
          <w:bCs w:val="0"/>
          <w:szCs w:val="20"/>
        </w:rPr>
      </w:pPr>
      <w:r w:rsidRPr="00BB0536">
        <w:rPr>
          <w:b w:val="0"/>
          <w:bCs w:val="0"/>
          <w:szCs w:val="20"/>
        </w:rPr>
        <w:t>DISR: National Science and Research Priorities</w:t>
      </w:r>
      <w:r w:rsidR="00E30820" w:rsidRPr="00BB0536">
        <w:rPr>
          <w:b w:val="0"/>
          <w:bCs w:val="0"/>
          <w:szCs w:val="20"/>
        </w:rPr>
        <w:t xml:space="preserve"> </w:t>
      </w:r>
      <w:r w:rsidR="00E30820" w:rsidRPr="00BB0536">
        <w:rPr>
          <w:b w:val="0"/>
          <w:bCs w:val="0"/>
          <w:szCs w:val="20"/>
        </w:rPr>
        <w:br/>
      </w:r>
      <w:hyperlink r:id="rId87" w:history="1">
        <w:r w:rsidR="00E30820" w:rsidRPr="00BB0536">
          <w:rPr>
            <w:rStyle w:val="Hyperlink"/>
            <w:b w:val="0"/>
            <w:bCs w:val="0"/>
            <w:szCs w:val="20"/>
          </w:rPr>
          <w:t>https://consult.industry.gov.au/sciencepriorities2</w:t>
        </w:r>
      </w:hyperlink>
    </w:p>
    <w:p w14:paraId="3ED2F090" w14:textId="367C80E7" w:rsidR="00596223" w:rsidRPr="00BB0536" w:rsidRDefault="00596223" w:rsidP="00BB0536">
      <w:pPr>
        <w:pStyle w:val="Normalplusextrabefore"/>
        <w:spacing w:before="0"/>
        <w:rPr>
          <w:b w:val="0"/>
          <w:bCs w:val="0"/>
          <w:szCs w:val="20"/>
        </w:rPr>
      </w:pPr>
      <w:r w:rsidRPr="00BB0536">
        <w:rPr>
          <w:b w:val="0"/>
          <w:bCs w:val="0"/>
          <w:szCs w:val="20"/>
        </w:rPr>
        <w:t>DISR: Diversity in STEM</w:t>
      </w:r>
      <w:r w:rsidR="00E30820" w:rsidRPr="00BB0536">
        <w:rPr>
          <w:b w:val="0"/>
          <w:bCs w:val="0"/>
          <w:szCs w:val="20"/>
        </w:rPr>
        <w:t xml:space="preserve"> </w:t>
      </w:r>
      <w:r w:rsidR="00E30820" w:rsidRPr="00BB0536">
        <w:rPr>
          <w:b w:val="0"/>
          <w:bCs w:val="0"/>
          <w:szCs w:val="20"/>
        </w:rPr>
        <w:br/>
      </w:r>
      <w:hyperlink r:id="rId88" w:history="1">
        <w:r w:rsidR="00E30820" w:rsidRPr="00BB0536">
          <w:rPr>
            <w:rStyle w:val="Hyperlink"/>
            <w:b w:val="0"/>
            <w:bCs w:val="0"/>
            <w:szCs w:val="20"/>
          </w:rPr>
          <w:t>https://www.industry.gov.au/news/review-recommends-more-ambitious-and-strategic-action-increase-diversity-stem</w:t>
        </w:r>
      </w:hyperlink>
      <w:r w:rsidRPr="00BB0536">
        <w:rPr>
          <w:b w:val="0"/>
          <w:bCs w:val="0"/>
          <w:szCs w:val="20"/>
        </w:rPr>
        <w:t xml:space="preserve"> </w:t>
      </w:r>
    </w:p>
    <w:p w14:paraId="0C52810A" w14:textId="6169FAC1" w:rsidR="00596223" w:rsidRPr="00BB0536" w:rsidRDefault="00596223" w:rsidP="00BB0536">
      <w:pPr>
        <w:pStyle w:val="Normalplusextrabefore"/>
        <w:spacing w:before="0"/>
        <w:rPr>
          <w:b w:val="0"/>
          <w:bCs w:val="0"/>
          <w:szCs w:val="20"/>
        </w:rPr>
      </w:pPr>
      <w:r w:rsidRPr="00BB0536">
        <w:rPr>
          <w:b w:val="0"/>
          <w:bCs w:val="0"/>
          <w:szCs w:val="20"/>
        </w:rPr>
        <w:t>DISR: A national and international approach – including QUAD and AUKUS</w:t>
      </w:r>
      <w:r w:rsidR="00E30820" w:rsidRPr="00BB0536">
        <w:rPr>
          <w:b w:val="0"/>
          <w:bCs w:val="0"/>
          <w:szCs w:val="20"/>
        </w:rPr>
        <w:t xml:space="preserve"> </w:t>
      </w:r>
      <w:r w:rsidR="00E30820" w:rsidRPr="00BB0536">
        <w:rPr>
          <w:b w:val="0"/>
          <w:bCs w:val="0"/>
          <w:szCs w:val="20"/>
        </w:rPr>
        <w:br/>
      </w:r>
      <w:hyperlink r:id="rId89" w:history="1">
        <w:r w:rsidR="00E30820" w:rsidRPr="00BB0536">
          <w:rPr>
            <w:rStyle w:val="Hyperlink"/>
            <w:b w:val="0"/>
            <w:bCs w:val="0"/>
            <w:szCs w:val="20"/>
          </w:rPr>
          <w:t>https://www.industry.gov.au/publications/national-quantum-strategy/national-and-international-approach</w:t>
        </w:r>
      </w:hyperlink>
      <w:r w:rsidRPr="00BB0536">
        <w:rPr>
          <w:b w:val="0"/>
          <w:bCs w:val="0"/>
          <w:szCs w:val="20"/>
        </w:rPr>
        <w:t xml:space="preserve"> </w:t>
      </w:r>
    </w:p>
    <w:p w14:paraId="231B408E" w14:textId="39C599FA" w:rsidR="00596223" w:rsidRPr="00BB0536" w:rsidRDefault="00596223" w:rsidP="00BB0536">
      <w:pPr>
        <w:pStyle w:val="Normalplusextrabefore"/>
        <w:spacing w:before="0"/>
        <w:rPr>
          <w:b w:val="0"/>
          <w:bCs w:val="0"/>
          <w:webHidden/>
          <w:szCs w:val="20"/>
        </w:rPr>
      </w:pPr>
      <w:r w:rsidRPr="00BB0536">
        <w:rPr>
          <w:b w:val="0"/>
          <w:bCs w:val="0"/>
          <w:szCs w:val="20"/>
        </w:rPr>
        <w:t>DISR: Joint Statement of the United Kingdom and Australia on Cooperation in Quantum Technologies</w:t>
      </w:r>
      <w:r w:rsidR="00E30820" w:rsidRPr="00BB0536">
        <w:rPr>
          <w:b w:val="0"/>
          <w:bCs w:val="0"/>
          <w:szCs w:val="20"/>
        </w:rPr>
        <w:t xml:space="preserve"> </w:t>
      </w:r>
      <w:r w:rsidR="00E30820" w:rsidRPr="00BB0536">
        <w:rPr>
          <w:b w:val="0"/>
          <w:bCs w:val="0"/>
          <w:szCs w:val="20"/>
        </w:rPr>
        <w:br/>
      </w:r>
      <w:hyperlink r:id="rId90" w:history="1">
        <w:r w:rsidR="00E30820" w:rsidRPr="00BB0536">
          <w:rPr>
            <w:rStyle w:val="Hyperlink"/>
            <w:b w:val="0"/>
            <w:bCs w:val="0"/>
            <w:szCs w:val="20"/>
          </w:rPr>
          <w:t>https://www.industry.gov.au/publications/joint-statement-united-kingdom-and-australia-cooperation-quantum-technologies</w:t>
        </w:r>
      </w:hyperlink>
      <w:r w:rsidRPr="00BB0536">
        <w:rPr>
          <w:b w:val="0"/>
          <w:bCs w:val="0"/>
          <w:szCs w:val="20"/>
        </w:rPr>
        <w:t xml:space="preserve"> </w:t>
      </w:r>
    </w:p>
    <w:p w14:paraId="236DBFD8" w14:textId="6CB0D9D1" w:rsidR="00596223" w:rsidRPr="00BB0536" w:rsidRDefault="00596223" w:rsidP="00BB0536">
      <w:pPr>
        <w:pStyle w:val="Normalplusextrabefore"/>
        <w:spacing w:before="0"/>
        <w:rPr>
          <w:b w:val="0"/>
          <w:bCs w:val="0"/>
          <w:szCs w:val="20"/>
        </w:rPr>
      </w:pPr>
      <w:r w:rsidRPr="00BB0536">
        <w:rPr>
          <w:b w:val="0"/>
          <w:bCs w:val="0"/>
          <w:szCs w:val="20"/>
        </w:rPr>
        <w:t>DISR: Joint Statement of the United States of America and Australia on Cooperation in Quantum Science and Technology</w:t>
      </w:r>
      <w:r w:rsidR="00E30820" w:rsidRPr="00BB0536">
        <w:rPr>
          <w:b w:val="0"/>
          <w:bCs w:val="0"/>
          <w:szCs w:val="20"/>
        </w:rPr>
        <w:t xml:space="preserve"> </w:t>
      </w:r>
      <w:r w:rsidR="00E30820" w:rsidRPr="00BB0536">
        <w:rPr>
          <w:b w:val="0"/>
          <w:bCs w:val="0"/>
          <w:szCs w:val="20"/>
        </w:rPr>
        <w:br/>
      </w:r>
      <w:hyperlink r:id="rId91" w:history="1">
        <w:r w:rsidR="00E30820" w:rsidRPr="00BB0536">
          <w:rPr>
            <w:rStyle w:val="Hyperlink"/>
            <w:b w:val="0"/>
            <w:bCs w:val="0"/>
            <w:szCs w:val="20"/>
          </w:rPr>
          <w:t>https://www.industry.gov.au/publications/joint-statement-united-states-america-and-australia-cooperation-quantum-science-and-technology</w:t>
        </w:r>
      </w:hyperlink>
      <w:r w:rsidRPr="00BB0536">
        <w:rPr>
          <w:b w:val="0"/>
          <w:bCs w:val="0"/>
          <w:szCs w:val="20"/>
        </w:rPr>
        <w:t xml:space="preserve"> </w:t>
      </w:r>
    </w:p>
    <w:p w14:paraId="28497893" w14:textId="57A12A80" w:rsidR="00596223" w:rsidRPr="00BB0536" w:rsidRDefault="00596223" w:rsidP="00BB0536">
      <w:pPr>
        <w:pStyle w:val="Normalplusextrabefore"/>
        <w:spacing w:before="0"/>
        <w:rPr>
          <w:b w:val="0"/>
          <w:bCs w:val="0"/>
          <w:szCs w:val="20"/>
        </w:rPr>
      </w:pPr>
      <w:r w:rsidRPr="00BB0536">
        <w:rPr>
          <w:b w:val="0"/>
          <w:bCs w:val="0"/>
          <w:szCs w:val="20"/>
        </w:rPr>
        <w:t>Australian Research Council (ARC)</w:t>
      </w:r>
      <w:r w:rsidR="00E30820" w:rsidRPr="00BB0536">
        <w:rPr>
          <w:b w:val="0"/>
          <w:bCs w:val="0"/>
          <w:szCs w:val="20"/>
        </w:rPr>
        <w:t xml:space="preserve"> </w:t>
      </w:r>
      <w:r w:rsidR="00E30820" w:rsidRPr="00BB0536">
        <w:rPr>
          <w:b w:val="0"/>
          <w:bCs w:val="0"/>
          <w:szCs w:val="20"/>
        </w:rPr>
        <w:br/>
      </w:r>
      <w:hyperlink r:id="rId92" w:history="1">
        <w:r w:rsidR="00E30820" w:rsidRPr="00BB0536">
          <w:rPr>
            <w:rStyle w:val="Hyperlink"/>
            <w:b w:val="0"/>
            <w:bCs w:val="0"/>
            <w:szCs w:val="20"/>
          </w:rPr>
          <w:t>https://www.arc.gov.au/</w:t>
        </w:r>
      </w:hyperlink>
      <w:r w:rsidRPr="00BB0536">
        <w:rPr>
          <w:b w:val="0"/>
          <w:bCs w:val="0"/>
          <w:szCs w:val="20"/>
        </w:rPr>
        <w:t xml:space="preserve"> </w:t>
      </w:r>
    </w:p>
    <w:p w14:paraId="7B1B0667" w14:textId="5CE848D7" w:rsidR="0043720A" w:rsidRPr="00BB0536" w:rsidRDefault="00596223" w:rsidP="00BB0536">
      <w:pPr>
        <w:pStyle w:val="Normalplusextrabefore"/>
        <w:spacing w:before="0"/>
        <w:rPr>
          <w:b w:val="0"/>
          <w:bCs w:val="0"/>
          <w:szCs w:val="20"/>
        </w:rPr>
      </w:pPr>
      <w:r w:rsidRPr="00BB0536">
        <w:rPr>
          <w:b w:val="0"/>
          <w:bCs w:val="0"/>
          <w:szCs w:val="20"/>
        </w:rPr>
        <w:t>Office of Chief Scientist</w:t>
      </w:r>
      <w:r w:rsidR="00E30820" w:rsidRPr="00BB0536">
        <w:rPr>
          <w:b w:val="0"/>
          <w:bCs w:val="0"/>
          <w:szCs w:val="20"/>
        </w:rPr>
        <w:t xml:space="preserve"> </w:t>
      </w:r>
      <w:r w:rsidR="00E30820" w:rsidRPr="00BB0536">
        <w:rPr>
          <w:b w:val="0"/>
          <w:bCs w:val="0"/>
          <w:szCs w:val="20"/>
        </w:rPr>
        <w:br/>
      </w:r>
      <w:hyperlink r:id="rId93" w:history="1">
        <w:r w:rsidR="00E30820" w:rsidRPr="00BB0536">
          <w:rPr>
            <w:rStyle w:val="Hyperlink"/>
            <w:b w:val="0"/>
            <w:bCs w:val="0"/>
            <w:szCs w:val="20"/>
          </w:rPr>
          <w:t>https://www.chiefscientist.gov.au/</w:t>
        </w:r>
      </w:hyperlink>
    </w:p>
    <w:sectPr w:rsidR="0043720A" w:rsidRPr="00BB0536" w:rsidSect="00596223">
      <w:headerReference w:type="default" r:id="rId94"/>
      <w:type w:val="continuous"/>
      <w:pgSz w:w="11906" w:h="16838"/>
      <w:pgMar w:top="1276" w:right="1440" w:bottom="1440" w:left="1440" w:header="85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96EF" w14:textId="77777777" w:rsidR="00DB42D2" w:rsidRDefault="00DB42D2" w:rsidP="00B251DB">
      <w:pPr>
        <w:spacing w:after="0"/>
      </w:pPr>
      <w:r>
        <w:separator/>
      </w:r>
    </w:p>
  </w:endnote>
  <w:endnote w:type="continuationSeparator" w:id="0">
    <w:p w14:paraId="02B71097" w14:textId="77777777" w:rsidR="00DB42D2" w:rsidRDefault="00DB42D2"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Narrow">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38A3" w14:textId="6378E6A8" w:rsidR="0035140F" w:rsidRPr="00500EAD" w:rsidRDefault="00341398" w:rsidP="0035140F">
    <w:pPr>
      <w:pStyle w:val="Footer"/>
    </w:pPr>
    <w:r>
      <w:t>Round 1 – Stage 1 Feasibility</w:t>
    </w:r>
    <w:r w:rsidR="009760B3">
      <w:t xml:space="preserve"> </w:t>
    </w:r>
    <w:r w:rsidR="009760B3" w:rsidRPr="009760B3">
      <w:rPr>
        <w:color w:val="7A3972" w:themeColor="text2"/>
      </w:rPr>
      <w:t xml:space="preserve">| </w:t>
    </w:r>
    <w:r w:rsidR="009760B3" w:rsidRPr="009760B3">
      <w:t>Applicant Information Package</w:t>
    </w:r>
  </w:p>
  <w:p w14:paraId="487C9444" w14:textId="3CA2AFAB" w:rsidR="00D27B99" w:rsidRDefault="0035140F" w:rsidP="0035140F">
    <w:pPr>
      <w:pStyle w:val="Footer"/>
      <w:tabs>
        <w:tab w:val="clear" w:pos="4513"/>
      </w:tabs>
      <w:rPr>
        <w:noProof/>
      </w:rPr>
    </w:pPr>
    <w:r w:rsidRPr="00500EAD">
      <w:rPr>
        <w:b/>
        <w:bCs/>
        <w:color w:val="7A3972" w:themeColor="text2"/>
      </w:rPr>
      <w:t>|</w:t>
    </w:r>
    <w:r w:rsidRPr="0035140F">
      <w:rPr>
        <w:b/>
        <w:bCs/>
        <w:color w:val="391731" w:themeColor="accent1"/>
      </w:rPr>
      <w:t xml:space="preserve"> </w:t>
    </w:r>
    <w:r w:rsidR="00BA3FE6">
      <w:rPr>
        <w:b/>
        <w:bCs/>
        <w:color w:val="391731" w:themeColor="accent1"/>
      </w:rPr>
      <w:t>business</w:t>
    </w:r>
    <w:r w:rsidR="00BD0F8A" w:rsidRPr="0035140F">
      <w:rPr>
        <w:b/>
        <w:bCs/>
        <w:color w:val="391731" w:themeColor="accent1"/>
      </w:rPr>
      <w:t>.</w:t>
    </w:r>
    <w:r w:rsidR="00BD0F8A" w:rsidRPr="0035140F">
      <w:rPr>
        <w:color w:val="391731" w:themeColor="accent1"/>
      </w:rPr>
      <w:t>gov.au</w:t>
    </w:r>
    <w:r w:rsidR="00BA3FE6">
      <w:rPr>
        <w:color w:val="391731" w:themeColor="accent1"/>
      </w:rPr>
      <w:t>/</w:t>
    </w:r>
    <w:proofErr w:type="spellStart"/>
    <w:r w:rsidR="00BA3FE6" w:rsidRPr="00BA3FE6">
      <w:rPr>
        <w:color w:val="391731" w:themeColor="accent1"/>
      </w:rPr>
      <w:t>c</w:t>
    </w:r>
    <w:r w:rsidR="00BB0536">
      <w:rPr>
        <w:color w:val="391731" w:themeColor="accent1"/>
      </w:rPr>
      <w:t>tcp</w:t>
    </w:r>
    <w:proofErr w:type="spellEnd"/>
    <w:r w:rsidR="00BD0F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p w14:paraId="6E50C061" w14:textId="2FB88639" w:rsidR="00BD0F8A" w:rsidRPr="00960D98" w:rsidRDefault="00BD0F8A" w:rsidP="0035140F">
    <w:pPr>
      <w:pStyle w:val="Footer"/>
      <w:jc w:val="center"/>
      <w:rPr>
        <w:b/>
        <w:color w:val="CC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4454" w14:textId="2B4B785E" w:rsidR="004A7856" w:rsidRPr="004A7856" w:rsidRDefault="00500EAD" w:rsidP="004A7856">
    <w:pPr>
      <w:pStyle w:val="Footer"/>
      <w:jc w:val="center"/>
      <w:rPr>
        <w:b/>
        <w:color w:val="CC0000"/>
        <w:sz w:val="24"/>
        <w:szCs w:val="24"/>
      </w:rPr>
    </w:pPr>
    <w:r>
      <w:rPr>
        <w:b/>
        <w:noProof/>
        <w:color w:val="CC0000"/>
        <w:sz w:val="24"/>
        <w:szCs w:val="24"/>
      </w:rPr>
      <w:drawing>
        <wp:anchor distT="0" distB="0" distL="114300" distR="114300" simplePos="0" relativeHeight="251661312" behindDoc="1" locked="0" layoutInCell="1" allowOverlap="1" wp14:anchorId="74E78992" wp14:editId="1045A9F5">
          <wp:simplePos x="0" y="0"/>
          <wp:positionH relativeFrom="column">
            <wp:posOffset>3552826</wp:posOffset>
          </wp:positionH>
          <wp:positionV relativeFrom="paragraph">
            <wp:posOffset>-2454103</wp:posOffset>
          </wp:positionV>
          <wp:extent cx="3091180" cy="3169108"/>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02603" cy="318081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B379" w14:textId="144F0D29" w:rsidR="009760B3" w:rsidRDefault="00341398" w:rsidP="009760B3">
    <w:pPr>
      <w:pStyle w:val="Footer"/>
    </w:pPr>
    <w:r>
      <w:rPr>
        <w:color w:val="000000" w:themeColor="text1"/>
      </w:rPr>
      <w:t>Round 1 – Stage 1 Feasibility</w:t>
    </w:r>
    <w:r w:rsidR="009760B3">
      <w:t xml:space="preserve"> </w:t>
    </w:r>
    <w:r w:rsidR="009760B3" w:rsidRPr="009760B3">
      <w:rPr>
        <w:color w:val="7A3972" w:themeColor="text2"/>
      </w:rPr>
      <w:t>|</w:t>
    </w:r>
    <w:r w:rsidR="009760B3">
      <w:t xml:space="preserve"> </w:t>
    </w:r>
    <w:r w:rsidR="009760B3" w:rsidRPr="009760B3">
      <w:t>Applicant Information Package</w:t>
    </w:r>
  </w:p>
  <w:p w14:paraId="732BC377" w14:textId="5F160642" w:rsidR="00596223" w:rsidRPr="009760B3" w:rsidRDefault="009760B3" w:rsidP="009760B3">
    <w:pPr>
      <w:pStyle w:val="Footer"/>
      <w:tabs>
        <w:tab w:val="clear" w:pos="4513"/>
      </w:tabs>
      <w:rPr>
        <w:noProof/>
      </w:rPr>
    </w:pPr>
    <w:r w:rsidRPr="00500EAD">
      <w:rPr>
        <w:b/>
        <w:bCs/>
        <w:color w:val="7A3972" w:themeColor="text2"/>
      </w:rPr>
      <w:t>|</w:t>
    </w:r>
    <w:r w:rsidRPr="0035140F">
      <w:rPr>
        <w:b/>
        <w:bCs/>
        <w:color w:val="391731" w:themeColor="accent1"/>
      </w:rPr>
      <w:t xml:space="preserve"> </w:t>
    </w:r>
    <w:r w:rsidR="00341398">
      <w:rPr>
        <w:b/>
        <w:bCs/>
        <w:color w:val="391731" w:themeColor="accent1"/>
      </w:rPr>
      <w:t>business</w:t>
    </w:r>
    <w:r w:rsidRPr="0035140F">
      <w:rPr>
        <w:b/>
        <w:bCs/>
        <w:color w:val="391731" w:themeColor="accent1"/>
      </w:rPr>
      <w:t>.</w:t>
    </w:r>
    <w:r w:rsidRPr="0035140F">
      <w:rPr>
        <w:color w:val="391731" w:themeColor="accent1"/>
      </w:rPr>
      <w:t>gov.au</w:t>
    </w:r>
    <w:r w:rsidR="00341398">
      <w:rPr>
        <w:color w:val="391731" w:themeColor="accent1"/>
      </w:rPr>
      <w:t>/</w:t>
    </w:r>
    <w:proofErr w:type="spellStart"/>
    <w:r w:rsidR="00341398" w:rsidRPr="00BA3FE6">
      <w:rPr>
        <w:color w:val="391731" w:themeColor="accent1"/>
      </w:rPr>
      <w:t>c</w:t>
    </w:r>
    <w:r w:rsidR="00BB0536">
      <w:rPr>
        <w:color w:val="391731" w:themeColor="accent1"/>
      </w:rPr>
      <w:t>tcp</w:t>
    </w:r>
    <w:proofErr w:type="spellEnd"/>
    <w:r>
      <w:tab/>
    </w:r>
    <w:sdt>
      <w:sdtPr>
        <w:id w:val="-6353308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A6CF" w14:textId="77777777" w:rsidR="00DB42D2" w:rsidRDefault="00DB42D2" w:rsidP="00B251DB">
      <w:pPr>
        <w:spacing w:after="0"/>
      </w:pPr>
      <w:r>
        <w:separator/>
      </w:r>
    </w:p>
  </w:footnote>
  <w:footnote w:type="continuationSeparator" w:id="0">
    <w:p w14:paraId="456563D7" w14:textId="77777777" w:rsidR="00DB42D2" w:rsidRDefault="00DB42D2" w:rsidP="00B251DB">
      <w:pPr>
        <w:spacing w:after="0"/>
      </w:pPr>
      <w:r>
        <w:continuationSeparator/>
      </w:r>
    </w:p>
  </w:footnote>
  <w:footnote w:id="1">
    <w:p w14:paraId="2368A0B5" w14:textId="77777777" w:rsidR="001C5C12" w:rsidRPr="008F28BC" w:rsidRDefault="001C5C12" w:rsidP="001C5C12">
      <w:pPr>
        <w:pStyle w:val="FootnoteText"/>
        <w:rPr>
          <w:sz w:val="16"/>
          <w:szCs w:val="16"/>
        </w:rPr>
      </w:pPr>
      <w:r w:rsidRPr="008F28BC">
        <w:rPr>
          <w:rStyle w:val="FootnoteReference"/>
          <w:sz w:val="16"/>
          <w:szCs w:val="16"/>
        </w:rPr>
        <w:footnoteRef/>
      </w:r>
      <w:r w:rsidRPr="008F28BC">
        <w:rPr>
          <w:sz w:val="16"/>
          <w:szCs w:val="16"/>
        </w:rPr>
        <w:t xml:space="preserve"> </w:t>
      </w:r>
      <w:hyperlink r:id="rId1" w:history="1">
        <w:r w:rsidRPr="008F28BC">
          <w:rPr>
            <w:rStyle w:val="Hyperlink"/>
            <w:sz w:val="16"/>
            <w:szCs w:val="16"/>
          </w:rPr>
          <w:t>https://consult.dcceew.gov.au/electricity-and-energy-sector-plan-discussion-paper</w:t>
        </w:r>
      </w:hyperlink>
    </w:p>
  </w:footnote>
  <w:footnote w:id="2">
    <w:p w14:paraId="7FEA03DC" w14:textId="28678854" w:rsidR="001C5C12" w:rsidRPr="00EB3FA3" w:rsidRDefault="001C5C12" w:rsidP="001C5C12">
      <w:pPr>
        <w:pStyle w:val="FootnoteText"/>
        <w:rPr>
          <w:sz w:val="16"/>
          <w:szCs w:val="16"/>
        </w:rPr>
      </w:pPr>
      <w:r w:rsidRPr="008F28BC">
        <w:rPr>
          <w:rStyle w:val="FootnoteReference"/>
          <w:sz w:val="16"/>
          <w:szCs w:val="16"/>
        </w:rPr>
        <w:footnoteRef/>
      </w:r>
      <w:r w:rsidRPr="008F28BC">
        <w:rPr>
          <w:sz w:val="16"/>
          <w:szCs w:val="16"/>
        </w:rPr>
        <w:t xml:space="preserve"> </w:t>
      </w:r>
      <w:hyperlink r:id="rId2" w:anchor=":~:text=Australia%27s%20emissions%20trends&amp;text=Between%202023%20and%202035%2C%20emissions,82%25%20national%20renewable%20electricity%20target" w:history="1">
        <w:r w:rsidR="00EB3FA3" w:rsidRPr="00131618">
          <w:rPr>
            <w:rStyle w:val="Hyperlink"/>
            <w:sz w:val="16"/>
            <w:szCs w:val="16"/>
          </w:rPr>
          <w:t>https://www.dcceew.gov.au/climate-change/publications/australias-emissions-projections-2023#:~:text=Australia%27s%20emissions%20trends&amp;text=Between%202023%20and%202035%2C%20emissions,82%25%20national%20renewable%20electricity%20target</w:t>
        </w:r>
      </w:hyperlink>
    </w:p>
  </w:footnote>
  <w:footnote w:id="3">
    <w:p w14:paraId="4FA31365" w14:textId="1AA058A7" w:rsidR="001C5C12" w:rsidRPr="008F28BC" w:rsidRDefault="001C5C12" w:rsidP="001C5C12">
      <w:pPr>
        <w:pStyle w:val="FootnoteText"/>
        <w:rPr>
          <w:sz w:val="16"/>
          <w:szCs w:val="16"/>
        </w:rPr>
      </w:pPr>
      <w:r w:rsidRPr="008F28BC">
        <w:rPr>
          <w:rStyle w:val="FootnoteReference"/>
          <w:sz w:val="16"/>
          <w:szCs w:val="16"/>
        </w:rPr>
        <w:footnoteRef/>
      </w:r>
      <w:r w:rsidRPr="008F28BC">
        <w:rPr>
          <w:sz w:val="16"/>
          <w:szCs w:val="16"/>
        </w:rPr>
        <w:t xml:space="preserve"> </w:t>
      </w:r>
      <w:hyperlink r:id="rId3" w:history="1">
        <w:r w:rsidRPr="00EB3FA3">
          <w:rPr>
            <w:rStyle w:val="Hyperlink"/>
            <w:sz w:val="16"/>
            <w:szCs w:val="16"/>
          </w:rPr>
          <w:t>https://www.energynetworks.com.au/resources/reports/electricity-network-transformation-roadmap-final-report/</w:t>
        </w:r>
      </w:hyperlink>
    </w:p>
  </w:footnote>
  <w:footnote w:id="4">
    <w:p w14:paraId="314D1E2C" w14:textId="18249562" w:rsidR="00EB3FA3" w:rsidRPr="00EB3FA3" w:rsidRDefault="001C5C12" w:rsidP="001C5C12">
      <w:pPr>
        <w:pStyle w:val="FootnoteText"/>
        <w:rPr>
          <w:rStyle w:val="Hyperlink"/>
        </w:rPr>
      </w:pPr>
      <w:r w:rsidRPr="008F28BC">
        <w:rPr>
          <w:rStyle w:val="FootnoteReference"/>
          <w:sz w:val="16"/>
          <w:szCs w:val="16"/>
        </w:rPr>
        <w:footnoteRef/>
      </w:r>
      <w:r w:rsidRPr="008F28BC">
        <w:rPr>
          <w:sz w:val="16"/>
          <w:szCs w:val="16"/>
        </w:rPr>
        <w:t xml:space="preserve"> </w:t>
      </w:r>
      <w:hyperlink r:id="rId4" w:history="1">
        <w:r w:rsidRPr="00EB3FA3">
          <w:rPr>
            <w:rStyle w:val="Hyperlink"/>
            <w:sz w:val="16"/>
            <w:szCs w:val="16"/>
          </w:rPr>
          <w:t>https://budget.gov.au/content/factsheets/download/factsheet_clean_energy-20230510.pdf</w:t>
        </w:r>
      </w:hyperlink>
    </w:p>
  </w:footnote>
  <w:footnote w:id="5">
    <w:p w14:paraId="278B5823" w14:textId="208A788F" w:rsidR="00EB3FA3" w:rsidRPr="008F28BC" w:rsidRDefault="001C5C12" w:rsidP="001C5C12">
      <w:pPr>
        <w:pStyle w:val="FootnoteText"/>
        <w:rPr>
          <w:sz w:val="16"/>
          <w:szCs w:val="16"/>
        </w:rPr>
      </w:pPr>
      <w:r w:rsidRPr="008F28BC">
        <w:rPr>
          <w:rStyle w:val="FootnoteReference"/>
          <w:sz w:val="16"/>
          <w:szCs w:val="16"/>
        </w:rPr>
        <w:footnoteRef/>
      </w:r>
      <w:r w:rsidRPr="008F28BC">
        <w:rPr>
          <w:sz w:val="16"/>
          <w:szCs w:val="16"/>
        </w:rPr>
        <w:t xml:space="preserve"> </w:t>
      </w:r>
      <w:hyperlink r:id="rId5" w:anchor=":~:text=Critical%20infrastructure%20is%20interconnected&amp;text=This%20can%20affect%20our%20security,supply%20of%20food%20and%20groceries" w:history="1">
        <w:r w:rsidRPr="00EB3FA3">
          <w:rPr>
            <w:rStyle w:val="Hyperlink"/>
            <w:sz w:val="16"/>
            <w:szCs w:val="16"/>
          </w:rPr>
          <w:t>https://www.cisc.gov.au/legislation-regulation-and-compliance/soci-act-2018#:~:text=Critical%20infrastructure%20is%20interconnected&amp;text=This%20can%20affect%20our%20security,supply%20of%20food%20and%20groceries</w:t>
        </w:r>
      </w:hyperlink>
    </w:p>
  </w:footnote>
  <w:footnote w:id="6">
    <w:p w14:paraId="1934EDA1" w14:textId="4FB9E52C" w:rsidR="00E86BD4" w:rsidRPr="00BC44FC" w:rsidRDefault="00E86BD4" w:rsidP="00E86BD4">
      <w:pPr>
        <w:pStyle w:val="FootnoteText"/>
        <w:rPr>
          <w:rStyle w:val="Hyperlink"/>
        </w:rPr>
      </w:pPr>
      <w:r w:rsidRPr="008F28BC">
        <w:rPr>
          <w:rStyle w:val="FootnoteReference"/>
          <w:sz w:val="16"/>
          <w:szCs w:val="16"/>
        </w:rPr>
        <w:footnoteRef/>
      </w:r>
      <w:r w:rsidRPr="008F28BC">
        <w:rPr>
          <w:sz w:val="16"/>
          <w:szCs w:val="16"/>
        </w:rPr>
        <w:t xml:space="preserve"> </w:t>
      </w:r>
      <w:hyperlink r:id="rId6" w:history="1">
        <w:r w:rsidRPr="00BC44FC">
          <w:rPr>
            <w:rStyle w:val="Hyperlink"/>
            <w:sz w:val="16"/>
            <w:szCs w:val="16"/>
          </w:rPr>
          <w:t>https://www.aihw.gov.au/reports/diagnostic-services/pathology-imaging-and-other-diagnostic-services</w:t>
        </w:r>
      </w:hyperlink>
    </w:p>
  </w:footnote>
  <w:footnote w:id="7">
    <w:p w14:paraId="1E8CFC67" w14:textId="77777777" w:rsidR="00E86BD4" w:rsidRDefault="00E86BD4" w:rsidP="00E86BD4">
      <w:pPr>
        <w:pStyle w:val="FootnoteText"/>
      </w:pPr>
      <w:r w:rsidRPr="008F28BC">
        <w:rPr>
          <w:rStyle w:val="FootnoteReference"/>
          <w:sz w:val="16"/>
          <w:szCs w:val="16"/>
        </w:rPr>
        <w:footnoteRef/>
      </w:r>
      <w:r w:rsidRPr="008F28BC">
        <w:rPr>
          <w:sz w:val="16"/>
          <w:szCs w:val="16"/>
        </w:rPr>
        <w:t xml:space="preserve"> </w:t>
      </w:r>
      <w:hyperlink r:id="rId7" w:history="1">
        <w:r w:rsidRPr="008F28BC">
          <w:rPr>
            <w:rStyle w:val="Hyperlink"/>
            <w:sz w:val="16"/>
            <w:szCs w:val="16"/>
          </w:rPr>
          <w:t>Life expectancy gap - First Nations Closing the Gap</w:t>
        </w:r>
      </w:hyperlink>
    </w:p>
  </w:footnote>
  <w:footnote w:id="8">
    <w:p w14:paraId="21BBB6C3" w14:textId="77777777" w:rsidR="00E86BD4" w:rsidRPr="008F28BC" w:rsidRDefault="00E86BD4" w:rsidP="00E86BD4">
      <w:pPr>
        <w:pStyle w:val="FootnoteText"/>
        <w:rPr>
          <w:sz w:val="16"/>
          <w:szCs w:val="16"/>
        </w:rPr>
      </w:pPr>
      <w:r>
        <w:rPr>
          <w:rStyle w:val="FootnoteReference"/>
        </w:rPr>
        <w:footnoteRef/>
      </w:r>
      <w:hyperlink r:id="rId8" w:history="1">
        <w:r w:rsidRPr="00E20110">
          <w:rPr>
            <w:rStyle w:val="Hyperlink"/>
            <w:sz w:val="16"/>
            <w:szCs w:val="16"/>
          </w:rPr>
          <w:t>www.aph.gov.au/Parliamentary_Business/Committees/Senate/Community_Affairs/Diagnosticimaging/~/media/Committees/clac_ctte/Diagnosticimaging/Report/report.pdf</w:t>
        </w:r>
      </w:hyperlink>
    </w:p>
  </w:footnote>
  <w:footnote w:id="9">
    <w:p w14:paraId="395F2B49" w14:textId="77777777" w:rsidR="00E86BD4" w:rsidRDefault="00E86BD4" w:rsidP="00E86BD4">
      <w:pPr>
        <w:pStyle w:val="FootnoteText"/>
      </w:pPr>
      <w:r w:rsidRPr="008F28BC">
        <w:rPr>
          <w:rStyle w:val="FootnoteReference"/>
          <w:sz w:val="16"/>
          <w:szCs w:val="16"/>
        </w:rPr>
        <w:footnoteRef/>
      </w:r>
      <w:r w:rsidRPr="008F28BC">
        <w:rPr>
          <w:sz w:val="16"/>
          <w:szCs w:val="16"/>
        </w:rPr>
        <w:t xml:space="preserve"> </w:t>
      </w:r>
      <w:r w:rsidRPr="008F28BC">
        <w:rPr>
          <w:rFonts w:cs="Arial"/>
          <w:color w:val="222222"/>
          <w:sz w:val="16"/>
          <w:szCs w:val="16"/>
          <w:shd w:val="clear" w:color="auto" w:fill="FFFFFF"/>
        </w:rPr>
        <w:t>Brookes, M.J., Leggett, J., Rea, M., Hill, R.M., Holmes, N., Boto, E. and Bowtell, R., 2022. Magnetoencephalography with optically pumped magnetometers (OPM-MEG): the next generation of functional neuroimaging. </w:t>
      </w:r>
      <w:hyperlink r:id="rId9" w:history="1">
        <w:r w:rsidRPr="008F28BC">
          <w:rPr>
            <w:rStyle w:val="Hyperlink"/>
            <w:sz w:val="16"/>
            <w:szCs w:val="16"/>
          </w:rPr>
          <w:t>Trends in Neurosciences</w:t>
        </w:r>
      </w:hyperlink>
    </w:p>
  </w:footnote>
  <w:footnote w:id="10">
    <w:p w14:paraId="130C5E33" w14:textId="77777777" w:rsidR="00E86BD4" w:rsidRPr="008F28BC" w:rsidRDefault="00E86BD4" w:rsidP="00E86BD4">
      <w:pPr>
        <w:pStyle w:val="FootnoteText"/>
        <w:rPr>
          <w:sz w:val="16"/>
          <w:szCs w:val="16"/>
        </w:rPr>
      </w:pPr>
      <w:r w:rsidRPr="008F28BC">
        <w:rPr>
          <w:rStyle w:val="FootnoteReference"/>
          <w:sz w:val="16"/>
          <w:szCs w:val="16"/>
        </w:rPr>
        <w:footnoteRef/>
      </w:r>
      <w:r w:rsidRPr="008F28BC">
        <w:rPr>
          <w:sz w:val="16"/>
          <w:szCs w:val="16"/>
        </w:rPr>
        <w:t xml:space="preserve"> </w:t>
      </w:r>
      <w:hyperlink r:id="rId10" w:history="1">
        <w:r w:rsidRPr="008F28BC">
          <w:rPr>
            <w:rStyle w:val="Hyperlink"/>
            <w:sz w:val="16"/>
            <w:szCs w:val="16"/>
          </w:rPr>
          <w:t>https://nrc.canada.ca/en/research-development/research-collaboration/programs/funded-collaborative-rd-programs-initiatives</w:t>
        </w:r>
      </w:hyperlink>
      <w:r w:rsidRPr="008F28BC">
        <w:rPr>
          <w:sz w:val="16"/>
          <w:szCs w:val="16"/>
        </w:rPr>
        <w:t xml:space="preserve"> </w:t>
      </w:r>
    </w:p>
  </w:footnote>
  <w:footnote w:id="11">
    <w:p w14:paraId="1300A131" w14:textId="77777777" w:rsidR="00FB2B97" w:rsidRPr="008F28BC" w:rsidRDefault="00FB2B97" w:rsidP="00FB2B97">
      <w:pPr>
        <w:pStyle w:val="FootnoteText"/>
        <w:rPr>
          <w:sz w:val="16"/>
          <w:szCs w:val="16"/>
        </w:rPr>
      </w:pPr>
      <w:r w:rsidRPr="008F28BC">
        <w:rPr>
          <w:rStyle w:val="FootnoteReference"/>
          <w:sz w:val="16"/>
          <w:szCs w:val="16"/>
        </w:rPr>
        <w:footnoteRef/>
      </w:r>
      <w:r w:rsidRPr="008F28BC">
        <w:rPr>
          <w:sz w:val="16"/>
          <w:szCs w:val="16"/>
        </w:rPr>
        <w:t xml:space="preserve"> https://www.industry.gov.au/publications/list-critical-technologies-national-interest/advanced-information-and-communication-technologies</w:t>
      </w:r>
    </w:p>
  </w:footnote>
  <w:footnote w:id="12">
    <w:p w14:paraId="1A348009" w14:textId="77777777" w:rsidR="00FB2B97" w:rsidRDefault="00FB2B97" w:rsidP="00FB2B97">
      <w:pPr>
        <w:pStyle w:val="FootnoteText"/>
      </w:pPr>
      <w:r w:rsidRPr="008F28BC">
        <w:rPr>
          <w:rStyle w:val="FootnoteReference"/>
          <w:sz w:val="16"/>
          <w:szCs w:val="16"/>
        </w:rPr>
        <w:footnoteRef/>
      </w:r>
      <w:r w:rsidRPr="008F28BC">
        <w:rPr>
          <w:sz w:val="16"/>
          <w:szCs w:val="16"/>
        </w:rPr>
        <w:t xml:space="preserve"> https://www.industry.gov.au/publications/list-critical-technologies-national-interest/autonomous-systems-robotics-positioning-timing-and-sensing</w:t>
      </w:r>
    </w:p>
  </w:footnote>
  <w:footnote w:id="13">
    <w:p w14:paraId="2392E214" w14:textId="77777777" w:rsidR="00FB2B97" w:rsidRPr="008F28BC" w:rsidRDefault="00FB2B97" w:rsidP="00FB2B97">
      <w:pPr>
        <w:pStyle w:val="FootnoteText"/>
        <w:rPr>
          <w:sz w:val="16"/>
          <w:szCs w:val="16"/>
        </w:rPr>
      </w:pPr>
      <w:r w:rsidRPr="008F28BC">
        <w:rPr>
          <w:rStyle w:val="FootnoteReference"/>
          <w:sz w:val="16"/>
          <w:szCs w:val="16"/>
        </w:rPr>
        <w:footnoteRef/>
      </w:r>
      <w:r w:rsidRPr="008F28BC">
        <w:rPr>
          <w:sz w:val="16"/>
          <w:szCs w:val="16"/>
        </w:rPr>
        <w:t xml:space="preserve"> https://minerals.org.au/resources/mining-delivers-record-455-billion-in-export-revenue-in-fy23/</w:t>
      </w:r>
    </w:p>
  </w:footnote>
  <w:footnote w:id="14">
    <w:p w14:paraId="54F7D55B" w14:textId="77777777" w:rsidR="00FB2B97" w:rsidRPr="008F28BC" w:rsidRDefault="00FB2B97" w:rsidP="00FB2B97">
      <w:pPr>
        <w:pStyle w:val="FootnoteText"/>
        <w:rPr>
          <w:sz w:val="16"/>
          <w:szCs w:val="16"/>
        </w:rPr>
      </w:pPr>
      <w:r w:rsidRPr="008F28BC">
        <w:rPr>
          <w:rStyle w:val="FootnoteReference"/>
          <w:sz w:val="16"/>
          <w:szCs w:val="16"/>
        </w:rPr>
        <w:footnoteRef/>
      </w:r>
      <w:r w:rsidRPr="008F28BC">
        <w:rPr>
          <w:sz w:val="16"/>
          <w:szCs w:val="16"/>
        </w:rPr>
        <w:t xml:space="preserve"> https://www.industry.gov.au/publications/list-critical-technologies-national-interest/advanced-manufacturing-and-materials-technologies</w:t>
      </w:r>
    </w:p>
  </w:footnote>
  <w:footnote w:id="15">
    <w:p w14:paraId="45E2C4CF" w14:textId="77777777" w:rsidR="009871B5" w:rsidRPr="008F28BC" w:rsidRDefault="009871B5" w:rsidP="009871B5">
      <w:pPr>
        <w:pStyle w:val="FootnoteText"/>
        <w:rPr>
          <w:sz w:val="16"/>
          <w:szCs w:val="16"/>
        </w:rPr>
      </w:pPr>
      <w:r w:rsidRPr="008F28BC">
        <w:rPr>
          <w:rStyle w:val="FootnoteReference"/>
          <w:sz w:val="16"/>
          <w:szCs w:val="16"/>
        </w:rPr>
        <w:footnoteRef/>
      </w:r>
      <w:r w:rsidRPr="008F28BC">
        <w:rPr>
          <w:sz w:val="16"/>
          <w:szCs w:val="16"/>
        </w:rPr>
        <w:t xml:space="preserve">   https://www.industry.gov.au/publications/critical-minerals-strategy-2023-2030/our-focus-areas/3-first-nations-engagement-and-benefit-sharing</w:t>
      </w:r>
    </w:p>
  </w:footnote>
  <w:footnote w:id="16">
    <w:p w14:paraId="7FF0257A" w14:textId="77777777" w:rsidR="00FB2B97" w:rsidRPr="008F28BC" w:rsidRDefault="00FB2B97" w:rsidP="00FB2B97">
      <w:pPr>
        <w:pStyle w:val="FootnoteText"/>
        <w:rPr>
          <w:sz w:val="16"/>
          <w:szCs w:val="16"/>
        </w:rPr>
      </w:pPr>
      <w:r w:rsidRPr="008F28BC">
        <w:rPr>
          <w:rStyle w:val="FootnoteReference"/>
          <w:sz w:val="16"/>
          <w:szCs w:val="16"/>
        </w:rPr>
        <w:footnoteRef/>
      </w:r>
      <w:r w:rsidRPr="008F28BC">
        <w:rPr>
          <w:sz w:val="16"/>
          <w:szCs w:val="16"/>
        </w:rPr>
        <w:t xml:space="preserve"> </w:t>
      </w:r>
      <w:hyperlink r:id="rId11" w:history="1">
        <w:r w:rsidRPr="008F28BC">
          <w:rPr>
            <w:rStyle w:val="Hyperlink"/>
            <w:color w:val="auto"/>
            <w:sz w:val="16"/>
            <w:szCs w:val="16"/>
            <w:u w:val="none"/>
          </w:rPr>
          <w:t>https://www.csiro.au/en/work-with-us/industries/mining-resources/resourceful-magazine/issue-28/the-exploration-toolkit</w:t>
        </w:r>
      </w:hyperlink>
      <w:r w:rsidRPr="008F28BC">
        <w:rPr>
          <w:sz w:val="16"/>
          <w:szCs w:val="16"/>
        </w:rPr>
        <w:t xml:space="preserve"> </w:t>
      </w:r>
    </w:p>
  </w:footnote>
  <w:footnote w:id="17">
    <w:p w14:paraId="3ADAB2A1" w14:textId="77777777" w:rsidR="00FB2B97" w:rsidRPr="008F28BC" w:rsidRDefault="00FB2B97" w:rsidP="00FB2B97">
      <w:pPr>
        <w:pStyle w:val="FootnoteText"/>
        <w:rPr>
          <w:sz w:val="16"/>
          <w:szCs w:val="16"/>
        </w:rPr>
      </w:pPr>
      <w:r w:rsidRPr="008F28BC">
        <w:rPr>
          <w:rStyle w:val="FootnoteReference"/>
          <w:sz w:val="16"/>
          <w:szCs w:val="16"/>
        </w:rPr>
        <w:footnoteRef/>
      </w:r>
      <w:r w:rsidRPr="008F28BC">
        <w:rPr>
          <w:sz w:val="16"/>
          <w:szCs w:val="16"/>
        </w:rPr>
        <w:t xml:space="preserve"> </w:t>
      </w:r>
      <w:hyperlink r:id="rId12" w:history="1">
        <w:r w:rsidRPr="008F28BC">
          <w:rPr>
            <w:rStyle w:val="Hyperlink"/>
            <w:color w:val="auto"/>
            <w:sz w:val="16"/>
            <w:szCs w:val="16"/>
            <w:u w:val="none"/>
          </w:rPr>
          <w:t>https://www.csiro.au/en/work-with-us/industries/mining-resources/Resourceful-magazine/Issue-29-May/Quantum-computing-and-mining</w:t>
        </w:r>
      </w:hyperlink>
    </w:p>
  </w:footnote>
  <w:footnote w:id="18">
    <w:p w14:paraId="7303A752" w14:textId="77777777" w:rsidR="00FB2B97" w:rsidRDefault="00FB2B97" w:rsidP="00FB2B97">
      <w:pPr>
        <w:pStyle w:val="FootnoteText"/>
      </w:pPr>
      <w:r w:rsidRPr="008F28BC">
        <w:rPr>
          <w:rStyle w:val="FootnoteReference"/>
          <w:sz w:val="16"/>
          <w:szCs w:val="16"/>
        </w:rPr>
        <w:footnoteRef/>
      </w:r>
      <w:r w:rsidRPr="008F28BC">
        <w:rPr>
          <w:sz w:val="16"/>
          <w:szCs w:val="16"/>
        </w:rPr>
        <w:t xml:space="preserve"> </w:t>
      </w:r>
      <w:hyperlink r:id="rId13" w:anchor=":~:text=The%20higher%20capabilities%20in%20optimization,resources%2C%20redefining%20supply%20chain%20efficiency" w:history="1">
        <w:r w:rsidRPr="008F28BC">
          <w:rPr>
            <w:rStyle w:val="Hyperlink"/>
            <w:color w:val="auto"/>
            <w:sz w:val="16"/>
            <w:szCs w:val="16"/>
            <w:u w:val="none"/>
          </w:rPr>
          <w:t>https://spectra.mhi.com/how-quantum-technology-could-change-heavy-industry#:~:text=The%20higher%20capabilities%20in%20optimization,resources%2C%20redefining%20supply%20chain%20efficiency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073F" w14:textId="7112A515" w:rsidR="003A0E7F" w:rsidRPr="00960D98" w:rsidRDefault="003A0E7F" w:rsidP="00960D98">
    <w:pPr>
      <w:pStyle w:val="Footer"/>
      <w:jc w:val="center"/>
      <w:rPr>
        <w:b/>
        <w:color w:val="CC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29C1" w14:textId="399194FA" w:rsidR="009830D1" w:rsidRDefault="00BE1F20">
    <w:pPr>
      <w:pStyle w:val="Header"/>
    </w:pPr>
    <w:r>
      <w:rPr>
        <w:noProof/>
      </w:rPr>
      <w:drawing>
        <wp:anchor distT="0" distB="0" distL="114300" distR="114300" simplePos="0" relativeHeight="251662336" behindDoc="1" locked="0" layoutInCell="1" allowOverlap="1" wp14:anchorId="210D1CAE" wp14:editId="4EF65583">
          <wp:simplePos x="0" y="0"/>
          <wp:positionH relativeFrom="column">
            <wp:posOffset>-904424</wp:posOffset>
          </wp:positionH>
          <wp:positionV relativeFrom="paragraph">
            <wp:posOffset>-534670</wp:posOffset>
          </wp:positionV>
          <wp:extent cx="7560000" cy="10683912"/>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83912"/>
                  </a:xfrm>
                  <a:prstGeom prst="rect">
                    <a:avLst/>
                  </a:prstGeom>
                </pic:spPr>
              </pic:pic>
            </a:graphicData>
          </a:graphic>
          <wp14:sizeRelH relativeFrom="page">
            <wp14:pctWidth>0</wp14:pctWidth>
          </wp14:sizeRelH>
          <wp14:sizeRelV relativeFrom="page">
            <wp14:pctHeight>0</wp14:pctHeight>
          </wp14:sizeRelV>
        </wp:anchor>
      </w:drawing>
    </w:r>
    <w:r w:rsidR="009830D1" w:rsidRPr="009830D1">
      <w:rPr>
        <w:noProof/>
      </w:rPr>
      <mc:AlternateContent>
        <mc:Choice Requires="wps">
          <w:drawing>
            <wp:anchor distT="0" distB="0" distL="114300" distR="114300" simplePos="0" relativeHeight="251659264" behindDoc="0" locked="0" layoutInCell="1" allowOverlap="1" wp14:anchorId="67592D8B" wp14:editId="7B3A3732">
              <wp:simplePos x="0" y="0"/>
              <wp:positionH relativeFrom="column">
                <wp:posOffset>-904875</wp:posOffset>
              </wp:positionH>
              <wp:positionV relativeFrom="paragraph">
                <wp:posOffset>-530860</wp:posOffset>
              </wp:positionV>
              <wp:extent cx="1962150" cy="283208"/>
              <wp:effectExtent l="0" t="0" r="0" b="317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283208"/>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EE55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353347C" id="Rectangle 12" o:spid="_x0000_s1026" alt="&quot;&quot;" style="position:absolute;margin-left:-71.25pt;margin-top:-41.8pt;width:154.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" path="m,l2332168,r-65527,196581l,336570,,xe" fillcolor="#e55" stroked="f" strokeweight="1pt">
              <v:stroke joinstyle="miter"/>
              <v:path arrowok="t" o:connecttype="custom" o:connectlocs="0,0;1962150,0;1907019,165414;0,283208;0,0"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4113" w14:textId="5B571184" w:rsidR="1B1F4A34" w:rsidRDefault="1B1F4A34" w:rsidP="00D97C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6401" w14:textId="2167D01A" w:rsidR="1B1F4A34" w:rsidRDefault="1B1F4A34" w:rsidP="00C02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64D0D"/>
    <w:multiLevelType w:val="hybridMultilevel"/>
    <w:tmpl w:val="83EEA95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0D8B458E"/>
    <w:multiLevelType w:val="hybridMultilevel"/>
    <w:tmpl w:val="4D8C6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132C8"/>
    <w:multiLevelType w:val="hybridMultilevel"/>
    <w:tmpl w:val="B454A4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1A14BD"/>
    <w:multiLevelType w:val="hybridMultilevel"/>
    <w:tmpl w:val="E674B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1C327D"/>
    <w:multiLevelType w:val="hybridMultilevel"/>
    <w:tmpl w:val="5B2CF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DC3D1D"/>
    <w:multiLevelType w:val="hybridMultilevel"/>
    <w:tmpl w:val="69A69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1E5C4F"/>
    <w:multiLevelType w:val="hybridMultilevel"/>
    <w:tmpl w:val="098C9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0C5BE4"/>
    <w:multiLevelType w:val="hybridMultilevel"/>
    <w:tmpl w:val="EA16F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06782B"/>
    <w:multiLevelType w:val="hybridMultilevel"/>
    <w:tmpl w:val="F0127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CF43E8"/>
    <w:multiLevelType w:val="hybridMultilevel"/>
    <w:tmpl w:val="7B504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B9565E"/>
    <w:multiLevelType w:val="hybridMultilevel"/>
    <w:tmpl w:val="48F43AF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3545666E"/>
    <w:multiLevelType w:val="hybridMultilevel"/>
    <w:tmpl w:val="9F064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5F37229"/>
    <w:multiLevelType w:val="hybridMultilevel"/>
    <w:tmpl w:val="99A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E81A43"/>
    <w:multiLevelType w:val="hybridMultilevel"/>
    <w:tmpl w:val="6FBAD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C40EBE"/>
    <w:multiLevelType w:val="hybridMultilevel"/>
    <w:tmpl w:val="22B00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B10F49"/>
    <w:multiLevelType w:val="hybridMultilevel"/>
    <w:tmpl w:val="457E4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580C23"/>
    <w:multiLevelType w:val="hybridMultilevel"/>
    <w:tmpl w:val="81D2D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5D1010"/>
    <w:multiLevelType w:val="hybridMultilevel"/>
    <w:tmpl w:val="BFE0A7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28C64B3"/>
    <w:multiLevelType w:val="hybridMultilevel"/>
    <w:tmpl w:val="C846A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212F6C"/>
    <w:multiLevelType w:val="hybridMultilevel"/>
    <w:tmpl w:val="E8082B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E6C7D6C"/>
    <w:multiLevelType w:val="hybridMultilevel"/>
    <w:tmpl w:val="CECC0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7358D4"/>
    <w:multiLevelType w:val="hybridMultilevel"/>
    <w:tmpl w:val="D004A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EE5D01"/>
    <w:multiLevelType w:val="hybridMultilevel"/>
    <w:tmpl w:val="4406F2D2"/>
    <w:lvl w:ilvl="0" w:tplc="0B840864">
      <w:start w:val="1"/>
      <w:numFmt w:val="bullet"/>
      <w:lvlText w:val=""/>
      <w:lvlJc w:val="left"/>
      <w:pPr>
        <w:ind w:left="200" w:hanging="180"/>
      </w:pPr>
      <w:rPr>
        <w:rFonts w:ascii="Wingdings" w:hAnsi="Wingdings" w:hint="default"/>
        <w:color w:val="231F20"/>
        <w:w w:val="100"/>
        <w:sz w:val="17"/>
        <w:szCs w:val="17"/>
      </w:rPr>
    </w:lvl>
    <w:lvl w:ilvl="1" w:tplc="721E5CCE">
      <w:start w:val="1"/>
      <w:numFmt w:val="bullet"/>
      <w:lvlText w:val="•"/>
      <w:lvlJc w:val="left"/>
      <w:pPr>
        <w:ind w:left="668" w:hanging="180"/>
      </w:pPr>
      <w:rPr>
        <w:rFonts w:hint="default"/>
      </w:rPr>
    </w:lvl>
    <w:lvl w:ilvl="2" w:tplc="B71AF054">
      <w:start w:val="1"/>
      <w:numFmt w:val="bullet"/>
      <w:lvlText w:val="•"/>
      <w:lvlJc w:val="left"/>
      <w:pPr>
        <w:ind w:left="1137" w:hanging="180"/>
      </w:pPr>
      <w:rPr>
        <w:rFonts w:hint="default"/>
      </w:rPr>
    </w:lvl>
    <w:lvl w:ilvl="3" w:tplc="710AFAC8">
      <w:start w:val="1"/>
      <w:numFmt w:val="bullet"/>
      <w:lvlText w:val="•"/>
      <w:lvlJc w:val="left"/>
      <w:pPr>
        <w:ind w:left="1605" w:hanging="180"/>
      </w:pPr>
      <w:rPr>
        <w:rFonts w:hint="default"/>
      </w:rPr>
    </w:lvl>
    <w:lvl w:ilvl="4" w:tplc="79344B5E">
      <w:start w:val="1"/>
      <w:numFmt w:val="bullet"/>
      <w:lvlText w:val="•"/>
      <w:lvlJc w:val="left"/>
      <w:pPr>
        <w:ind w:left="2074" w:hanging="180"/>
      </w:pPr>
      <w:rPr>
        <w:rFonts w:hint="default"/>
      </w:rPr>
    </w:lvl>
    <w:lvl w:ilvl="5" w:tplc="E3524024">
      <w:start w:val="1"/>
      <w:numFmt w:val="bullet"/>
      <w:lvlText w:val="•"/>
      <w:lvlJc w:val="left"/>
      <w:pPr>
        <w:ind w:left="2542" w:hanging="180"/>
      </w:pPr>
      <w:rPr>
        <w:rFonts w:hint="default"/>
      </w:rPr>
    </w:lvl>
    <w:lvl w:ilvl="6" w:tplc="FD4C0254">
      <w:start w:val="1"/>
      <w:numFmt w:val="bullet"/>
      <w:lvlText w:val="•"/>
      <w:lvlJc w:val="left"/>
      <w:pPr>
        <w:ind w:left="3011" w:hanging="180"/>
      </w:pPr>
      <w:rPr>
        <w:rFonts w:hint="default"/>
      </w:rPr>
    </w:lvl>
    <w:lvl w:ilvl="7" w:tplc="B260AC12">
      <w:start w:val="1"/>
      <w:numFmt w:val="bullet"/>
      <w:lvlText w:val="•"/>
      <w:lvlJc w:val="left"/>
      <w:pPr>
        <w:ind w:left="3479" w:hanging="180"/>
      </w:pPr>
      <w:rPr>
        <w:rFonts w:hint="default"/>
      </w:rPr>
    </w:lvl>
    <w:lvl w:ilvl="8" w:tplc="AD6E0272">
      <w:start w:val="1"/>
      <w:numFmt w:val="bullet"/>
      <w:lvlText w:val="•"/>
      <w:lvlJc w:val="left"/>
      <w:pPr>
        <w:ind w:left="3948" w:hanging="180"/>
      </w:pPr>
      <w:rPr>
        <w:rFonts w:hint="default"/>
      </w:rPr>
    </w:lvl>
  </w:abstractNum>
  <w:abstractNum w:abstractNumId="34" w15:restartNumberingAfterBreak="0">
    <w:nsid w:val="72C07579"/>
    <w:multiLevelType w:val="hybridMultilevel"/>
    <w:tmpl w:val="F8CEB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2605387">
    <w:abstractNumId w:val="25"/>
  </w:num>
  <w:num w:numId="2" w16cid:durableId="648444589">
    <w:abstractNumId w:val="29"/>
  </w:num>
  <w:num w:numId="3" w16cid:durableId="1474374502">
    <w:abstractNumId w:val="2"/>
  </w:num>
  <w:num w:numId="4" w16cid:durableId="660547498">
    <w:abstractNumId w:val="1"/>
  </w:num>
  <w:num w:numId="5" w16cid:durableId="1405948882">
    <w:abstractNumId w:val="0"/>
  </w:num>
  <w:num w:numId="6" w16cid:durableId="1770931210">
    <w:abstractNumId w:val="3"/>
  </w:num>
  <w:num w:numId="7" w16cid:durableId="1514956900">
    <w:abstractNumId w:val="9"/>
  </w:num>
  <w:num w:numId="8" w16cid:durableId="1928151220">
    <w:abstractNumId w:val="26"/>
  </w:num>
  <w:num w:numId="9" w16cid:durableId="1919442051">
    <w:abstractNumId w:val="23"/>
  </w:num>
  <w:num w:numId="10" w16cid:durableId="563764016">
    <w:abstractNumId w:val="20"/>
  </w:num>
  <w:num w:numId="11" w16cid:durableId="377169740">
    <w:abstractNumId w:val="18"/>
  </w:num>
  <w:num w:numId="12" w16cid:durableId="1207840999">
    <w:abstractNumId w:val="11"/>
  </w:num>
  <w:num w:numId="13" w16cid:durableId="1679381629">
    <w:abstractNumId w:val="33"/>
  </w:num>
  <w:num w:numId="14" w16cid:durableId="2084597930">
    <w:abstractNumId w:val="30"/>
  </w:num>
  <w:num w:numId="15" w16cid:durableId="1696344478">
    <w:abstractNumId w:val="6"/>
  </w:num>
  <w:num w:numId="16" w16cid:durableId="1993632143">
    <w:abstractNumId w:val="27"/>
  </w:num>
  <w:num w:numId="17" w16cid:durableId="1492066898">
    <w:abstractNumId w:val="7"/>
  </w:num>
  <w:num w:numId="18" w16cid:durableId="1695233273">
    <w:abstractNumId w:val="25"/>
  </w:num>
  <w:num w:numId="19" w16cid:durableId="2124303515">
    <w:abstractNumId w:val="32"/>
  </w:num>
  <w:num w:numId="20" w16cid:durableId="694573456">
    <w:abstractNumId w:val="13"/>
  </w:num>
  <w:num w:numId="21" w16cid:durableId="873466420">
    <w:abstractNumId w:val="17"/>
  </w:num>
  <w:num w:numId="22" w16cid:durableId="811559245">
    <w:abstractNumId w:val="24"/>
  </w:num>
  <w:num w:numId="23" w16cid:durableId="603729703">
    <w:abstractNumId w:val="14"/>
  </w:num>
  <w:num w:numId="24" w16cid:durableId="1596136199">
    <w:abstractNumId w:val="16"/>
  </w:num>
  <w:num w:numId="25" w16cid:durableId="126972509">
    <w:abstractNumId w:val="8"/>
  </w:num>
  <w:num w:numId="26" w16cid:durableId="613708717">
    <w:abstractNumId w:val="34"/>
  </w:num>
  <w:num w:numId="27" w16cid:durableId="2028409374">
    <w:abstractNumId w:val="28"/>
  </w:num>
  <w:num w:numId="28" w16cid:durableId="718750051">
    <w:abstractNumId w:val="4"/>
  </w:num>
  <w:num w:numId="29" w16cid:durableId="1179270432">
    <w:abstractNumId w:val="5"/>
  </w:num>
  <w:num w:numId="30" w16cid:durableId="1824392537">
    <w:abstractNumId w:val="22"/>
  </w:num>
  <w:num w:numId="31" w16cid:durableId="1440949831">
    <w:abstractNumId w:val="12"/>
  </w:num>
  <w:num w:numId="32" w16cid:durableId="1870753604">
    <w:abstractNumId w:val="31"/>
  </w:num>
  <w:num w:numId="33" w16cid:durableId="1292830330">
    <w:abstractNumId w:val="15"/>
  </w:num>
  <w:num w:numId="34" w16cid:durableId="691152530">
    <w:abstractNumId w:val="10"/>
  </w:num>
  <w:num w:numId="35" w16cid:durableId="554128200">
    <w:abstractNumId w:val="21"/>
  </w:num>
  <w:num w:numId="36" w16cid:durableId="124749796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9E"/>
    <w:rsid w:val="00003766"/>
    <w:rsid w:val="00003C81"/>
    <w:rsid w:val="00017287"/>
    <w:rsid w:val="00032995"/>
    <w:rsid w:val="00034867"/>
    <w:rsid w:val="0003492C"/>
    <w:rsid w:val="00042A95"/>
    <w:rsid w:val="000439DE"/>
    <w:rsid w:val="000552B3"/>
    <w:rsid w:val="000575FB"/>
    <w:rsid w:val="0007067B"/>
    <w:rsid w:val="00071862"/>
    <w:rsid w:val="0008167B"/>
    <w:rsid w:val="00081D07"/>
    <w:rsid w:val="00090DDB"/>
    <w:rsid w:val="000A75CB"/>
    <w:rsid w:val="000B24FC"/>
    <w:rsid w:val="000B6C60"/>
    <w:rsid w:val="000C3494"/>
    <w:rsid w:val="000E0F53"/>
    <w:rsid w:val="000E599A"/>
    <w:rsid w:val="000E5C60"/>
    <w:rsid w:val="000F2564"/>
    <w:rsid w:val="000F50CE"/>
    <w:rsid w:val="00100DE3"/>
    <w:rsid w:val="00106D66"/>
    <w:rsid w:val="001108B7"/>
    <w:rsid w:val="00134177"/>
    <w:rsid w:val="00137605"/>
    <w:rsid w:val="00153C15"/>
    <w:rsid w:val="001549C0"/>
    <w:rsid w:val="00171757"/>
    <w:rsid w:val="00174108"/>
    <w:rsid w:val="0018753C"/>
    <w:rsid w:val="001A38CC"/>
    <w:rsid w:val="001B314C"/>
    <w:rsid w:val="001C07B6"/>
    <w:rsid w:val="001C5C12"/>
    <w:rsid w:val="001D216A"/>
    <w:rsid w:val="001D2E82"/>
    <w:rsid w:val="001D51DA"/>
    <w:rsid w:val="001E0C9F"/>
    <w:rsid w:val="001F5AB1"/>
    <w:rsid w:val="00205DF3"/>
    <w:rsid w:val="00215440"/>
    <w:rsid w:val="0022083E"/>
    <w:rsid w:val="00222D0B"/>
    <w:rsid w:val="00241D3D"/>
    <w:rsid w:val="002442E1"/>
    <w:rsid w:val="00246116"/>
    <w:rsid w:val="00247D11"/>
    <w:rsid w:val="002518D4"/>
    <w:rsid w:val="00254DA8"/>
    <w:rsid w:val="00263BAE"/>
    <w:rsid w:val="00266F7C"/>
    <w:rsid w:val="00272A9E"/>
    <w:rsid w:val="00272B04"/>
    <w:rsid w:val="00274C94"/>
    <w:rsid w:val="00282ED3"/>
    <w:rsid w:val="00286EE4"/>
    <w:rsid w:val="002A101F"/>
    <w:rsid w:val="002B3A3A"/>
    <w:rsid w:val="002B5C69"/>
    <w:rsid w:val="002D230B"/>
    <w:rsid w:val="002E1E65"/>
    <w:rsid w:val="002F60C0"/>
    <w:rsid w:val="0031048E"/>
    <w:rsid w:val="00315846"/>
    <w:rsid w:val="0031654A"/>
    <w:rsid w:val="00330C0B"/>
    <w:rsid w:val="00341398"/>
    <w:rsid w:val="0035140F"/>
    <w:rsid w:val="0036057F"/>
    <w:rsid w:val="003606DC"/>
    <w:rsid w:val="00364B37"/>
    <w:rsid w:val="00393313"/>
    <w:rsid w:val="00393784"/>
    <w:rsid w:val="003A0E7F"/>
    <w:rsid w:val="003B6FE0"/>
    <w:rsid w:val="003C44E5"/>
    <w:rsid w:val="003D38ED"/>
    <w:rsid w:val="003D747D"/>
    <w:rsid w:val="003E2BE9"/>
    <w:rsid w:val="0040019E"/>
    <w:rsid w:val="00406032"/>
    <w:rsid w:val="00423B2E"/>
    <w:rsid w:val="00423D13"/>
    <w:rsid w:val="00433B86"/>
    <w:rsid w:val="0043720A"/>
    <w:rsid w:val="004632E9"/>
    <w:rsid w:val="0046678C"/>
    <w:rsid w:val="00491C4B"/>
    <w:rsid w:val="004A7856"/>
    <w:rsid w:val="004B4254"/>
    <w:rsid w:val="004D3B0F"/>
    <w:rsid w:val="004E23A9"/>
    <w:rsid w:val="004E5181"/>
    <w:rsid w:val="004E75D2"/>
    <w:rsid w:val="004F6147"/>
    <w:rsid w:val="00500EAD"/>
    <w:rsid w:val="00512647"/>
    <w:rsid w:val="00512945"/>
    <w:rsid w:val="00516B0E"/>
    <w:rsid w:val="00527381"/>
    <w:rsid w:val="005419C2"/>
    <w:rsid w:val="00562949"/>
    <w:rsid w:val="005629DC"/>
    <w:rsid w:val="00563FE8"/>
    <w:rsid w:val="005706C5"/>
    <w:rsid w:val="005706FD"/>
    <w:rsid w:val="005712BA"/>
    <w:rsid w:val="00572521"/>
    <w:rsid w:val="0057341C"/>
    <w:rsid w:val="005777BC"/>
    <w:rsid w:val="00584B74"/>
    <w:rsid w:val="00584EF8"/>
    <w:rsid w:val="00594BB2"/>
    <w:rsid w:val="00596223"/>
    <w:rsid w:val="005A1B5C"/>
    <w:rsid w:val="005A5A37"/>
    <w:rsid w:val="005C111D"/>
    <w:rsid w:val="005D27F7"/>
    <w:rsid w:val="005D3B5C"/>
    <w:rsid w:val="005E0386"/>
    <w:rsid w:val="005E58CC"/>
    <w:rsid w:val="005E5F5F"/>
    <w:rsid w:val="00603DDF"/>
    <w:rsid w:val="00607188"/>
    <w:rsid w:val="00612AD0"/>
    <w:rsid w:val="00614B38"/>
    <w:rsid w:val="00623171"/>
    <w:rsid w:val="00626EE6"/>
    <w:rsid w:val="006337C7"/>
    <w:rsid w:val="00663E1A"/>
    <w:rsid w:val="0066416C"/>
    <w:rsid w:val="00671D1D"/>
    <w:rsid w:val="00671FC8"/>
    <w:rsid w:val="00674208"/>
    <w:rsid w:val="0068286F"/>
    <w:rsid w:val="00695B12"/>
    <w:rsid w:val="00697567"/>
    <w:rsid w:val="006A6FF5"/>
    <w:rsid w:val="006C4C9C"/>
    <w:rsid w:val="006C78E1"/>
    <w:rsid w:val="006C7D25"/>
    <w:rsid w:val="006D2221"/>
    <w:rsid w:val="006D53C4"/>
    <w:rsid w:val="006E1636"/>
    <w:rsid w:val="006E1E6A"/>
    <w:rsid w:val="006E4001"/>
    <w:rsid w:val="006F58A5"/>
    <w:rsid w:val="00703734"/>
    <w:rsid w:val="00711349"/>
    <w:rsid w:val="00723C5D"/>
    <w:rsid w:val="0073362E"/>
    <w:rsid w:val="00747100"/>
    <w:rsid w:val="00751C69"/>
    <w:rsid w:val="00781C9A"/>
    <w:rsid w:val="007833EE"/>
    <w:rsid w:val="0078720E"/>
    <w:rsid w:val="007947C0"/>
    <w:rsid w:val="007B553F"/>
    <w:rsid w:val="00806473"/>
    <w:rsid w:val="008113E9"/>
    <w:rsid w:val="00826293"/>
    <w:rsid w:val="00840CAD"/>
    <w:rsid w:val="008527AF"/>
    <w:rsid w:val="00853A7A"/>
    <w:rsid w:val="008554D9"/>
    <w:rsid w:val="00864A08"/>
    <w:rsid w:val="008653E9"/>
    <w:rsid w:val="00872DFF"/>
    <w:rsid w:val="00892B6E"/>
    <w:rsid w:val="008A321F"/>
    <w:rsid w:val="008A3B59"/>
    <w:rsid w:val="008A57B0"/>
    <w:rsid w:val="008A5808"/>
    <w:rsid w:val="008B7B1E"/>
    <w:rsid w:val="008C1BC5"/>
    <w:rsid w:val="008C34D3"/>
    <w:rsid w:val="008C3B21"/>
    <w:rsid w:val="008E3C31"/>
    <w:rsid w:val="008E5E4B"/>
    <w:rsid w:val="009059E9"/>
    <w:rsid w:val="0091556D"/>
    <w:rsid w:val="00917329"/>
    <w:rsid w:val="0092722E"/>
    <w:rsid w:val="009327DE"/>
    <w:rsid w:val="00950847"/>
    <w:rsid w:val="00960D98"/>
    <w:rsid w:val="00974DE6"/>
    <w:rsid w:val="009760B3"/>
    <w:rsid w:val="009830D1"/>
    <w:rsid w:val="00984398"/>
    <w:rsid w:val="0098695D"/>
    <w:rsid w:val="009871B5"/>
    <w:rsid w:val="009A549D"/>
    <w:rsid w:val="009A64AF"/>
    <w:rsid w:val="009B0F69"/>
    <w:rsid w:val="009B2E2C"/>
    <w:rsid w:val="009B4687"/>
    <w:rsid w:val="009D15E1"/>
    <w:rsid w:val="009D71DA"/>
    <w:rsid w:val="009F00D2"/>
    <w:rsid w:val="00A10652"/>
    <w:rsid w:val="00A52F3D"/>
    <w:rsid w:val="00A6365B"/>
    <w:rsid w:val="00A731BB"/>
    <w:rsid w:val="00A80CB3"/>
    <w:rsid w:val="00A9420B"/>
    <w:rsid w:val="00AA5432"/>
    <w:rsid w:val="00AA740C"/>
    <w:rsid w:val="00AD22BA"/>
    <w:rsid w:val="00AD473E"/>
    <w:rsid w:val="00AE787C"/>
    <w:rsid w:val="00B123DA"/>
    <w:rsid w:val="00B15C01"/>
    <w:rsid w:val="00B251DB"/>
    <w:rsid w:val="00B26C25"/>
    <w:rsid w:val="00B26D06"/>
    <w:rsid w:val="00B350CE"/>
    <w:rsid w:val="00B35C0C"/>
    <w:rsid w:val="00B55102"/>
    <w:rsid w:val="00B81C11"/>
    <w:rsid w:val="00BA0B22"/>
    <w:rsid w:val="00BA24B9"/>
    <w:rsid w:val="00BA3FE6"/>
    <w:rsid w:val="00BB0536"/>
    <w:rsid w:val="00BB350F"/>
    <w:rsid w:val="00BB76F1"/>
    <w:rsid w:val="00BC2979"/>
    <w:rsid w:val="00BC44FC"/>
    <w:rsid w:val="00BD0F8A"/>
    <w:rsid w:val="00BD2F1F"/>
    <w:rsid w:val="00BE1CB4"/>
    <w:rsid w:val="00BE1F20"/>
    <w:rsid w:val="00BE53C7"/>
    <w:rsid w:val="00BE6EEA"/>
    <w:rsid w:val="00BF2CDA"/>
    <w:rsid w:val="00C022B6"/>
    <w:rsid w:val="00C157DC"/>
    <w:rsid w:val="00C43D48"/>
    <w:rsid w:val="00C50A9A"/>
    <w:rsid w:val="00C5754E"/>
    <w:rsid w:val="00C65E4E"/>
    <w:rsid w:val="00C66984"/>
    <w:rsid w:val="00C739F2"/>
    <w:rsid w:val="00C768AF"/>
    <w:rsid w:val="00CB2DE1"/>
    <w:rsid w:val="00CB7499"/>
    <w:rsid w:val="00CC4059"/>
    <w:rsid w:val="00CE4789"/>
    <w:rsid w:val="00CE6BBD"/>
    <w:rsid w:val="00CE7F17"/>
    <w:rsid w:val="00D0506F"/>
    <w:rsid w:val="00D10136"/>
    <w:rsid w:val="00D10678"/>
    <w:rsid w:val="00D220CF"/>
    <w:rsid w:val="00D27B99"/>
    <w:rsid w:val="00D36DC8"/>
    <w:rsid w:val="00D64BFA"/>
    <w:rsid w:val="00D841E9"/>
    <w:rsid w:val="00D9122B"/>
    <w:rsid w:val="00D9211D"/>
    <w:rsid w:val="00D97C11"/>
    <w:rsid w:val="00DA3C14"/>
    <w:rsid w:val="00DB1F98"/>
    <w:rsid w:val="00DB42D2"/>
    <w:rsid w:val="00DD41C7"/>
    <w:rsid w:val="00DE04A8"/>
    <w:rsid w:val="00DE1060"/>
    <w:rsid w:val="00DF154F"/>
    <w:rsid w:val="00E01D7D"/>
    <w:rsid w:val="00E0372B"/>
    <w:rsid w:val="00E04DA0"/>
    <w:rsid w:val="00E05F77"/>
    <w:rsid w:val="00E11B00"/>
    <w:rsid w:val="00E12525"/>
    <w:rsid w:val="00E14F58"/>
    <w:rsid w:val="00E3027E"/>
    <w:rsid w:val="00E30820"/>
    <w:rsid w:val="00E37443"/>
    <w:rsid w:val="00E43809"/>
    <w:rsid w:val="00E51006"/>
    <w:rsid w:val="00E51EC5"/>
    <w:rsid w:val="00E86BD4"/>
    <w:rsid w:val="00E95372"/>
    <w:rsid w:val="00E96EC2"/>
    <w:rsid w:val="00EA0739"/>
    <w:rsid w:val="00EB2A69"/>
    <w:rsid w:val="00EB3FA3"/>
    <w:rsid w:val="00EE1F4B"/>
    <w:rsid w:val="00EE7CBD"/>
    <w:rsid w:val="00EF6A8E"/>
    <w:rsid w:val="00F16FE0"/>
    <w:rsid w:val="00F22BB9"/>
    <w:rsid w:val="00F32757"/>
    <w:rsid w:val="00F50FA6"/>
    <w:rsid w:val="00F62B4E"/>
    <w:rsid w:val="00F66A4B"/>
    <w:rsid w:val="00F82254"/>
    <w:rsid w:val="00F86ADC"/>
    <w:rsid w:val="00F86D9D"/>
    <w:rsid w:val="00FA4E30"/>
    <w:rsid w:val="00FB2B97"/>
    <w:rsid w:val="00FD32C9"/>
    <w:rsid w:val="00FE4569"/>
    <w:rsid w:val="00FE7DB2"/>
    <w:rsid w:val="0149DEC2"/>
    <w:rsid w:val="0262B310"/>
    <w:rsid w:val="0281B490"/>
    <w:rsid w:val="030EEF5E"/>
    <w:rsid w:val="03C0BA57"/>
    <w:rsid w:val="0B102494"/>
    <w:rsid w:val="0CA68FA4"/>
    <w:rsid w:val="0F5C6BE3"/>
    <w:rsid w:val="10323684"/>
    <w:rsid w:val="11CE06E5"/>
    <w:rsid w:val="13CB20CE"/>
    <w:rsid w:val="1484094B"/>
    <w:rsid w:val="15D99F86"/>
    <w:rsid w:val="1826E293"/>
    <w:rsid w:val="18AAEF46"/>
    <w:rsid w:val="1A5B7EC4"/>
    <w:rsid w:val="1B1F4A34"/>
    <w:rsid w:val="1BFB9675"/>
    <w:rsid w:val="1C4F1015"/>
    <w:rsid w:val="1E16CE54"/>
    <w:rsid w:val="1F2EEFE7"/>
    <w:rsid w:val="2113D10E"/>
    <w:rsid w:val="232F41F7"/>
    <w:rsid w:val="25DAA35C"/>
    <w:rsid w:val="26BAFADB"/>
    <w:rsid w:val="27892585"/>
    <w:rsid w:val="2ACBC69C"/>
    <w:rsid w:val="2B327D4F"/>
    <w:rsid w:val="2B7C94A5"/>
    <w:rsid w:val="2BEE6696"/>
    <w:rsid w:val="308C45E3"/>
    <w:rsid w:val="31A0163D"/>
    <w:rsid w:val="327B6115"/>
    <w:rsid w:val="327FC856"/>
    <w:rsid w:val="33B0BE28"/>
    <w:rsid w:val="39C6908D"/>
    <w:rsid w:val="3C67F630"/>
    <w:rsid w:val="3D1458E3"/>
    <w:rsid w:val="3DC260FC"/>
    <w:rsid w:val="3E67A6A0"/>
    <w:rsid w:val="3E804D6E"/>
    <w:rsid w:val="3EBD888A"/>
    <w:rsid w:val="4148C5F7"/>
    <w:rsid w:val="4518202B"/>
    <w:rsid w:val="45BF0A3C"/>
    <w:rsid w:val="47015575"/>
    <w:rsid w:val="47C8F33C"/>
    <w:rsid w:val="47FA95E3"/>
    <w:rsid w:val="48735E2E"/>
    <w:rsid w:val="4B97590D"/>
    <w:rsid w:val="4EA3F600"/>
    <w:rsid w:val="4ED8042D"/>
    <w:rsid w:val="4FA4CCB0"/>
    <w:rsid w:val="529E7A39"/>
    <w:rsid w:val="541EF176"/>
    <w:rsid w:val="561130B8"/>
    <w:rsid w:val="56BD6D06"/>
    <w:rsid w:val="56E0D5B8"/>
    <w:rsid w:val="5725FA86"/>
    <w:rsid w:val="57AD0119"/>
    <w:rsid w:val="5D956A64"/>
    <w:rsid w:val="5EC5BC64"/>
    <w:rsid w:val="60A9136A"/>
    <w:rsid w:val="62292120"/>
    <w:rsid w:val="62A5D6FE"/>
    <w:rsid w:val="64B75D50"/>
    <w:rsid w:val="64F102ED"/>
    <w:rsid w:val="67CB1269"/>
    <w:rsid w:val="6AF0F329"/>
    <w:rsid w:val="6B3A0054"/>
    <w:rsid w:val="6BA9898F"/>
    <w:rsid w:val="6BB83417"/>
    <w:rsid w:val="6CD2E1B4"/>
    <w:rsid w:val="6D535FA4"/>
    <w:rsid w:val="6E09FC6C"/>
    <w:rsid w:val="6F5CB291"/>
    <w:rsid w:val="6FA5CCCD"/>
    <w:rsid w:val="73B770AD"/>
    <w:rsid w:val="7A3D1247"/>
    <w:rsid w:val="7AAC3EF4"/>
    <w:rsid w:val="7B30B4DB"/>
    <w:rsid w:val="7B763082"/>
    <w:rsid w:val="7BF3718B"/>
    <w:rsid w:val="7D044C06"/>
    <w:rsid w:val="7D09E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4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66"/>
    <w:pPr>
      <w:spacing w:before="120" w:after="120" w:line="240" w:lineRule="auto"/>
    </w:pPr>
    <w:rPr>
      <w:sz w:val="20"/>
    </w:rPr>
  </w:style>
  <w:style w:type="paragraph" w:styleId="Heading1">
    <w:name w:val="heading 1"/>
    <w:basedOn w:val="Normal"/>
    <w:next w:val="Normal"/>
    <w:link w:val="Heading1Char"/>
    <w:uiPriority w:val="9"/>
    <w:qFormat/>
    <w:rsid w:val="00500EAD"/>
    <w:pPr>
      <w:keepNext/>
      <w:keepLines/>
      <w:contextualSpacing/>
      <w:outlineLvl w:val="0"/>
    </w:pPr>
    <w:rPr>
      <w:rFonts w:asciiTheme="majorHAnsi" w:eastAsiaTheme="majorEastAsia" w:hAnsiTheme="majorHAnsi" w:cstheme="majorBidi"/>
      <w:color w:val="7A3972" w:themeColor="text2"/>
      <w:sz w:val="72"/>
      <w:szCs w:val="32"/>
    </w:rPr>
  </w:style>
  <w:style w:type="paragraph" w:styleId="Heading2">
    <w:name w:val="heading 2"/>
    <w:basedOn w:val="Normal"/>
    <w:next w:val="Normal"/>
    <w:link w:val="Heading2Char"/>
    <w:uiPriority w:val="9"/>
    <w:unhideWhenUsed/>
    <w:qFormat/>
    <w:rsid w:val="00B123DA"/>
    <w:pPr>
      <w:keepNext/>
      <w:keepLines/>
      <w:spacing w:before="360"/>
      <w:outlineLvl w:val="1"/>
    </w:pPr>
    <w:rPr>
      <w:rFonts w:asciiTheme="majorHAnsi" w:eastAsiaTheme="majorEastAsia" w:hAnsiTheme="majorHAnsi" w:cstheme="majorBidi"/>
      <w:color w:val="7A3972" w:themeColor="text2"/>
      <w:sz w:val="48"/>
      <w:szCs w:val="48"/>
    </w:rPr>
  </w:style>
  <w:style w:type="paragraph" w:styleId="Heading3">
    <w:name w:val="heading 3"/>
    <w:basedOn w:val="Normal"/>
    <w:next w:val="Normal"/>
    <w:link w:val="Heading3Char"/>
    <w:uiPriority w:val="9"/>
    <w:unhideWhenUsed/>
    <w:qFormat/>
    <w:rsid w:val="00B123DA"/>
    <w:pPr>
      <w:keepNext/>
      <w:keepLines/>
      <w:spacing w:before="240"/>
      <w:outlineLvl w:val="2"/>
    </w:pPr>
    <w:rPr>
      <w:rFonts w:asciiTheme="majorHAnsi" w:eastAsiaTheme="majorEastAsia" w:hAnsiTheme="majorHAnsi" w:cstheme="majorBidi"/>
      <w:color w:val="7A3972" w:themeColor="text2"/>
      <w:sz w:val="40"/>
      <w:szCs w:val="40"/>
    </w:rPr>
  </w:style>
  <w:style w:type="paragraph" w:styleId="Heading4">
    <w:name w:val="heading 4"/>
    <w:basedOn w:val="Normal"/>
    <w:next w:val="Normal"/>
    <w:link w:val="Heading4Char"/>
    <w:uiPriority w:val="9"/>
    <w:unhideWhenUsed/>
    <w:qFormat/>
    <w:rsid w:val="00B123DA"/>
    <w:pPr>
      <w:keepNext/>
      <w:keepLines/>
      <w:spacing w:before="240"/>
      <w:outlineLvl w:val="3"/>
    </w:pPr>
    <w:rPr>
      <w:rFonts w:asciiTheme="majorHAnsi" w:eastAsiaTheme="majorEastAsia" w:hAnsiTheme="majorHAnsi" w:cstheme="majorBidi"/>
      <w:iCs/>
      <w:color w:val="7A3972" w:themeColor="text2"/>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sz w:val="24"/>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391731"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500EAD"/>
    <w:rPr>
      <w:rFonts w:asciiTheme="majorHAnsi" w:eastAsiaTheme="majorEastAsia" w:hAnsiTheme="majorHAnsi" w:cstheme="majorBidi"/>
      <w:color w:val="7A3972" w:themeColor="text2"/>
      <w:sz w:val="72"/>
      <w:szCs w:val="32"/>
    </w:rPr>
  </w:style>
  <w:style w:type="table" w:customStyle="1" w:styleId="Verticaltable">
    <w:name w:val="Vertical table"/>
    <w:basedOn w:val="TableNormal"/>
    <w:uiPriority w:val="99"/>
    <w:rsid w:val="00B123DA"/>
    <w:pPr>
      <w:spacing w:after="0" w:line="240" w:lineRule="auto"/>
    </w:pPr>
    <w:tblPr>
      <w:tblBorders>
        <w:top w:val="single" w:sz="4" w:space="0" w:color="7A3972" w:themeColor="text2"/>
        <w:left w:val="single" w:sz="4" w:space="0" w:color="7A3972" w:themeColor="text2"/>
        <w:bottom w:val="single" w:sz="4" w:space="0" w:color="7A3972" w:themeColor="text2"/>
        <w:right w:val="single" w:sz="4" w:space="0" w:color="7A3972" w:themeColor="text2"/>
        <w:insideH w:val="single" w:sz="4" w:space="0" w:color="7A3972" w:themeColor="text2"/>
        <w:insideV w:val="single" w:sz="4" w:space="0" w:color="7A3972" w:themeColor="text2"/>
      </w:tblBorders>
    </w:tblPr>
    <w:tcPr>
      <w:shd w:val="clear" w:color="auto" w:fill="auto"/>
    </w:tcPr>
    <w:tblStylePr w:type="lastRow">
      <w:rPr>
        <w:b w:val="0"/>
      </w:rPr>
    </w:tblStylePr>
    <w:tblStylePr w:type="firstCol">
      <w:rPr>
        <w:b/>
        <w:color w:val="FFFFFF" w:themeColor="background1"/>
      </w:rPr>
      <w:tblPr/>
      <w:tcPr>
        <w:shd w:val="clear" w:color="auto" w:fill="7A3972" w:themeFill="text2"/>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500EAD"/>
    <w:pPr>
      <w:numPr>
        <w:ilvl w:val="1"/>
      </w:numPr>
    </w:pPr>
    <w:rPr>
      <w:rFonts w:eastAsiaTheme="minorEastAsia"/>
      <w:color w:val="391731" w:themeColor="accent1"/>
      <w:sz w:val="40"/>
    </w:rPr>
  </w:style>
  <w:style w:type="character" w:customStyle="1" w:styleId="SubtitleChar">
    <w:name w:val="Subtitle Char"/>
    <w:basedOn w:val="DefaultParagraphFont"/>
    <w:link w:val="Subtitle"/>
    <w:uiPriority w:val="11"/>
    <w:rsid w:val="00500EAD"/>
    <w:rPr>
      <w:rFonts w:eastAsiaTheme="minorEastAsia"/>
      <w:color w:val="391731" w:themeColor="accent1"/>
      <w:sz w:val="40"/>
    </w:rPr>
  </w:style>
  <w:style w:type="character" w:customStyle="1" w:styleId="Heading2Char">
    <w:name w:val="Heading 2 Char"/>
    <w:basedOn w:val="DefaultParagraphFont"/>
    <w:link w:val="Heading2"/>
    <w:uiPriority w:val="9"/>
    <w:rsid w:val="00B123DA"/>
    <w:rPr>
      <w:rFonts w:asciiTheme="majorHAnsi" w:eastAsiaTheme="majorEastAsia" w:hAnsiTheme="majorHAnsi" w:cstheme="majorBidi"/>
      <w:color w:val="7A3972" w:themeColor="text2"/>
      <w:sz w:val="48"/>
      <w:szCs w:val="48"/>
    </w:rPr>
  </w:style>
  <w:style w:type="character" w:customStyle="1" w:styleId="Heading3Char">
    <w:name w:val="Heading 3 Char"/>
    <w:basedOn w:val="DefaultParagraphFont"/>
    <w:link w:val="Heading3"/>
    <w:uiPriority w:val="9"/>
    <w:rsid w:val="00B123DA"/>
    <w:rPr>
      <w:rFonts w:asciiTheme="majorHAnsi" w:eastAsiaTheme="majorEastAsia" w:hAnsiTheme="majorHAnsi" w:cstheme="majorBidi"/>
      <w:color w:val="7A3972" w:themeColor="text2"/>
      <w:sz w:val="40"/>
      <w:szCs w:val="40"/>
    </w:rPr>
  </w:style>
  <w:style w:type="character" w:customStyle="1" w:styleId="Heading4Char">
    <w:name w:val="Heading 4 Char"/>
    <w:basedOn w:val="DefaultParagraphFont"/>
    <w:link w:val="Heading4"/>
    <w:uiPriority w:val="9"/>
    <w:rsid w:val="00B123DA"/>
    <w:rPr>
      <w:rFonts w:asciiTheme="majorHAnsi" w:eastAsiaTheme="majorEastAsia" w:hAnsiTheme="majorHAnsi" w:cstheme="majorBidi"/>
      <w:iCs/>
      <w:color w:val="7A3972" w:themeColor="text2"/>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1 heading,Bullet point,Bulleted Para,CV text,Dot point 1.5 line spacing,Dot pt,F5 List Paragraph,FooterText,L,List Paragraph - bullets,List Paragraph1,List Paragraph11,List Paragraph2,NFP GP Bulleted List,bullet point list,Bullets,Bullet"/>
    <w:basedOn w:val="Normal"/>
    <w:link w:val="ListParagraphChar"/>
    <w:uiPriority w:val="34"/>
    <w:qFormat/>
    <w:rsid w:val="00090DDB"/>
    <w:pPr>
      <w:numPr>
        <w:numId w:val="1"/>
      </w:numPr>
      <w:spacing w:before="0"/>
    </w:p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C739F2"/>
    <w:pPr>
      <w:tabs>
        <w:tab w:val="right" w:leader="dot" w:pos="9016"/>
      </w:tabs>
      <w:spacing w:after="100"/>
    </w:pPr>
  </w:style>
  <w:style w:type="paragraph" w:styleId="TOC2">
    <w:name w:val="toc 2"/>
    <w:basedOn w:val="Normal"/>
    <w:next w:val="Normal"/>
    <w:autoRedefine/>
    <w:uiPriority w:val="39"/>
    <w:unhideWhenUsed/>
    <w:rsid w:val="007947C0"/>
    <w:pPr>
      <w:tabs>
        <w:tab w:val="right" w:leader="dot" w:pos="9016"/>
      </w:tabs>
      <w:spacing w:after="100"/>
    </w:pPr>
  </w:style>
  <w:style w:type="paragraph" w:styleId="TOC3">
    <w:name w:val="toc 3"/>
    <w:basedOn w:val="Normal"/>
    <w:next w:val="Normal"/>
    <w:autoRedefine/>
    <w:uiPriority w:val="39"/>
    <w:unhideWhenUsed/>
    <w:rsid w:val="00003C81"/>
    <w:pPr>
      <w:tabs>
        <w:tab w:val="right" w:leader="dot" w:pos="9016"/>
      </w:tabs>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341398"/>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spacing w:before="240" w:after="240"/>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1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17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17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17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1731" w:themeFill="accent1"/>
      </w:tcPr>
    </w:tblStylePr>
    <w:tblStylePr w:type="band1Vert">
      <w:tblPr/>
      <w:tcPr>
        <w:shd w:val="clear" w:color="auto" w:fill="CD84BC" w:themeFill="accent1" w:themeFillTint="66"/>
      </w:tcPr>
    </w:tblStylePr>
    <w:tblStylePr w:type="band1Horz">
      <w:tblPr/>
      <w:tcPr>
        <w:shd w:val="clear" w:color="auto" w:fill="CD84BC" w:themeFill="accent1" w:themeFillTint="66"/>
      </w:tcPr>
    </w:tblStylePr>
  </w:style>
  <w:style w:type="table" w:styleId="GridTable4-Accent1">
    <w:name w:val="Grid Table 4 Accent 1"/>
    <w:basedOn w:val="TableNormal"/>
    <w:uiPriority w:val="49"/>
    <w:rsid w:val="00500EAD"/>
    <w:pPr>
      <w:spacing w:after="0" w:line="240" w:lineRule="auto"/>
    </w:pPr>
    <w:tblPr>
      <w:tblStyleRowBandSize w:val="1"/>
      <w:tblStyleColBandSize w:val="1"/>
      <w:tblBorders>
        <w:top w:val="single" w:sz="4" w:space="0" w:color="7A3972" w:themeColor="text2"/>
        <w:left w:val="single" w:sz="4" w:space="0" w:color="7A3972" w:themeColor="text2"/>
        <w:bottom w:val="single" w:sz="4" w:space="0" w:color="7A3972" w:themeColor="text2"/>
        <w:right w:val="single" w:sz="4" w:space="0" w:color="7A3972" w:themeColor="text2"/>
        <w:insideH w:val="single" w:sz="4" w:space="0" w:color="7A3972" w:themeColor="text2"/>
        <w:insideV w:val="single" w:sz="4" w:space="0" w:color="7A3972" w:themeColor="text2"/>
      </w:tblBorders>
    </w:tblPr>
    <w:tblStylePr w:type="firstRow">
      <w:rPr>
        <w:b/>
        <w:bCs/>
        <w:color w:val="FFFFFF" w:themeColor="background1"/>
      </w:rPr>
      <w:tblPr/>
      <w:tcPr>
        <w:shd w:val="clear" w:color="auto" w:fill="7A3972" w:themeFill="text2"/>
      </w:tcPr>
    </w:tblStylePr>
    <w:tblStylePr w:type="lastRow">
      <w:rPr>
        <w:b/>
        <w:bCs/>
      </w:rPr>
      <w:tblPr/>
      <w:tcPr>
        <w:tcBorders>
          <w:top w:val="double" w:sz="4" w:space="0" w:color="391731" w:themeColor="accent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391731"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Normal"/>
    <w:next w:val="Normal"/>
    <w:link w:val="TitleChar"/>
    <w:uiPriority w:val="10"/>
    <w:qFormat/>
    <w:rsid w:val="00500EAD"/>
    <w:pPr>
      <w:contextualSpacing/>
      <w:outlineLvl w:val="0"/>
    </w:pPr>
    <w:rPr>
      <w:rFonts w:asciiTheme="majorHAnsi" w:eastAsiaTheme="majorEastAsia" w:hAnsiTheme="majorHAnsi" w:cstheme="majorBidi"/>
      <w:color w:val="7A3972" w:themeColor="text2"/>
      <w:spacing w:val="-10"/>
      <w:kern w:val="28"/>
      <w:sz w:val="72"/>
      <w:szCs w:val="72"/>
    </w:rPr>
  </w:style>
  <w:style w:type="character" w:customStyle="1" w:styleId="TitleChar">
    <w:name w:val="Title Char"/>
    <w:basedOn w:val="DefaultParagraphFont"/>
    <w:link w:val="Title"/>
    <w:uiPriority w:val="10"/>
    <w:rsid w:val="00500EAD"/>
    <w:rPr>
      <w:rFonts w:asciiTheme="majorHAnsi" w:eastAsiaTheme="majorEastAsia" w:hAnsiTheme="majorHAnsi" w:cstheme="majorBidi"/>
      <w:color w:val="7A3972" w:themeColor="text2"/>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AD473E"/>
    <w:pPr>
      <w:spacing w:after="0" w:line="240" w:lineRule="auto"/>
    </w:pPr>
    <w:rPr>
      <w:sz w:val="20"/>
    </w:rPr>
  </w:style>
  <w:style w:type="table" w:styleId="ListTable4-Accent1">
    <w:name w:val="List Table 4 Accent 1"/>
    <w:basedOn w:val="TableNormal"/>
    <w:uiPriority w:val="49"/>
    <w:rsid w:val="00500EAD"/>
    <w:pPr>
      <w:spacing w:after="0" w:line="240" w:lineRule="auto"/>
    </w:pPr>
    <w:tblPr>
      <w:tblStyleRowBandSize w:val="1"/>
      <w:tblStyleColBandSize w:val="1"/>
      <w:tblBorders>
        <w:top w:val="single" w:sz="4" w:space="0" w:color="B3489A" w:themeColor="accent1" w:themeTint="99"/>
        <w:left w:val="single" w:sz="4" w:space="0" w:color="B3489A" w:themeColor="accent1" w:themeTint="99"/>
        <w:bottom w:val="single" w:sz="4" w:space="0" w:color="B3489A" w:themeColor="accent1" w:themeTint="99"/>
        <w:right w:val="single" w:sz="4" w:space="0" w:color="B3489A" w:themeColor="accent1" w:themeTint="99"/>
        <w:insideH w:val="single" w:sz="4" w:space="0" w:color="B3489A" w:themeColor="accent1" w:themeTint="99"/>
      </w:tblBorders>
    </w:tblPr>
    <w:tblStylePr w:type="firstRow">
      <w:rPr>
        <w:b/>
        <w:bCs/>
        <w:color w:val="FFFFFF" w:themeColor="background1"/>
      </w:rPr>
      <w:tblPr/>
      <w:tcPr>
        <w:shd w:val="clear" w:color="auto" w:fill="7A3972" w:themeFill="text2"/>
      </w:tcPr>
    </w:tblStylePr>
    <w:tblStylePr w:type="lastRow">
      <w:rPr>
        <w:b/>
        <w:bCs/>
      </w:rPr>
      <w:tblPr/>
      <w:tcPr>
        <w:tcBorders>
          <w:top w:val="double" w:sz="4" w:space="0" w:color="B3489A" w:themeColor="accent1" w:themeTint="99"/>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Reference">
    <w:name w:val="Intense Reference"/>
    <w:basedOn w:val="DefaultParagraphFont"/>
    <w:uiPriority w:val="32"/>
    <w:qFormat/>
    <w:rsid w:val="00596223"/>
  </w:style>
  <w:style w:type="paragraph" w:styleId="BodyText">
    <w:name w:val="Body Text"/>
    <w:basedOn w:val="Normal"/>
    <w:link w:val="BodyTextChar"/>
    <w:uiPriority w:val="1"/>
    <w:qFormat/>
    <w:rsid w:val="00BA24B9"/>
    <w:pPr>
      <w:widowControl w:val="0"/>
      <w:spacing w:before="0" w:after="0"/>
      <w:ind w:left="20"/>
    </w:pPr>
    <w:rPr>
      <w:rFonts w:eastAsia="Gotham Narrow" w:cs="Gotham Narrow"/>
      <w:szCs w:val="17"/>
    </w:rPr>
  </w:style>
  <w:style w:type="character" w:customStyle="1" w:styleId="BodyTextChar">
    <w:name w:val="Body Text Char"/>
    <w:basedOn w:val="DefaultParagraphFont"/>
    <w:link w:val="BodyText"/>
    <w:uiPriority w:val="1"/>
    <w:rsid w:val="00BA24B9"/>
    <w:rPr>
      <w:rFonts w:eastAsia="Gotham Narrow" w:cs="Gotham Narrow"/>
      <w:sz w:val="20"/>
      <w:szCs w:val="17"/>
    </w:rPr>
  </w:style>
  <w:style w:type="paragraph" w:styleId="FootnoteText">
    <w:name w:val="footnote text"/>
    <w:basedOn w:val="Normal"/>
    <w:link w:val="FootnoteTextChar"/>
    <w:uiPriority w:val="99"/>
    <w:unhideWhenUsed/>
    <w:rsid w:val="001C5C12"/>
    <w:pPr>
      <w:spacing w:before="0" w:after="0"/>
    </w:pPr>
    <w:rPr>
      <w:szCs w:val="20"/>
    </w:rPr>
  </w:style>
  <w:style w:type="character" w:customStyle="1" w:styleId="FootnoteTextChar">
    <w:name w:val="Footnote Text Char"/>
    <w:basedOn w:val="DefaultParagraphFont"/>
    <w:link w:val="FootnoteText"/>
    <w:uiPriority w:val="99"/>
    <w:rsid w:val="001C5C12"/>
    <w:rPr>
      <w:sz w:val="20"/>
      <w:szCs w:val="20"/>
    </w:rPr>
  </w:style>
  <w:style w:type="character" w:styleId="FootnoteReference">
    <w:name w:val="footnote reference"/>
    <w:basedOn w:val="DefaultParagraphFont"/>
    <w:uiPriority w:val="99"/>
    <w:semiHidden/>
    <w:unhideWhenUsed/>
    <w:rsid w:val="001C5C12"/>
    <w:rPr>
      <w:vertAlign w:val="superscript"/>
    </w:rPr>
  </w:style>
  <w:style w:type="character" w:customStyle="1" w:styleId="ListParagraphChar">
    <w:name w:val="List Paragraph Char"/>
    <w:aliases w:val="1 heading Char,Bullet point Char,Bulleted Para Char,CV text Char,Dot point 1.5 line spacing Char,Dot pt Char,F5 List Paragraph Char,FooterText Char,L Char,List Paragraph - bullets Char,List Paragraph1 Char,List Paragraph11 Char"/>
    <w:basedOn w:val="DefaultParagraphFont"/>
    <w:link w:val="ListParagraph"/>
    <w:uiPriority w:val="34"/>
    <w:qFormat/>
    <w:locked/>
    <w:rsid w:val="001C5C12"/>
    <w:rPr>
      <w:sz w:val="20"/>
    </w:rPr>
  </w:style>
  <w:style w:type="paragraph" w:customStyle="1" w:styleId="Calloutboxpurplestrong">
    <w:name w:val="Callout box purple strong"/>
    <w:basedOn w:val="Calloutbox"/>
    <w:qFormat/>
    <w:rsid w:val="00E86BD4"/>
    <w:pPr>
      <w:pBdr>
        <w:top w:val="single" w:sz="4" w:space="6" w:color="EAD1E6" w:themeColor="text2" w:themeTint="33"/>
        <w:left w:val="single" w:sz="4" w:space="4" w:color="EAD1E6" w:themeColor="text2" w:themeTint="33"/>
        <w:bottom w:val="single" w:sz="4" w:space="6" w:color="EAD1E6" w:themeColor="text2" w:themeTint="33"/>
        <w:right w:val="single" w:sz="4" w:space="4" w:color="EAD1E6" w:themeColor="text2" w:themeTint="33"/>
      </w:pBdr>
      <w:shd w:val="clear" w:color="auto" w:fill="EAD1E6" w:themeFill="text2" w:themeFillTint="33"/>
    </w:pPr>
    <w:rPr>
      <w:b/>
      <w:bCs/>
    </w:rPr>
  </w:style>
  <w:style w:type="paragraph" w:customStyle="1" w:styleId="Normalplusextrabefore">
    <w:name w:val="Normal plus extra before"/>
    <w:basedOn w:val="Normal"/>
    <w:qFormat/>
    <w:rsid w:val="008C1BC5"/>
    <w:pPr>
      <w:spacing w:before="2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usiness.gov.au/grants-and-programs/critical-technologies-challenge-program" TargetMode="External"/><Relationship Id="rId21" Type="http://schemas.openxmlformats.org/officeDocument/2006/relationships/header" Target="header3.xml"/><Relationship Id="rId42" Type="http://schemas.openxmlformats.org/officeDocument/2006/relationships/hyperlink" Target="https://blueeconomycrc.com.au/" TargetMode="External"/><Relationship Id="rId47" Type="http://schemas.openxmlformats.org/officeDocument/2006/relationships/hyperlink" Target="https://arena.gov.au/funding/rmp/" TargetMode="External"/><Relationship Id="rId63" Type="http://schemas.openxmlformats.org/officeDocument/2006/relationships/hyperlink" Target="https://www.gov.uk/government/publications/national-quantum-strategy/national-quantum-strategy-missions" TargetMode="External"/><Relationship Id="rId68" Type="http://schemas.openxmlformats.org/officeDocument/2006/relationships/hyperlink" Target="https://business.gov.au/grants-and-programs/cooperative-research-centres-projects-crcp-grants/crc-projects-selection-round-outcomes" TargetMode="External"/><Relationship Id="rId84" Type="http://schemas.openxmlformats.org/officeDocument/2006/relationships/hyperlink" Target="https://www.industry.gov.au/publications/national-quantum-strategy" TargetMode="External"/><Relationship Id="rId89" Type="http://schemas.openxmlformats.org/officeDocument/2006/relationships/hyperlink" Target="https://www.industry.gov.au/publications/national-quantum-strategy/national-and-international-approach" TargetMode="External"/><Relationship Id="rId16" Type="http://schemas.openxmlformats.org/officeDocument/2006/relationships/hyperlink" Target="https://creativecommons.org/licenses/by/4.0/legalcode" TargetMode="External"/><Relationship Id="rId11" Type="http://schemas.openxmlformats.org/officeDocument/2006/relationships/endnotes" Target="endnotes.xml"/><Relationship Id="rId32" Type="http://schemas.openxmlformats.org/officeDocument/2006/relationships/hyperlink" Target="https://business.gov.au/grants-and-programs/critical-technologies-challenge-program" TargetMode="External"/><Relationship Id="rId37" Type="http://schemas.openxmlformats.org/officeDocument/2006/relationships/hyperlink" Target="https://business.gov.au/grants-and-programs/critical-technologies-challenge-program" TargetMode="External"/><Relationship Id="rId53" Type="http://schemas.openxmlformats.org/officeDocument/2006/relationships/hyperlink" Target="https://dataportal.arc.gov.au/NCGP/Web/Grant/Grant/CE140100003" TargetMode="External"/><Relationship Id="rId58" Type="http://schemas.openxmlformats.org/officeDocument/2006/relationships/hyperlink" Target="https://www.statista.com/outlook/tmo/internet-of-things/canada" TargetMode="External"/><Relationship Id="rId74" Type="http://schemas.openxmlformats.org/officeDocument/2006/relationships/hyperlink" Target="https://minexcrc.com.au/" TargetMode="External"/><Relationship Id="rId79" Type="http://schemas.openxmlformats.org/officeDocument/2006/relationships/hyperlink" Target="https://hiltcrc.com.au/" TargetMode="External"/><Relationship Id="rId5" Type="http://schemas.openxmlformats.org/officeDocument/2006/relationships/customXml" Target="../customXml/item5.xml"/><Relationship Id="rId90" Type="http://schemas.openxmlformats.org/officeDocument/2006/relationships/hyperlink" Target="https://www.industry.gov.au/publications/joint-statement-united-kingdom-and-australia-cooperation-quantum-technologies" TargetMode="External"/><Relationship Id="rId95" Type="http://schemas.openxmlformats.org/officeDocument/2006/relationships/fontTable" Target="fontTable.xml"/><Relationship Id="rId22" Type="http://schemas.openxmlformats.org/officeDocument/2006/relationships/footer" Target="footer3.xml"/><Relationship Id="rId27" Type="http://schemas.openxmlformats.org/officeDocument/2006/relationships/hyperlink" Target="https://business.gov.au/grants-and-programs/critical-technologies-challenge-program" TargetMode="External"/><Relationship Id="rId43" Type="http://schemas.openxmlformats.org/officeDocument/2006/relationships/hyperlink" Target="https://fbicrc.com.au/" TargetMode="External"/><Relationship Id="rId48" Type="http://schemas.openxmlformats.org/officeDocument/2006/relationships/hyperlink" Target="https://gesda.global/" TargetMode="External"/><Relationship Id="rId64" Type="http://schemas.openxmlformats.org/officeDocument/2006/relationships/hyperlink" Target="https://www.nsf.gov/pubs/2022/nsf22630/nsf22630.htm" TargetMode="External"/><Relationship Id="rId69" Type="http://schemas.openxmlformats.org/officeDocument/2006/relationships/hyperlink" Target="http://www.crctime.com.au/" TargetMode="External"/><Relationship Id="rId8" Type="http://schemas.openxmlformats.org/officeDocument/2006/relationships/settings" Target="settings.xml"/><Relationship Id="rId51" Type="http://schemas.openxmlformats.org/officeDocument/2006/relationships/hyperlink" Target="https://science.osti.gov/ascr" TargetMode="External"/><Relationship Id="rId72" Type="http://schemas.openxmlformats.org/officeDocument/2006/relationships/hyperlink" Target="https://www.gov.uk/government/publications/national-quantum-strategy/national-quantum-strategy-missions" TargetMode="External"/><Relationship Id="rId80" Type="http://schemas.openxmlformats.org/officeDocument/2006/relationships/hyperlink" Target="https://business.gov.au/grants-and-programs/cooperative-research-centres-projects-crcp-grants/crc-projects-selection-round-outcomes" TargetMode="External"/><Relationship Id="rId85" Type="http://schemas.openxmlformats.org/officeDocument/2006/relationships/hyperlink" Target="https://www.industry.gov.au/news/national-reconstruction-fund-diversifying-and-transforming-australias-industry-and-economy" TargetMode="External"/><Relationship Id="rId93" Type="http://schemas.openxmlformats.org/officeDocument/2006/relationships/hyperlink" Target="https://www.chiefscientist.gov.a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business.gov.au/grants-and-programs/critical-technologies-challenge-program" TargetMode="External"/><Relationship Id="rId33" Type="http://schemas.openxmlformats.org/officeDocument/2006/relationships/hyperlink" Target="https://business.gov.au/grants-and-programs/critical-technologies-challenge-program" TargetMode="External"/><Relationship Id="rId38" Type="http://schemas.openxmlformats.org/officeDocument/2006/relationships/hyperlink" Target="https://business.gov.au/grants-and-programs/critical-technologies-challenge-program" TargetMode="External"/><Relationship Id="rId46" Type="http://schemas.openxmlformats.org/officeDocument/2006/relationships/hyperlink" Target="https://mbcrc.com/" TargetMode="External"/><Relationship Id="rId59" Type="http://schemas.openxmlformats.org/officeDocument/2006/relationships/hyperlink" Target="https://gesda.global/" TargetMode="External"/><Relationship Id="rId67" Type="http://schemas.openxmlformats.org/officeDocument/2006/relationships/hyperlink" Target="https://blueeconomycrc.com.au/" TargetMode="External"/><Relationship Id="rId20" Type="http://schemas.openxmlformats.org/officeDocument/2006/relationships/footer" Target="footer2.xml"/><Relationship Id="rId41" Type="http://schemas.openxmlformats.org/officeDocument/2006/relationships/hyperlink" Target="https://aemo.com.au/en" TargetMode="External"/><Relationship Id="rId54" Type="http://schemas.openxmlformats.org/officeDocument/2006/relationships/hyperlink" Target="https://business.gov.au/grants-and-programs/cooperative-research-centres-projects-crcp-grants/crc-projects-selection-round-outcomes" TargetMode="External"/><Relationship Id="rId62" Type="http://schemas.openxmlformats.org/officeDocument/2006/relationships/hyperlink" Target="https://www.gov.uk/government/publications/national-quantum-strategy/national-quantum-strategy-missions" TargetMode="External"/><Relationship Id="rId70" Type="http://schemas.openxmlformats.org/officeDocument/2006/relationships/hyperlink" Target="https://business.gov.au/grants-and-programs/cooperative-research-centres-projects-crcp-grants/crc-projects-selection-round-outcomes" TargetMode="External"/><Relationship Id="rId75" Type="http://schemas.openxmlformats.org/officeDocument/2006/relationships/hyperlink" Target="https://fbicrc.com.au/" TargetMode="External"/><Relationship Id="rId83" Type="http://schemas.openxmlformats.org/officeDocument/2006/relationships/hyperlink" Target="https://www.gov.uk/government/publications/national-quantum-strategy/national-quantum-strategy-missions" TargetMode="External"/><Relationship Id="rId88" Type="http://schemas.openxmlformats.org/officeDocument/2006/relationships/hyperlink" Target="https://www.industry.gov.au/news/review-recommends-more-ambitious-and-strategic-action-increase-diversity-stem" TargetMode="External"/><Relationship Id="rId91" Type="http://schemas.openxmlformats.org/officeDocument/2006/relationships/hyperlink" Target="https://www.industry.gov.au/publications/joint-statement-united-states-america-and-australia-cooperation-quantum-science-and-technology"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https://business.gov.au/grants-and-programs/critical-technologies-challenge-program" TargetMode="External"/><Relationship Id="rId28" Type="http://schemas.openxmlformats.org/officeDocument/2006/relationships/hyperlink" Target="https://business.gov.au/grants-and-programs/critical-technologies-challenge-program" TargetMode="External"/><Relationship Id="rId36" Type="http://schemas.openxmlformats.org/officeDocument/2006/relationships/hyperlink" Target="https://www.business.gov.au/contact-us" TargetMode="External"/><Relationship Id="rId49" Type="http://schemas.openxmlformats.org/officeDocument/2006/relationships/hyperlink" Target="https://oqi.cern/" TargetMode="External"/><Relationship Id="rId57" Type="http://schemas.openxmlformats.org/officeDocument/2006/relationships/hyperlink" Target="https://business.gov.au/grants-and-programs/cooperative-research-centres-projects-crcp-grants/crc-projects-selection-round-outcomes" TargetMode="External"/><Relationship Id="rId10" Type="http://schemas.openxmlformats.org/officeDocument/2006/relationships/footnotes" Target="footnotes.xml"/><Relationship Id="rId31" Type="http://schemas.openxmlformats.org/officeDocument/2006/relationships/hyperlink" Target="https://business.gov.au/grants-and-programs/critical-technologies-challenge-program" TargetMode="External"/><Relationship Id="rId44" Type="http://schemas.openxmlformats.org/officeDocument/2006/relationships/hyperlink" Target="https://www.fenex.org.au/" TargetMode="External"/><Relationship Id="rId52" Type="http://schemas.openxmlformats.org/officeDocument/2006/relationships/hyperlink" Target="https://business.gov.au/grants-and-programs/advanced-manufacturing-growth-fund/grant-recipients" TargetMode="External"/><Relationship Id="rId60" Type="http://schemas.openxmlformats.org/officeDocument/2006/relationships/hyperlink" Target="https://oqi.cern/" TargetMode="External"/><Relationship Id="rId65" Type="http://schemas.openxmlformats.org/officeDocument/2006/relationships/hyperlink" Target="https://imovecrc.com/" TargetMode="External"/><Relationship Id="rId73" Type="http://schemas.openxmlformats.org/officeDocument/2006/relationships/hyperlink" Target="https://www.gov.uk/government/publications/national-quantum-strategy/national-quantum-strategy-missions" TargetMode="External"/><Relationship Id="rId78" Type="http://schemas.openxmlformats.org/officeDocument/2006/relationships/hyperlink" Target="https://www.fenex.org.au/" TargetMode="External"/><Relationship Id="rId81" Type="http://schemas.openxmlformats.org/officeDocument/2006/relationships/hyperlink" Target="https://business.gov.au/grants-and-programs/cooperative-research-centres-projects-crcp-grants/crc-projects-selection-round-outcomes" TargetMode="External"/><Relationship Id="rId86" Type="http://schemas.openxmlformats.org/officeDocument/2006/relationships/hyperlink" Target="https://www.industry.gov.au/publications/list-critical-technologies-national-interest" TargetMode="External"/><Relationship Id="rId9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9" Type="http://schemas.openxmlformats.org/officeDocument/2006/relationships/hyperlink" Target="https://business.gov.au/grants-and-programs/critical-technologies-challenge-program" TargetMode="External"/><Relationship Id="rId34" Type="http://schemas.openxmlformats.org/officeDocument/2006/relationships/hyperlink" Target="https://business.gov.au/grants-and-programs/critical-technologies-challenge-program" TargetMode="External"/><Relationship Id="rId50" Type="http://schemas.openxmlformats.org/officeDocument/2006/relationships/hyperlink" Target="https://www.gov.uk/government/publications/national-quantum-strategy/national-quantum-strategy-missions" TargetMode="External"/><Relationship Id="rId55" Type="http://schemas.openxmlformats.org/officeDocument/2006/relationships/hyperlink" Target="https://www.health.gov.au/our-work/mrff-frontier-health-and-medical-research-initiative" TargetMode="External"/><Relationship Id="rId76" Type="http://schemas.openxmlformats.org/officeDocument/2006/relationships/hyperlink" Target="https://smartcretecrc.com.au/" TargetMode="External"/><Relationship Id="rId7" Type="http://schemas.openxmlformats.org/officeDocument/2006/relationships/styles" Target="styles.xml"/><Relationship Id="rId71" Type="http://schemas.openxmlformats.org/officeDocument/2006/relationships/hyperlink" Target="https://business.gov.au/grants-and-programs/moon-to-mars-supply-chain-capability-improvement-grants/grant-recipients" TargetMode="External"/><Relationship Id="rId92" Type="http://schemas.openxmlformats.org/officeDocument/2006/relationships/hyperlink" Target="https://www.arc.gov.au/" TargetMode="External"/><Relationship Id="rId2" Type="http://schemas.openxmlformats.org/officeDocument/2006/relationships/customXml" Target="../customXml/item2.xml"/><Relationship Id="rId29" Type="http://schemas.openxmlformats.org/officeDocument/2006/relationships/hyperlink" Target="https://portal.business.gov.au/" TargetMode="External"/><Relationship Id="rId24" Type="http://schemas.openxmlformats.org/officeDocument/2006/relationships/hyperlink" Target="https://business.gov.au/grants-and-programs/critical-technologies-challenge-program" TargetMode="External"/><Relationship Id="rId40" Type="http://schemas.openxmlformats.org/officeDocument/2006/relationships/hyperlink" Target="https://aemo.com.au/" TargetMode="External"/><Relationship Id="rId45" Type="http://schemas.openxmlformats.org/officeDocument/2006/relationships/hyperlink" Target="https://hiltcrc.com.au/" TargetMode="External"/><Relationship Id="rId66" Type="http://schemas.openxmlformats.org/officeDocument/2006/relationships/hyperlink" Target="https://smartsatcrc.com/" TargetMode="External"/><Relationship Id="rId87" Type="http://schemas.openxmlformats.org/officeDocument/2006/relationships/hyperlink" Target="https://consult.industry.gov.au/sciencepriorities2" TargetMode="External"/><Relationship Id="rId61" Type="http://schemas.openxmlformats.org/officeDocument/2006/relationships/hyperlink" Target="https://www.nottingham.ac.uk/news/1.7m-funding-for-wearable-brain-imaging-system-brings-it-closer-to-patient-use" TargetMode="External"/><Relationship Id="rId82" Type="http://schemas.openxmlformats.org/officeDocument/2006/relationships/hyperlink" Target="https://nrc.canada.ca/en/research-development/research-collaboration/programs/funded-collaborative-rd-programs-initiatives" TargetMode="External"/><Relationship Id="rId19" Type="http://schemas.openxmlformats.org/officeDocument/2006/relationships/header" Target="header2.xml"/><Relationship Id="rId14" Type="http://schemas.openxmlformats.org/officeDocument/2006/relationships/hyperlink" Target="http://creativecommons.org/licenses/by/4.0/" TargetMode="External"/><Relationship Id="rId30" Type="http://schemas.openxmlformats.org/officeDocument/2006/relationships/hyperlink" Target="https://business.gov.au/grants-and-programs/critical-technologies-challenge-program" TargetMode="External"/><Relationship Id="rId35" Type="http://schemas.openxmlformats.org/officeDocument/2006/relationships/hyperlink" Target="https://business.gov.au/grants-and-programs/critical-technologies-challenge-program" TargetMode="External"/><Relationship Id="rId56" Type="http://schemas.openxmlformats.org/officeDocument/2006/relationships/hyperlink" Target="https://business.gov.au/grants-and-programs/cooperative-research-centres-projects-crcp-grants/crc-projects-selection-round-outcomes" TargetMode="External"/><Relationship Id="rId77" Type="http://schemas.openxmlformats.org/officeDocument/2006/relationships/hyperlink" Target="http://www.crctime.com.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Community_Affairs/Diagnosticimaging/~/media/Committees/clac_ctte/Diagnosticimaging/Report/report.pdf" TargetMode="External"/><Relationship Id="rId13" Type="http://schemas.openxmlformats.org/officeDocument/2006/relationships/hyperlink" Target="https://spectra.mhi.com/how-quantum-technology-could-change-heavy-industry" TargetMode="External"/><Relationship Id="rId3" Type="http://schemas.openxmlformats.org/officeDocument/2006/relationships/hyperlink" Target="https://www.energynetworks.com.au/resources/reports/electricity-network-transformation-roadmap-final-report/" TargetMode="External"/><Relationship Id="rId7" Type="http://schemas.openxmlformats.org/officeDocument/2006/relationships/hyperlink" Target="https://www.pc.gov.au/closing-the-gap-data/dashboard/se/outcome-area1" TargetMode="External"/><Relationship Id="rId12" Type="http://schemas.openxmlformats.org/officeDocument/2006/relationships/hyperlink" Target="https://www.csiro.au/en/work-with-us/industries/mining-resources/Resourceful-magazine/Issue-29-May/Quantum-computing-and-mining" TargetMode="External"/><Relationship Id="rId2" Type="http://schemas.openxmlformats.org/officeDocument/2006/relationships/hyperlink" Target="https://www.dcceew.gov.au/climate-change/publications/australias-emissions-projections-2023" TargetMode="External"/><Relationship Id="rId1" Type="http://schemas.openxmlformats.org/officeDocument/2006/relationships/hyperlink" Target="https://consult.dcceew.gov.au/electricity-and-energy-sector-plan-discussion-paper" TargetMode="External"/><Relationship Id="rId6" Type="http://schemas.openxmlformats.org/officeDocument/2006/relationships/hyperlink" Target="https://www.aihw.gov.au/reports/diagnostic-services/pathology-imaging-and-other-diagnostic-services" TargetMode="External"/><Relationship Id="rId11" Type="http://schemas.openxmlformats.org/officeDocument/2006/relationships/hyperlink" Target="https://www.csiro.au/en/work-with-us/industries/mining-resources/resourceful-magazine/issue-28/the-exploration-toolkit" TargetMode="External"/><Relationship Id="rId5" Type="http://schemas.openxmlformats.org/officeDocument/2006/relationships/hyperlink" Target="https://www.cisc.gov.au/legislation-regulation-and-compliance/soci-act-2018" TargetMode="External"/><Relationship Id="rId10" Type="http://schemas.openxmlformats.org/officeDocument/2006/relationships/hyperlink" Target="https://nrc.canada.ca/en/research-development/research-collaboration/programs/funded-collaborative-rd-programs-initiatives" TargetMode="External"/><Relationship Id="rId4" Type="http://schemas.openxmlformats.org/officeDocument/2006/relationships/hyperlink" Target="https://budget.gov.au/content/factsheets/download/factsheet_clean_energy-20230510.pdf" TargetMode="External"/><Relationship Id="rId9" Type="http://schemas.openxmlformats.org/officeDocument/2006/relationships/hyperlink" Target="https://www.sciencedirect.com/science/article/pii/S0166223622001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ISR CTCP">
      <a:dk1>
        <a:srgbClr val="000000"/>
      </a:dk1>
      <a:lt1>
        <a:sysClr val="window" lastClr="FFFFFF"/>
      </a:lt1>
      <a:dk2>
        <a:srgbClr val="7A3972"/>
      </a:dk2>
      <a:lt2>
        <a:srgbClr val="E7E6E6"/>
      </a:lt2>
      <a:accent1>
        <a:srgbClr val="391731"/>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3603DCBBC0F45A3901C1DD9554701" ma:contentTypeVersion="14" ma:contentTypeDescription="Create a new document." ma:contentTypeScope="" ma:versionID="5e889755ac576fb96f5bdec0d5f5bc56">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ce5af33ad4667064a8eefc1778da7fa0"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99e4c9942c6404eb103464a00e6097b xmlns="2a251b7e-61e4-4816-a71f-b295a9ad20fb">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a9509632-5de2-45f9-9fc7-c24df7848880</TermId>
        </TermInfo>
      </Terms>
    </n99e4c9942c6404eb103464a00e6097b>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15393cf4-1a80-4741-a8a5-a1faa3f14784</TermId>
        </TermInfo>
      </Terms>
    </g7bcb40ba23249a78edca7d43a67c1c9>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TaxCatchAll xmlns="2a251b7e-61e4-4816-a71f-b295a9ad20fb">
      <Value>82</Value>
      <Value>214</Value>
      <Value>3</Value>
      <Value>50803</Value>
      <Value>46946</Value>
    </TaxCatchAll>
    <Comments xmlns="http://schemas.microsoft.com/sharepoint/v3" xsi:nil="true"/>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adb9bed2e36e4a93af574aeb444da63e xmlns="2a251b7e-61e4-4816-a71f-b295a9ad20fb">
      <Terms xmlns="http://schemas.microsoft.com/office/infopath/2007/PartnerControls">
        <TermInfo xmlns="http://schemas.microsoft.com/office/infopath/2007/PartnerControls">
          <TermName xmlns="http://schemas.microsoft.com/office/infopath/2007/PartnerControls">CTCP Round 1</TermName>
          <TermId xmlns="http://schemas.microsoft.com/office/infopath/2007/PartnerControls">a1842269-15ac-48bf-b161-002813222eb2</TermId>
        </TermInfo>
      </Terms>
    </adb9bed2e36e4a93af574aeb444da63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D18BAA-14A4-4CF0-AEA9-AC97859F1043}">
  <ds:schemaRefs>
    <ds:schemaRef ds:uri="http://schemas.microsoft.com/sharepoint/v3/contenttype/forms"/>
  </ds:schemaRefs>
</ds:datastoreItem>
</file>

<file path=customXml/itemProps2.xml><?xml version="1.0" encoding="utf-8"?>
<ds:datastoreItem xmlns:ds="http://schemas.openxmlformats.org/officeDocument/2006/customXml" ds:itemID="{C913F559-7D79-4FF0-9B7C-1A30C85BB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13F33-B148-4CF3-971A-3CBA85BCF079}">
  <ds:schemaRefs>
    <ds:schemaRef ds:uri="http://purl.org/dc/elements/1.1/"/>
    <ds:schemaRef ds:uri="http://purl.org/dc/dcmitype/"/>
    <ds:schemaRef ds:uri="http://schemas.microsoft.com/office/2006/metadata/properties"/>
    <ds:schemaRef ds:uri="2a251b7e-61e4-4816-a71f-b295a9ad20fb"/>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5.xml><?xml version="1.0" encoding="utf-8"?>
<ds:datastoreItem xmlns:ds="http://schemas.openxmlformats.org/officeDocument/2006/customXml" ds:itemID="{99BC60A7-5ACD-40F1-9315-B93CCB12C3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8207</Words>
  <Characters>46782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Round 1 – Stage 1 Feasibility</vt:lpstr>
    </vt:vector>
  </TitlesOfParts>
  <Manager/>
  <Company/>
  <LinksUpToDate>false</LinksUpToDate>
  <CharactersWithSpaces>54880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 – Stage 1 Feasibility</dc:title>
  <dc:subject/>
  <dc:creator/>
  <cp:keywords/>
  <dc:description/>
  <cp:lastModifiedBy/>
  <cp:revision>1</cp:revision>
  <dcterms:created xsi:type="dcterms:W3CDTF">2024-05-09T01:45:00Z</dcterms:created>
  <dcterms:modified xsi:type="dcterms:W3CDTF">2024-05-09T01:49:00Z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Hub_Year">
    <vt:lpwstr>46946;#2024|a9509632-5de2-45f9-9fc7-c24df7848880</vt:lpwstr>
  </property>
  <property fmtid="{D5CDD505-2E9C-101B-9397-08002B2CF9AE}" pid="3" name="DocHub_DocumentType">
    <vt:lpwstr>82;#Template|9b48ba34-650a-488d-9fe8-e5181e10b797</vt:lpwstr>
  </property>
  <property fmtid="{D5CDD505-2E9C-101B-9397-08002B2CF9AE}" pid="4" name="DocHub_SecurityClassification">
    <vt:lpwstr>3;#OFFICIAL|6106d03b-a1a0-4e30-9d91-d5e9fb4314f9</vt:lpwstr>
  </property>
  <property fmtid="{D5CDD505-2E9C-101B-9397-08002B2CF9AE}" pid="5" name="MediaServiceImageTags">
    <vt:lpwstr/>
  </property>
  <property fmtid="{D5CDD505-2E9C-101B-9397-08002B2CF9AE}" pid="6" name="ContentTypeId">
    <vt:lpwstr>0x0101004D13603DCBBC0F45A3901C1DD9554701</vt:lpwstr>
  </property>
  <property fmtid="{D5CDD505-2E9C-101B-9397-08002B2CF9AE}" pid="7" name="DocHub_Keywords">
    <vt:lpwstr>50803;#CTCP Round 1|a1842269-15ac-48bf-b161-002813222eb2</vt:lpwstr>
  </property>
  <property fmtid="{D5CDD505-2E9C-101B-9397-08002B2CF9AE}" pid="8" name="DocHub_WorkActivity">
    <vt:lpwstr>214;#Design|15393cf4-1a80-4741-a8a5-a1faa3f14784</vt:lpwstr>
  </property>
  <property fmtid="{D5CDD505-2E9C-101B-9397-08002B2CF9AE}" pid="9" name="_dlc_DocIdItemGuid">
    <vt:lpwstr>553fb374-a08e-43d8-a260-50cb4cf18e4a</vt:lpwstr>
  </property>
</Properties>
</file>