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79B0" w14:textId="235761F7" w:rsidR="002F60C0" w:rsidRDefault="00AD7672">
      <w:pPr>
        <w:spacing w:after="240"/>
        <w:jc w:val="center"/>
      </w:pPr>
      <w:bookmarkStart w:id="0" w:name="_Toc19289801"/>
      <w:r w:rsidRPr="00180BF8">
        <w:rPr>
          <w:noProof/>
          <w:lang w:eastAsia="en-AU"/>
        </w:rPr>
        <w:drawing>
          <wp:inline distT="0" distB="0" distL="0" distR="0" wp14:anchorId="342D2F68" wp14:editId="6ABD1C7C">
            <wp:extent cx="5140204" cy="688340"/>
            <wp:effectExtent l="0" t="0" r="3810" b="0"/>
            <wp:docPr id="6" name="Picture 6" descr="Australian Government |  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Department of Industry, Science and Resources | Cooperative Research Centres Program"/>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bookmarkEnd w:id="0" w:displacedByCustomXml="next"/>
    <w:bookmarkStart w:id="1" w:name="_Toc144911604" w:displacedByCustomXml="next"/>
    <w:bookmarkEnd w:id="1" w:displacedByCustomXml="next"/>
    <w:bookmarkStart w:id="2" w:name="_Toc155176735" w:displacedByCustomXml="next"/>
    <w:bookmarkEnd w:id="2" w:displacedByCustomXml="next"/>
    <w:bookmarkStart w:id="3" w:name="_Toc187778207" w:displacedByCustomXml="next"/>
    <w:bookmarkStart w:id="4" w:name="_Toc187753755" w:displacedByCustomXml="next"/>
    <w:bookmarkStart w:id="5" w:name="_Toc187753706" w:displacedByCustomXml="next"/>
    <w:sdt>
      <w:sdtPr>
        <w:rPr>
          <w:rFonts w:asciiTheme="minorHAnsi" w:eastAsiaTheme="minorEastAsia" w:hAnsiTheme="minorHAnsi" w:cstheme="minorBidi"/>
          <w:color w:val="auto"/>
          <w:sz w:val="20"/>
          <w:szCs w:val="20"/>
        </w:rPr>
        <w:id w:val="-2088995269"/>
        <w:docPartObj>
          <w:docPartGallery w:val="Cover Pages"/>
          <w:docPartUnique/>
        </w:docPartObj>
      </w:sdtPr>
      <w:sdtEndPr/>
      <w:sdtContent>
        <w:sdt>
          <w:sdtPr>
            <w:rPr>
              <w:rStyle w:val="TitleChar"/>
            </w:rPr>
            <w:alias w:val="Title"/>
            <w:tag w:val=""/>
            <w:id w:val="-856345196"/>
            <w:placeholder>
              <w:docPart w:val="7CD2A8617FA3435FAAC50F24517A609B"/>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078237FA" w14:textId="2DB2C8F6" w:rsidR="002F60C0" w:rsidRPr="00DC06D4" w:rsidRDefault="008137A4" w:rsidP="7197D5BE">
              <w:pPr>
                <w:pStyle w:val="Heading1"/>
              </w:pPr>
              <w:r w:rsidRPr="4AB40904">
                <w:rPr>
                  <w:rStyle w:val="TitleChar"/>
                </w:rPr>
                <w:t>Guidelines on security in the CRC Program</w:t>
              </w:r>
            </w:p>
          </w:sdtContent>
        </w:sdt>
      </w:sdtContent>
    </w:sdt>
    <w:bookmarkEnd w:id="3" w:displacedByCustomXml="prev"/>
    <w:bookmarkEnd w:id="4" w:displacedByCustomXml="prev"/>
    <w:bookmarkEnd w:id="5" w:displacedByCustomXml="prev"/>
    <w:p w14:paraId="0175F9E9" w14:textId="77777777" w:rsidR="007F1D57" w:rsidRDefault="007F1D57" w:rsidP="007F1D57">
      <w:pPr>
        <w:pStyle w:val="Footer"/>
        <w:tabs>
          <w:tab w:val="clear" w:pos="4513"/>
        </w:tabs>
        <w:rPr>
          <w:color w:val="0E2444" w:themeColor="accent1"/>
        </w:rPr>
      </w:pPr>
      <w:bookmarkStart w:id="6" w:name="_Toc19023741"/>
      <w:bookmarkStart w:id="7" w:name="_Hlk155189889"/>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p>
    <w:p w14:paraId="2601221C" w14:textId="48BD3835" w:rsidR="007F1D57" w:rsidRPr="00DC06D4" w:rsidRDefault="007F1D57" w:rsidP="007F1D57">
      <w:pPr>
        <w:pStyle w:val="Footer"/>
        <w:tabs>
          <w:tab w:val="clear" w:pos="4513"/>
        </w:tabs>
        <w:spacing w:before="0"/>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r>
        <w:rPr>
          <w:color w:val="0E2444" w:themeColor="accent1"/>
        </w:rPr>
        <w:t>-p</w:t>
      </w:r>
      <w:r>
        <w:tab/>
      </w:r>
    </w:p>
    <w:p w14:paraId="64E4FB38" w14:textId="2023F208" w:rsidR="00EB059E" w:rsidRDefault="00035268" w:rsidP="000F2C19">
      <w:pPr>
        <w:rPr>
          <w:b/>
          <w:u w:val="single" w:color="40C0C6" w:themeColor="accent3"/>
        </w:rPr>
      </w:pPr>
      <w:bookmarkStart w:id="8" w:name="_Toc187753707"/>
      <w:r>
        <w:t>January 2025</w:t>
      </w:r>
      <w:bookmarkEnd w:id="8"/>
    </w:p>
    <w:sdt>
      <w:sdtPr>
        <w:rPr>
          <w:rFonts w:asciiTheme="minorHAnsi" w:eastAsiaTheme="minorEastAsia" w:hAnsiTheme="minorHAnsi" w:cstheme="minorBidi"/>
          <w:color w:val="auto"/>
          <w:sz w:val="20"/>
          <w:szCs w:val="20"/>
          <w:lang w:val="en-AU"/>
        </w:rPr>
        <w:id w:val="-176120452"/>
        <w:docPartObj>
          <w:docPartGallery w:val="Table of Contents"/>
          <w:docPartUnique/>
        </w:docPartObj>
      </w:sdtPr>
      <w:sdtEndPr>
        <w:rPr>
          <w:b/>
          <w:bCs/>
          <w:noProof/>
        </w:rPr>
      </w:sdtEndPr>
      <w:sdtContent>
        <w:p w14:paraId="3F867C18" w14:textId="61043DB9" w:rsidR="00EB059E" w:rsidRDefault="00EB059E">
          <w:pPr>
            <w:pStyle w:val="TOCHeading"/>
          </w:pPr>
          <w:r>
            <w:t>Contents</w:t>
          </w:r>
        </w:p>
        <w:p w14:paraId="073582E4" w14:textId="52979E76" w:rsidR="00EB059E" w:rsidRDefault="00EB059E" w:rsidP="001D6C9D">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7753756" w:history="1">
            <w:r w:rsidRPr="00E57988">
              <w:rPr>
                <w:rStyle w:val="Hyperlink"/>
                <w:noProof/>
              </w:rPr>
              <w:t>Overview</w:t>
            </w:r>
            <w:r>
              <w:rPr>
                <w:noProof/>
                <w:webHidden/>
              </w:rPr>
              <w:tab/>
            </w:r>
            <w:r>
              <w:rPr>
                <w:noProof/>
                <w:webHidden/>
              </w:rPr>
              <w:fldChar w:fldCharType="begin"/>
            </w:r>
            <w:r>
              <w:rPr>
                <w:noProof/>
                <w:webHidden/>
              </w:rPr>
              <w:instrText xml:space="preserve"> PAGEREF _Toc187753756 \h </w:instrText>
            </w:r>
            <w:r>
              <w:rPr>
                <w:noProof/>
                <w:webHidden/>
              </w:rPr>
            </w:r>
            <w:r>
              <w:rPr>
                <w:noProof/>
                <w:webHidden/>
              </w:rPr>
              <w:fldChar w:fldCharType="separate"/>
            </w:r>
            <w:r>
              <w:rPr>
                <w:noProof/>
                <w:webHidden/>
              </w:rPr>
              <w:t>2</w:t>
            </w:r>
            <w:r>
              <w:rPr>
                <w:noProof/>
                <w:webHidden/>
              </w:rPr>
              <w:fldChar w:fldCharType="end"/>
            </w:r>
          </w:hyperlink>
        </w:p>
        <w:p w14:paraId="2AEB0F50" w14:textId="6F180005" w:rsidR="00EB059E" w:rsidRDefault="00C44A41">
          <w:pPr>
            <w:pStyle w:val="TOC2"/>
            <w:tabs>
              <w:tab w:val="right" w:leader="dot" w:pos="9016"/>
            </w:tabs>
            <w:rPr>
              <w:rFonts w:eastAsiaTheme="minorEastAsia"/>
              <w:noProof/>
              <w:kern w:val="2"/>
              <w:sz w:val="24"/>
              <w:szCs w:val="24"/>
              <w:lang w:eastAsia="en-AU"/>
              <w14:ligatures w14:val="standardContextual"/>
            </w:rPr>
          </w:pPr>
          <w:hyperlink w:anchor="_Toc187753757" w:history="1">
            <w:r w:rsidR="00EB059E" w:rsidRPr="00E57988">
              <w:rPr>
                <w:rStyle w:val="Hyperlink"/>
                <w:noProof/>
              </w:rPr>
              <w:t>Developing a security plan</w:t>
            </w:r>
            <w:r w:rsidR="00EB059E">
              <w:rPr>
                <w:noProof/>
                <w:webHidden/>
              </w:rPr>
              <w:tab/>
            </w:r>
            <w:r w:rsidR="00EB059E">
              <w:rPr>
                <w:noProof/>
                <w:webHidden/>
              </w:rPr>
              <w:fldChar w:fldCharType="begin"/>
            </w:r>
            <w:r w:rsidR="00EB059E">
              <w:rPr>
                <w:noProof/>
                <w:webHidden/>
              </w:rPr>
              <w:instrText xml:space="preserve"> PAGEREF _Toc187753757 \h </w:instrText>
            </w:r>
            <w:r w:rsidR="00EB059E">
              <w:rPr>
                <w:noProof/>
                <w:webHidden/>
              </w:rPr>
            </w:r>
            <w:r w:rsidR="00EB059E">
              <w:rPr>
                <w:noProof/>
                <w:webHidden/>
              </w:rPr>
              <w:fldChar w:fldCharType="separate"/>
            </w:r>
            <w:r w:rsidR="00EB059E">
              <w:rPr>
                <w:noProof/>
                <w:webHidden/>
              </w:rPr>
              <w:t>2</w:t>
            </w:r>
            <w:r w:rsidR="00EB059E">
              <w:rPr>
                <w:noProof/>
                <w:webHidden/>
              </w:rPr>
              <w:fldChar w:fldCharType="end"/>
            </w:r>
          </w:hyperlink>
        </w:p>
        <w:p w14:paraId="16B74988" w14:textId="5DFA8007" w:rsidR="00EB059E" w:rsidRDefault="00C44A41">
          <w:pPr>
            <w:pStyle w:val="TOC2"/>
            <w:tabs>
              <w:tab w:val="right" w:leader="dot" w:pos="9016"/>
            </w:tabs>
            <w:rPr>
              <w:rFonts w:eastAsiaTheme="minorEastAsia"/>
              <w:noProof/>
              <w:kern w:val="2"/>
              <w:sz w:val="24"/>
              <w:szCs w:val="24"/>
              <w:lang w:eastAsia="en-AU"/>
              <w14:ligatures w14:val="standardContextual"/>
            </w:rPr>
          </w:pPr>
          <w:hyperlink w:anchor="_Toc187753758" w:history="1">
            <w:r w:rsidR="00EB059E" w:rsidRPr="00E57988">
              <w:rPr>
                <w:rStyle w:val="Hyperlink"/>
                <w:noProof/>
              </w:rPr>
              <w:t>Measuring risk</w:t>
            </w:r>
            <w:r w:rsidR="00EB059E">
              <w:rPr>
                <w:noProof/>
                <w:webHidden/>
              </w:rPr>
              <w:tab/>
            </w:r>
            <w:r w:rsidR="00EB059E">
              <w:rPr>
                <w:noProof/>
                <w:webHidden/>
              </w:rPr>
              <w:fldChar w:fldCharType="begin"/>
            </w:r>
            <w:r w:rsidR="00EB059E">
              <w:rPr>
                <w:noProof/>
                <w:webHidden/>
              </w:rPr>
              <w:instrText xml:space="preserve"> PAGEREF _Toc187753758 \h </w:instrText>
            </w:r>
            <w:r w:rsidR="00EB059E">
              <w:rPr>
                <w:noProof/>
                <w:webHidden/>
              </w:rPr>
            </w:r>
            <w:r w:rsidR="00EB059E">
              <w:rPr>
                <w:noProof/>
                <w:webHidden/>
              </w:rPr>
              <w:fldChar w:fldCharType="separate"/>
            </w:r>
            <w:r w:rsidR="00EB059E">
              <w:rPr>
                <w:noProof/>
                <w:webHidden/>
              </w:rPr>
              <w:t>2</w:t>
            </w:r>
            <w:r w:rsidR="00EB059E">
              <w:rPr>
                <w:noProof/>
                <w:webHidden/>
              </w:rPr>
              <w:fldChar w:fldCharType="end"/>
            </w:r>
          </w:hyperlink>
        </w:p>
        <w:p w14:paraId="108C953D" w14:textId="411A6CAC" w:rsidR="00EB059E" w:rsidRDefault="00C44A41">
          <w:pPr>
            <w:pStyle w:val="TOC2"/>
            <w:tabs>
              <w:tab w:val="right" w:leader="dot" w:pos="9016"/>
            </w:tabs>
            <w:rPr>
              <w:rFonts w:eastAsiaTheme="minorEastAsia"/>
              <w:noProof/>
              <w:kern w:val="2"/>
              <w:sz w:val="24"/>
              <w:szCs w:val="24"/>
              <w:lang w:eastAsia="en-AU"/>
              <w14:ligatures w14:val="standardContextual"/>
            </w:rPr>
          </w:pPr>
          <w:hyperlink w:anchor="_Toc187753759" w:history="1">
            <w:r w:rsidR="00EB059E" w:rsidRPr="00E57988">
              <w:rPr>
                <w:rStyle w:val="Hyperlink"/>
                <w:noProof/>
              </w:rPr>
              <w:t>Developing a security plan</w:t>
            </w:r>
            <w:r w:rsidR="00EB059E">
              <w:rPr>
                <w:noProof/>
                <w:webHidden/>
              </w:rPr>
              <w:tab/>
            </w:r>
            <w:r w:rsidR="00EB059E">
              <w:rPr>
                <w:noProof/>
                <w:webHidden/>
              </w:rPr>
              <w:fldChar w:fldCharType="begin"/>
            </w:r>
            <w:r w:rsidR="00EB059E">
              <w:rPr>
                <w:noProof/>
                <w:webHidden/>
              </w:rPr>
              <w:instrText xml:space="preserve"> PAGEREF _Toc187753759 \h </w:instrText>
            </w:r>
            <w:r w:rsidR="00EB059E">
              <w:rPr>
                <w:noProof/>
                <w:webHidden/>
              </w:rPr>
            </w:r>
            <w:r w:rsidR="00EB059E">
              <w:rPr>
                <w:noProof/>
                <w:webHidden/>
              </w:rPr>
              <w:fldChar w:fldCharType="separate"/>
            </w:r>
            <w:r w:rsidR="00EB059E">
              <w:rPr>
                <w:noProof/>
                <w:webHidden/>
              </w:rPr>
              <w:t>3</w:t>
            </w:r>
            <w:r w:rsidR="00EB059E">
              <w:rPr>
                <w:noProof/>
                <w:webHidden/>
              </w:rPr>
              <w:fldChar w:fldCharType="end"/>
            </w:r>
          </w:hyperlink>
        </w:p>
        <w:p w14:paraId="7C460CCA" w14:textId="585CD236" w:rsidR="00EB059E" w:rsidRDefault="00C44A41">
          <w:pPr>
            <w:pStyle w:val="TOC3"/>
            <w:tabs>
              <w:tab w:val="right" w:leader="dot" w:pos="9016"/>
            </w:tabs>
            <w:rPr>
              <w:rFonts w:eastAsiaTheme="minorEastAsia"/>
              <w:noProof/>
              <w:kern w:val="2"/>
              <w:sz w:val="24"/>
              <w:szCs w:val="24"/>
              <w:lang w:eastAsia="en-AU"/>
              <w14:ligatures w14:val="standardContextual"/>
            </w:rPr>
          </w:pPr>
          <w:hyperlink w:anchor="_Toc187753760" w:history="1">
            <w:r w:rsidR="00EB059E" w:rsidRPr="00E57988">
              <w:rPr>
                <w:rStyle w:val="Hyperlink"/>
                <w:noProof/>
              </w:rPr>
              <w:t>1. For your CRC Program partners, key personnel and researchers:</w:t>
            </w:r>
            <w:r w:rsidR="00EB059E">
              <w:rPr>
                <w:noProof/>
                <w:webHidden/>
              </w:rPr>
              <w:tab/>
            </w:r>
            <w:r w:rsidR="00EB059E">
              <w:rPr>
                <w:noProof/>
                <w:webHidden/>
              </w:rPr>
              <w:fldChar w:fldCharType="begin"/>
            </w:r>
            <w:r w:rsidR="00EB059E">
              <w:rPr>
                <w:noProof/>
                <w:webHidden/>
              </w:rPr>
              <w:instrText xml:space="preserve"> PAGEREF _Toc187753760 \h </w:instrText>
            </w:r>
            <w:r w:rsidR="00EB059E">
              <w:rPr>
                <w:noProof/>
                <w:webHidden/>
              </w:rPr>
            </w:r>
            <w:r w:rsidR="00EB059E">
              <w:rPr>
                <w:noProof/>
                <w:webHidden/>
              </w:rPr>
              <w:fldChar w:fldCharType="separate"/>
            </w:r>
            <w:r w:rsidR="00EB059E">
              <w:rPr>
                <w:noProof/>
                <w:webHidden/>
              </w:rPr>
              <w:t>3</w:t>
            </w:r>
            <w:r w:rsidR="00EB059E">
              <w:rPr>
                <w:noProof/>
                <w:webHidden/>
              </w:rPr>
              <w:fldChar w:fldCharType="end"/>
            </w:r>
          </w:hyperlink>
        </w:p>
        <w:p w14:paraId="2665941A" w14:textId="25044DB6" w:rsidR="00EB059E" w:rsidRDefault="00C44A41">
          <w:pPr>
            <w:pStyle w:val="TOC3"/>
            <w:tabs>
              <w:tab w:val="right" w:leader="dot" w:pos="9016"/>
            </w:tabs>
            <w:rPr>
              <w:rFonts w:eastAsiaTheme="minorEastAsia"/>
              <w:noProof/>
              <w:kern w:val="2"/>
              <w:sz w:val="24"/>
              <w:szCs w:val="24"/>
              <w:lang w:eastAsia="en-AU"/>
              <w14:ligatures w14:val="standardContextual"/>
            </w:rPr>
          </w:pPr>
          <w:hyperlink w:anchor="_Toc187753761" w:history="1">
            <w:r w:rsidR="00EB059E" w:rsidRPr="00E57988">
              <w:rPr>
                <w:rStyle w:val="Hyperlink"/>
                <w:noProof/>
              </w:rPr>
              <w:t>2. For your research, technology and knowledge:</w:t>
            </w:r>
            <w:r w:rsidR="00EB059E">
              <w:rPr>
                <w:noProof/>
                <w:webHidden/>
              </w:rPr>
              <w:tab/>
            </w:r>
            <w:r w:rsidR="00EB059E">
              <w:rPr>
                <w:noProof/>
                <w:webHidden/>
              </w:rPr>
              <w:fldChar w:fldCharType="begin"/>
            </w:r>
            <w:r w:rsidR="00EB059E">
              <w:rPr>
                <w:noProof/>
                <w:webHidden/>
              </w:rPr>
              <w:instrText xml:space="preserve"> PAGEREF _Toc187753761 \h </w:instrText>
            </w:r>
            <w:r w:rsidR="00EB059E">
              <w:rPr>
                <w:noProof/>
                <w:webHidden/>
              </w:rPr>
            </w:r>
            <w:r w:rsidR="00EB059E">
              <w:rPr>
                <w:noProof/>
                <w:webHidden/>
              </w:rPr>
              <w:fldChar w:fldCharType="separate"/>
            </w:r>
            <w:r w:rsidR="00EB059E">
              <w:rPr>
                <w:noProof/>
                <w:webHidden/>
              </w:rPr>
              <w:t>3</w:t>
            </w:r>
            <w:r w:rsidR="00EB059E">
              <w:rPr>
                <w:noProof/>
                <w:webHidden/>
              </w:rPr>
              <w:fldChar w:fldCharType="end"/>
            </w:r>
          </w:hyperlink>
        </w:p>
        <w:p w14:paraId="21EF6085" w14:textId="448FF4E4" w:rsidR="00EB059E" w:rsidRDefault="00C44A41">
          <w:pPr>
            <w:pStyle w:val="TOC3"/>
            <w:tabs>
              <w:tab w:val="right" w:leader="dot" w:pos="9016"/>
            </w:tabs>
            <w:rPr>
              <w:rFonts w:eastAsiaTheme="minorEastAsia"/>
              <w:noProof/>
              <w:kern w:val="2"/>
              <w:sz w:val="24"/>
              <w:szCs w:val="24"/>
              <w:lang w:eastAsia="en-AU"/>
              <w14:ligatures w14:val="standardContextual"/>
            </w:rPr>
          </w:pPr>
          <w:hyperlink w:anchor="_Toc187753762" w:history="1">
            <w:r w:rsidR="00EB059E" w:rsidRPr="00E57988">
              <w:rPr>
                <w:rStyle w:val="Hyperlink"/>
                <w:noProof/>
              </w:rPr>
              <w:t>3. For the appropriateness of identified risk mitigation controls:</w:t>
            </w:r>
            <w:r w:rsidR="00EB059E">
              <w:rPr>
                <w:noProof/>
                <w:webHidden/>
              </w:rPr>
              <w:tab/>
            </w:r>
            <w:r w:rsidR="00EB059E">
              <w:rPr>
                <w:noProof/>
                <w:webHidden/>
              </w:rPr>
              <w:fldChar w:fldCharType="begin"/>
            </w:r>
            <w:r w:rsidR="00EB059E">
              <w:rPr>
                <w:noProof/>
                <w:webHidden/>
              </w:rPr>
              <w:instrText xml:space="preserve"> PAGEREF _Toc187753762 \h </w:instrText>
            </w:r>
            <w:r w:rsidR="00EB059E">
              <w:rPr>
                <w:noProof/>
                <w:webHidden/>
              </w:rPr>
            </w:r>
            <w:r w:rsidR="00EB059E">
              <w:rPr>
                <w:noProof/>
                <w:webHidden/>
              </w:rPr>
              <w:fldChar w:fldCharType="separate"/>
            </w:r>
            <w:r w:rsidR="00EB059E">
              <w:rPr>
                <w:noProof/>
                <w:webHidden/>
              </w:rPr>
              <w:t>3</w:t>
            </w:r>
            <w:r w:rsidR="00EB059E">
              <w:rPr>
                <w:noProof/>
                <w:webHidden/>
              </w:rPr>
              <w:fldChar w:fldCharType="end"/>
            </w:r>
          </w:hyperlink>
        </w:p>
        <w:p w14:paraId="77569532" w14:textId="29B8AE75" w:rsidR="00EB059E" w:rsidRDefault="00C44A41">
          <w:pPr>
            <w:pStyle w:val="TOC2"/>
            <w:tabs>
              <w:tab w:val="right" w:leader="dot" w:pos="9016"/>
            </w:tabs>
            <w:rPr>
              <w:rFonts w:eastAsiaTheme="minorEastAsia"/>
              <w:noProof/>
              <w:kern w:val="2"/>
              <w:sz w:val="24"/>
              <w:szCs w:val="24"/>
              <w:lang w:eastAsia="en-AU"/>
              <w14:ligatures w14:val="standardContextual"/>
            </w:rPr>
          </w:pPr>
          <w:hyperlink w:anchor="_Toc187753763" w:history="1">
            <w:r w:rsidR="00EB059E" w:rsidRPr="00E57988">
              <w:rPr>
                <w:rStyle w:val="Hyperlink"/>
                <w:noProof/>
              </w:rPr>
              <w:t>Getting further assistance</w:t>
            </w:r>
            <w:r w:rsidR="00EB059E">
              <w:rPr>
                <w:noProof/>
                <w:webHidden/>
              </w:rPr>
              <w:tab/>
            </w:r>
            <w:r w:rsidR="00EB059E">
              <w:rPr>
                <w:noProof/>
                <w:webHidden/>
              </w:rPr>
              <w:fldChar w:fldCharType="begin"/>
            </w:r>
            <w:r w:rsidR="00EB059E">
              <w:rPr>
                <w:noProof/>
                <w:webHidden/>
              </w:rPr>
              <w:instrText xml:space="preserve"> PAGEREF _Toc187753763 \h </w:instrText>
            </w:r>
            <w:r w:rsidR="00EB059E">
              <w:rPr>
                <w:noProof/>
                <w:webHidden/>
              </w:rPr>
            </w:r>
            <w:r w:rsidR="00EB059E">
              <w:rPr>
                <w:noProof/>
                <w:webHidden/>
              </w:rPr>
              <w:fldChar w:fldCharType="separate"/>
            </w:r>
            <w:r w:rsidR="00EB059E">
              <w:rPr>
                <w:noProof/>
                <w:webHidden/>
              </w:rPr>
              <w:t>4</w:t>
            </w:r>
            <w:r w:rsidR="00EB059E">
              <w:rPr>
                <w:noProof/>
                <w:webHidden/>
              </w:rPr>
              <w:fldChar w:fldCharType="end"/>
            </w:r>
          </w:hyperlink>
        </w:p>
        <w:p w14:paraId="25537C03" w14:textId="2D098370" w:rsidR="00EB059E" w:rsidRDefault="00EB059E">
          <w:r>
            <w:rPr>
              <w:b/>
              <w:bCs/>
              <w:noProof/>
            </w:rPr>
            <w:fldChar w:fldCharType="end"/>
          </w:r>
        </w:p>
      </w:sdtContent>
    </w:sdt>
    <w:p w14:paraId="2E9C0BF5" w14:textId="585F8E5A" w:rsidR="005D50E8" w:rsidRDefault="005D50E8" w:rsidP="000F2C19">
      <w:pPr>
        <w:rPr>
          <w:b/>
          <w:u w:val="single" w:color="40C0C6" w:themeColor="accent3"/>
        </w:rPr>
      </w:pPr>
    </w:p>
    <w:p w14:paraId="3594B1CD" w14:textId="77777777" w:rsidR="005D50E8" w:rsidRDefault="005D50E8">
      <w:pPr>
        <w:spacing w:before="0" w:after="160" w:line="259" w:lineRule="auto"/>
        <w:rPr>
          <w:b/>
          <w:u w:val="single" w:color="40C0C6" w:themeColor="accent3"/>
        </w:rPr>
      </w:pPr>
      <w:r>
        <w:rPr>
          <w:b/>
          <w:u w:val="single" w:color="40C0C6" w:themeColor="accent3"/>
        </w:rPr>
        <w:br w:type="page"/>
      </w:r>
    </w:p>
    <w:p w14:paraId="5C89F960" w14:textId="0BBDBB8E" w:rsidR="00F51BA7" w:rsidRPr="000F2C19" w:rsidRDefault="00F51BA7" w:rsidP="004D44E3">
      <w:pPr>
        <w:pStyle w:val="Heading2"/>
      </w:pPr>
      <w:bookmarkStart w:id="9" w:name="_Toc187753708"/>
      <w:bookmarkStart w:id="10" w:name="_Toc187753756"/>
      <w:bookmarkStart w:id="11" w:name="_Toc187778208"/>
      <w:r w:rsidRPr="0289B16E">
        <w:lastRenderedPageBreak/>
        <w:t>Overview</w:t>
      </w:r>
      <w:bookmarkEnd w:id="9"/>
      <w:bookmarkEnd w:id="10"/>
      <w:bookmarkEnd w:id="11"/>
    </w:p>
    <w:p w14:paraId="3430C4F9" w14:textId="77777777" w:rsidR="00F51BA7" w:rsidRDefault="00F51BA7" w:rsidP="00F51BA7">
      <w:r>
        <w:t>The CRC Program is the Australian Government’s flagship program for business-research collaboration. The innovations and research partnerships established in the CRC Program (CRCs and CRC Projects) have enormous potential to boost the growth of industries, create jobs and improve the lives of Australians. Because their work is so important, the outputs of CRC and CRC Project (CRC-P) collaborations can be an attractive target for foreign interference and intelligence gathering.</w:t>
      </w:r>
    </w:p>
    <w:p w14:paraId="4E0149EA" w14:textId="77777777" w:rsidR="00F51BA7" w:rsidRDefault="00F51BA7" w:rsidP="00F51BA7">
      <w:r>
        <w:t>The Department of Industry, Science and Resources (the department) has developed these guidelines to help CRC Program participants consider national security risks. These guidelines represent a starting point, but each organisation will face unique circumstances. Each CRC Program participant should make their own enquiries when formulating security plans.</w:t>
      </w:r>
    </w:p>
    <w:p w14:paraId="227D7E76" w14:textId="77777777" w:rsidR="00F51BA7" w:rsidRDefault="00F51BA7" w:rsidP="00F51BA7">
      <w:r>
        <w:t xml:space="preserve">Considering national security protects Australia’s broader national interests from those intending harm, national interests can include people, physical </w:t>
      </w:r>
      <w:bookmarkStart w:id="12" w:name="_Int_zFdbjSnJ"/>
      <w:r>
        <w:t>assets</w:t>
      </w:r>
      <w:bookmarkEnd w:id="12"/>
      <w:r>
        <w:t xml:space="preserve"> and information. Cyber security risks are particularly </w:t>
      </w:r>
      <w:bookmarkStart w:id="13" w:name="_Int_kCeqXYZf"/>
      <w:r>
        <w:t>important</w:t>
      </w:r>
      <w:bookmarkEnd w:id="13"/>
      <w:r>
        <w:t xml:space="preserve"> and CRC Program participants should ensure they appropriately protect sensitive datasets, which can include maps of strategic resources like land, sea, energy networks and infrastructure assets.</w:t>
      </w:r>
    </w:p>
    <w:p w14:paraId="43693049" w14:textId="77777777" w:rsidR="00F51BA7" w:rsidRPr="000F2C19" w:rsidRDefault="00F51BA7" w:rsidP="004D44E3">
      <w:pPr>
        <w:pStyle w:val="Heading2"/>
      </w:pPr>
      <w:bookmarkStart w:id="14" w:name="_Toc187753709"/>
      <w:bookmarkStart w:id="15" w:name="_Toc187753757"/>
      <w:bookmarkStart w:id="16" w:name="_Toc187778209"/>
      <w:r w:rsidRPr="000F2C19">
        <w:t>Developing a security plan</w:t>
      </w:r>
      <w:bookmarkEnd w:id="14"/>
      <w:bookmarkEnd w:id="15"/>
      <w:bookmarkEnd w:id="16"/>
    </w:p>
    <w:p w14:paraId="356E3BEF" w14:textId="77777777" w:rsidR="00F51BA7" w:rsidRPr="00921523" w:rsidRDefault="00F51BA7" w:rsidP="00F51BA7">
      <w:r>
        <w:t xml:space="preserve">CRC Program participants should consider their strategic goals and objectives when developing security plans and take a risk management approach. Plans should be consistent with the </w:t>
      </w:r>
      <w:hyperlink r:id="rId12">
        <w:r w:rsidRPr="7AEC43F5">
          <w:rPr>
            <w:rStyle w:val="Hyperlink"/>
          </w:rPr>
          <w:t>Australian Government’s Protective Security Policy Framework</w:t>
        </w:r>
      </w:hyperlink>
      <w:r>
        <w:t xml:space="preserve"> and address risks relating to governance, information (including relevant cyber security risks), personnel and physical security. CRC Program participants should share their security plans across the collaboration, particularly with partners and staff with responsibilities identified in the plan. This will help build a positive security culture based on </w:t>
      </w:r>
      <w:bookmarkStart w:id="17" w:name="_Int_hGnxN9SB"/>
      <w:r>
        <w:t>a common understanding</w:t>
      </w:r>
      <w:bookmarkEnd w:id="17"/>
      <w:r>
        <w:t xml:space="preserve"> of risks.</w:t>
      </w:r>
    </w:p>
    <w:p w14:paraId="60FE0A60" w14:textId="77777777" w:rsidR="00F51BA7" w:rsidRDefault="00F51BA7" w:rsidP="00F51BA7">
      <w:r>
        <w:t xml:space="preserve">A security plan should be a 'living' document, reviewed regularly to ensure it remains fit-for-purpose. CRC Program participants should review security plans at least every 2 years or when there are significant shifts in risk or operating environment. Security risk mitigation strategies should be proportionate to the assessed risk, and implemented to minimise the impact on innovation, </w:t>
      </w:r>
      <w:bookmarkStart w:id="18" w:name="_Int_pLyNY43H"/>
      <w:r>
        <w:t>collaboration</w:t>
      </w:r>
      <w:bookmarkEnd w:id="18"/>
      <w:r>
        <w:t xml:space="preserve"> and cooperation. </w:t>
      </w:r>
      <w:bookmarkStart w:id="19" w:name="_Int_DCWXX019"/>
      <w:r>
        <w:t>Ultimately, security</w:t>
      </w:r>
      <w:bookmarkEnd w:id="19"/>
      <w:r>
        <w:t xml:space="preserve"> risk management planning should identify what needs to be kept safe and secure, evaluate the risk, and determine appropriate controls to mitigate against the identified risks.</w:t>
      </w:r>
    </w:p>
    <w:p w14:paraId="0CE0FAD1" w14:textId="77777777" w:rsidR="00F51BA7" w:rsidRPr="000F2C19" w:rsidRDefault="00F51BA7" w:rsidP="004D44E3">
      <w:pPr>
        <w:pStyle w:val="Heading2"/>
      </w:pPr>
      <w:bookmarkStart w:id="20" w:name="_Toc187753710"/>
      <w:bookmarkStart w:id="21" w:name="_Toc187753758"/>
      <w:bookmarkStart w:id="22" w:name="_Toc187778210"/>
      <w:r w:rsidRPr="000F2C19">
        <w:t>Measuring risk</w:t>
      </w:r>
      <w:bookmarkEnd w:id="20"/>
      <w:bookmarkEnd w:id="21"/>
      <w:bookmarkEnd w:id="22"/>
    </w:p>
    <w:p w14:paraId="2E02D3A8" w14:textId="77777777" w:rsidR="00F51BA7" w:rsidRDefault="00F51BA7" w:rsidP="00F51BA7">
      <w:r>
        <w:t xml:space="preserve">Risk can be considered as a combination of threat, </w:t>
      </w:r>
      <w:bookmarkStart w:id="23" w:name="_Int_vKMIKZIc"/>
      <w:r>
        <w:t>vulnerability</w:t>
      </w:r>
      <w:bookmarkEnd w:id="23"/>
      <w:r>
        <w:t xml:space="preserve"> and consequence.</w:t>
      </w:r>
    </w:p>
    <w:p w14:paraId="3D7EA28E" w14:textId="77777777" w:rsidR="00F51BA7" w:rsidRDefault="00F51BA7" w:rsidP="00F51BA7">
      <w:pPr>
        <w:pStyle w:val="Bullet1"/>
      </w:pPr>
      <w:r>
        <w:t xml:space="preserve">Threat assessments consider the intent and capability of malicious actors to conduct sabotage, </w:t>
      </w:r>
      <w:bookmarkStart w:id="24" w:name="_Int_G4WkG5yW"/>
      <w:r>
        <w:t>espionage</w:t>
      </w:r>
      <w:bookmarkEnd w:id="24"/>
      <w:r>
        <w:t xml:space="preserve"> or coercion against a CRC Program participant. Intent covers the desire and likelihood of the actor to proceed with their plans, while capability covers the skills and resources with which the actor can carry out their plans.</w:t>
      </w:r>
    </w:p>
    <w:p w14:paraId="3E2F0936" w14:textId="77777777" w:rsidR="00F51BA7" w:rsidRDefault="00F51BA7" w:rsidP="00F51BA7">
      <w:pPr>
        <w:pStyle w:val="Bullet1"/>
      </w:pPr>
      <w:r>
        <w:t>Vulnerability is an assessment of a CRC Program participant’s attributes to determine points of weakness which the threat could exploit, and the level of protection from the threat.</w:t>
      </w:r>
    </w:p>
    <w:p w14:paraId="2070CD11" w14:textId="46655968" w:rsidR="5AD3E3B8" w:rsidRDefault="00F51BA7" w:rsidP="65DAD940">
      <w:pPr>
        <w:pStyle w:val="Bullet1"/>
        <w:rPr>
          <w:color w:val="auto"/>
        </w:rPr>
      </w:pPr>
      <w:r w:rsidRPr="65DAD940">
        <w:rPr>
          <w:color w:val="auto"/>
        </w:rPr>
        <w:t xml:space="preserve">Consequence is the outcome or impact on national security if the identified risk occurs. Consequence assessments should consider the impacts to Australia’s national security, not only the consequences to a CRC Program participant. The assessment should also </w:t>
      </w:r>
      <w:r w:rsidR="00603630" w:rsidRPr="65DAD940">
        <w:rPr>
          <w:color w:val="auto"/>
        </w:rPr>
        <w:t>consider</w:t>
      </w:r>
      <w:r w:rsidRPr="65DAD940">
        <w:rPr>
          <w:color w:val="auto"/>
        </w:rPr>
        <w:t xml:space="preserve"> the potential physical, social, </w:t>
      </w:r>
      <w:bookmarkStart w:id="25" w:name="_Int_7W2qbK76"/>
      <w:r w:rsidRPr="65DAD940">
        <w:rPr>
          <w:color w:val="auto"/>
        </w:rPr>
        <w:t>economic</w:t>
      </w:r>
      <w:bookmarkEnd w:id="25"/>
      <w:r w:rsidRPr="65DAD940">
        <w:rPr>
          <w:color w:val="auto"/>
        </w:rPr>
        <w:t xml:space="preserve"> and governmental impact on Australia.</w:t>
      </w:r>
    </w:p>
    <w:p w14:paraId="7735F209" w14:textId="53C42BC2" w:rsidR="00F51BA7" w:rsidRDefault="00F51BA7" w:rsidP="0289B16E">
      <w:r>
        <w:t>Common risk indicators which CRC Program Participants should be aware of when developing their security plans include:</w:t>
      </w:r>
    </w:p>
    <w:p w14:paraId="6B933994" w14:textId="77777777" w:rsidR="00F51BA7" w:rsidRDefault="00F51BA7" w:rsidP="00F51BA7">
      <w:pPr>
        <w:pStyle w:val="Bullet1"/>
      </w:pPr>
      <w:r>
        <w:lastRenderedPageBreak/>
        <w:t>New relationships which develop quickly into significant opportunities.</w:t>
      </w:r>
    </w:p>
    <w:p w14:paraId="0A14DBC7" w14:textId="77777777" w:rsidR="00F51BA7" w:rsidRDefault="00F51BA7" w:rsidP="00F51BA7">
      <w:pPr>
        <w:pStyle w:val="Bullet1"/>
      </w:pPr>
      <w:r>
        <w:t>People asking questions about other lines of activity unrelated to the primary project or research.</w:t>
      </w:r>
    </w:p>
    <w:p w14:paraId="5D402241" w14:textId="77777777" w:rsidR="00F51BA7" w:rsidRDefault="00F51BA7" w:rsidP="00F51BA7">
      <w:pPr>
        <w:pStyle w:val="Bullet1"/>
      </w:pPr>
      <w:r>
        <w:t xml:space="preserve">People exhibiting an unusual interest in specific technical </w:t>
      </w:r>
      <w:bookmarkStart w:id="26" w:name="_Int_bWrl4oca"/>
      <w:r>
        <w:t>know-how</w:t>
      </w:r>
      <w:bookmarkEnd w:id="26"/>
      <w:r>
        <w:t>, the application of technologies, or cultivating relationships with staff.</w:t>
      </w:r>
    </w:p>
    <w:p w14:paraId="006F03F7" w14:textId="71F70EA5" w:rsidR="00F51BA7" w:rsidRDefault="00F51BA7" w:rsidP="00F51BA7">
      <w:pPr>
        <w:pStyle w:val="Bullet1"/>
      </w:pPr>
      <w:r>
        <w:t xml:space="preserve">Attempts to access sensitive or secure areas, offers of free ICT equipment to connect to the CRC Program participant’s network, or offers to host the network or data on foreign-owned systems. Check the </w:t>
      </w:r>
      <w:hyperlink r:id="rId13">
        <w:r w:rsidRPr="0289B16E">
          <w:rPr>
            <w:rStyle w:val="Hyperlink"/>
          </w:rPr>
          <w:t>Australian Government’s Information Security Manual</w:t>
        </w:r>
      </w:hyperlink>
      <w:r>
        <w:t xml:space="preserve"> (ISM) for further advice.</w:t>
      </w:r>
    </w:p>
    <w:p w14:paraId="3DF7C0DF" w14:textId="77777777" w:rsidR="00F51BA7" w:rsidRPr="000F2C19" w:rsidRDefault="00F51BA7" w:rsidP="004D44E3">
      <w:pPr>
        <w:pStyle w:val="Heading2"/>
      </w:pPr>
      <w:bookmarkStart w:id="27" w:name="_Toc187753711"/>
      <w:bookmarkStart w:id="28" w:name="_Toc187753759"/>
      <w:bookmarkStart w:id="29" w:name="_Toc187778211"/>
      <w:r w:rsidRPr="000F2C19">
        <w:t>Developing a security plan</w:t>
      </w:r>
      <w:bookmarkEnd w:id="27"/>
      <w:bookmarkEnd w:id="28"/>
      <w:bookmarkEnd w:id="29"/>
      <w:r w:rsidRPr="000F2C19">
        <w:t xml:space="preserve"> </w:t>
      </w:r>
    </w:p>
    <w:p w14:paraId="64AEEFF2" w14:textId="77777777" w:rsidR="00F51BA7" w:rsidRDefault="00F51BA7" w:rsidP="00F51BA7">
      <w:r>
        <w:t>When developing a security plan, it may be helpful to consider the questions below.</w:t>
      </w:r>
    </w:p>
    <w:p w14:paraId="2638006A" w14:textId="1062BD29" w:rsidR="00F51BA7" w:rsidRDefault="001D042D" w:rsidP="004D44E3">
      <w:pPr>
        <w:pStyle w:val="Heading3"/>
      </w:pPr>
      <w:bookmarkStart w:id="30" w:name="_Toc187753760"/>
      <w:r>
        <w:t xml:space="preserve">1. </w:t>
      </w:r>
      <w:r w:rsidR="00F51BA7">
        <w:t>For your CRC Program partners, key personnel and researchers:</w:t>
      </w:r>
      <w:bookmarkEnd w:id="30"/>
    </w:p>
    <w:p w14:paraId="4D74B2C1" w14:textId="69CABDA8" w:rsidR="00F51BA7" w:rsidRDefault="00F51BA7" w:rsidP="00F51BA7">
      <w:pPr>
        <w:pStyle w:val="Bullet1"/>
      </w:pPr>
      <w:r>
        <w:t xml:space="preserve">Have you undertaken appropriate due diligence? </w:t>
      </w:r>
      <w:r w:rsidR="0472A82D">
        <w:t>The Australian Security Intelligence Agency (ASIO) Due Diligence Integrity Tool</w:t>
      </w:r>
      <w:r>
        <w:t xml:space="preserve"> was developed as guidance for Australian institutions which are considering engaging with foreign entities. The tool provides a framework to consider some of the security risks associated with foreign collaboration. Please contact the ASIO Outreach Team at outreach@asio.gov.au for a copy of the ASIO Due Diligence Integrity Tool.</w:t>
      </w:r>
    </w:p>
    <w:p w14:paraId="10FA8490" w14:textId="77777777" w:rsidR="00F51BA7" w:rsidRDefault="00F51BA7" w:rsidP="00F51BA7">
      <w:pPr>
        <w:pStyle w:val="Bullet1"/>
      </w:pPr>
      <w:r>
        <w:t>Is their interest in the CRC Program aligned to their stated business or research activities?</w:t>
      </w:r>
    </w:p>
    <w:p w14:paraId="75BC31BF" w14:textId="77777777" w:rsidR="00F51BA7" w:rsidRDefault="00F51BA7" w:rsidP="00F51BA7">
      <w:pPr>
        <w:pStyle w:val="Bullet1"/>
      </w:pPr>
      <w:r>
        <w:t>Can others in the industry sector provide insight into their background or credentials?</w:t>
      </w:r>
    </w:p>
    <w:p w14:paraId="4FCD5762" w14:textId="77777777" w:rsidR="00F51BA7" w:rsidRDefault="00F51BA7" w:rsidP="00F51BA7">
      <w:pPr>
        <w:pStyle w:val="Bullet1"/>
      </w:pPr>
      <w:r>
        <w:t>Do you know who they work for or represent?</w:t>
      </w:r>
    </w:p>
    <w:p w14:paraId="139E3321" w14:textId="77777777" w:rsidR="00F51BA7" w:rsidRDefault="00F51BA7" w:rsidP="00F51BA7">
      <w:pPr>
        <w:pStyle w:val="Bullet1"/>
      </w:pPr>
      <w:r>
        <w:t xml:space="preserve">Are they receiving any foreign financial support for research or other activities? </w:t>
      </w:r>
    </w:p>
    <w:p w14:paraId="371C3B60" w14:textId="77777777" w:rsidR="00F51BA7" w:rsidRDefault="00F51BA7" w:rsidP="00F51BA7">
      <w:pPr>
        <w:pStyle w:val="Bullet1"/>
      </w:pPr>
      <w:r>
        <w:t xml:space="preserve">Are they currently, or have they previously been, associated or affiliated with a foreign sponsored talent-recruitment program, foreign government, foreign political party, foreign state-owned enterprise, foreign </w:t>
      </w:r>
      <w:bookmarkStart w:id="31" w:name="_Int_kOJGsUDE"/>
      <w:r>
        <w:t>military</w:t>
      </w:r>
      <w:bookmarkEnd w:id="31"/>
      <w:r>
        <w:t xml:space="preserve"> or foreign policy organisation?</w:t>
      </w:r>
    </w:p>
    <w:p w14:paraId="511EA92A" w14:textId="77777777" w:rsidR="00F51BA7" w:rsidRDefault="00F51BA7" w:rsidP="00F51BA7">
      <w:pPr>
        <w:pStyle w:val="Bullet1"/>
      </w:pPr>
      <w:r>
        <w:t>Do they work to Australian and global moral and legal standards? Are they subject to any Australian or international sanctions?</w:t>
      </w:r>
    </w:p>
    <w:p w14:paraId="204CA18D" w14:textId="5F41DF0D" w:rsidR="00F51BA7" w:rsidRDefault="001D042D" w:rsidP="004D44E3">
      <w:pPr>
        <w:pStyle w:val="Heading3"/>
      </w:pPr>
      <w:bookmarkStart w:id="32" w:name="_Toc187753761"/>
      <w:r>
        <w:t xml:space="preserve">2. </w:t>
      </w:r>
      <w:r w:rsidR="00F51BA7">
        <w:t xml:space="preserve">For your research, </w:t>
      </w:r>
      <w:bookmarkStart w:id="33" w:name="_Int_Rd4KlXGN"/>
      <w:r w:rsidR="00F51BA7">
        <w:t>technology</w:t>
      </w:r>
      <w:bookmarkEnd w:id="33"/>
      <w:r w:rsidR="00F51BA7">
        <w:t xml:space="preserve"> and knowledge:</w:t>
      </w:r>
      <w:bookmarkEnd w:id="32"/>
    </w:p>
    <w:p w14:paraId="36DE6A47" w14:textId="77777777" w:rsidR="00F51BA7" w:rsidRDefault="00F51BA7" w:rsidP="00F51BA7">
      <w:pPr>
        <w:pStyle w:val="Bullet1"/>
      </w:pPr>
      <w:r>
        <w:t xml:space="preserve">What are the potential benefits of your research, </w:t>
      </w:r>
      <w:bookmarkStart w:id="34" w:name="_Int_KOuVtRoy"/>
      <w:r>
        <w:t>technology</w:t>
      </w:r>
      <w:bookmarkEnd w:id="34"/>
      <w:r>
        <w:t xml:space="preserve"> or knowledge?</w:t>
      </w:r>
    </w:p>
    <w:p w14:paraId="0D9FE749" w14:textId="77777777" w:rsidR="00F51BA7" w:rsidRDefault="00F51BA7" w:rsidP="00F51BA7">
      <w:pPr>
        <w:pStyle w:val="Bullet1"/>
      </w:pPr>
      <w:r>
        <w:t xml:space="preserve">How could others use or apply your research, </w:t>
      </w:r>
      <w:bookmarkStart w:id="35" w:name="_Int_446K7BiA"/>
      <w:r>
        <w:t>technology</w:t>
      </w:r>
      <w:bookmarkEnd w:id="35"/>
      <w:r>
        <w:t xml:space="preserve"> or knowledge? </w:t>
      </w:r>
    </w:p>
    <w:p w14:paraId="4A78858E" w14:textId="77777777" w:rsidR="00F51BA7" w:rsidRDefault="00F51BA7" w:rsidP="00F51BA7">
      <w:pPr>
        <w:pStyle w:val="Bullet1"/>
      </w:pPr>
      <w:r>
        <w:t xml:space="preserve">Does your research, </w:t>
      </w:r>
      <w:bookmarkStart w:id="36" w:name="_Int_xSQVNcUj"/>
      <w:r>
        <w:t>technology</w:t>
      </w:r>
      <w:bookmarkEnd w:id="36"/>
      <w:r>
        <w:t xml:space="preserve"> or knowledge:</w:t>
      </w:r>
    </w:p>
    <w:p w14:paraId="0CA86E9B" w14:textId="77777777" w:rsidR="00F51BA7" w:rsidRDefault="00F51BA7" w:rsidP="00F51BA7">
      <w:pPr>
        <w:pStyle w:val="Bullet2"/>
      </w:pPr>
      <w:r>
        <w:t>fall under export control regimes?</w:t>
      </w:r>
    </w:p>
    <w:p w14:paraId="34A7F7DE" w14:textId="77777777" w:rsidR="00F51BA7" w:rsidRDefault="00F51BA7" w:rsidP="00F51BA7">
      <w:pPr>
        <w:pStyle w:val="Bullet2"/>
      </w:pPr>
      <w:r>
        <w:t>have dual-use potential?</w:t>
      </w:r>
    </w:p>
    <w:p w14:paraId="2ADCC509" w14:textId="5D3D0D3A" w:rsidR="00F51BA7" w:rsidRDefault="001D042D" w:rsidP="004D44E3">
      <w:pPr>
        <w:pStyle w:val="Heading3"/>
      </w:pPr>
      <w:bookmarkStart w:id="37" w:name="_Toc187753762"/>
      <w:r>
        <w:t xml:space="preserve">3. </w:t>
      </w:r>
      <w:r w:rsidR="00F51BA7">
        <w:t>For the appropriateness of identified risk mitigation controls:</w:t>
      </w:r>
      <w:bookmarkEnd w:id="37"/>
    </w:p>
    <w:p w14:paraId="727FA563" w14:textId="77777777" w:rsidR="00F51BA7" w:rsidRDefault="00F51BA7" w:rsidP="00F51BA7">
      <w:pPr>
        <w:pStyle w:val="Bullet1"/>
      </w:pPr>
      <w:r>
        <w:t>Will the controls and respective implementation strategies effectively minimise the risks? How could you improve the controls?</w:t>
      </w:r>
    </w:p>
    <w:p w14:paraId="25F8ACDF" w14:textId="77777777" w:rsidR="00F51BA7" w:rsidRDefault="00F51BA7" w:rsidP="00F51BA7">
      <w:pPr>
        <w:pStyle w:val="Bullet1"/>
      </w:pPr>
      <w:r>
        <w:lastRenderedPageBreak/>
        <w:t>Are the controls comparatively efficient and cost-effective?</w:t>
      </w:r>
    </w:p>
    <w:p w14:paraId="500C9BB0" w14:textId="77777777" w:rsidR="00F51BA7" w:rsidRDefault="00F51BA7" w:rsidP="00F51BA7">
      <w:pPr>
        <w:pStyle w:val="Bullet1"/>
      </w:pPr>
      <w:r>
        <w:t>Are the controls proportionate with the identified risks?</w:t>
      </w:r>
    </w:p>
    <w:p w14:paraId="0EBD7D04" w14:textId="77777777" w:rsidR="00F51BA7" w:rsidRDefault="00F51BA7" w:rsidP="00F51BA7">
      <w:pPr>
        <w:pStyle w:val="Bullet1"/>
      </w:pPr>
      <w:r>
        <w:t xml:space="preserve">Do the controls comply with policy requirements, legal </w:t>
      </w:r>
      <w:bookmarkStart w:id="38" w:name="_Int_K0mF0Cvi"/>
      <w:r>
        <w:t>obligations</w:t>
      </w:r>
      <w:bookmarkEnd w:id="38"/>
      <w:r>
        <w:t xml:space="preserve"> and internal operational procedures?</w:t>
      </w:r>
    </w:p>
    <w:p w14:paraId="1671C046" w14:textId="77777777" w:rsidR="00F51BA7" w:rsidRDefault="00F51BA7" w:rsidP="00F51BA7">
      <w:pPr>
        <w:pStyle w:val="Bullet1"/>
      </w:pPr>
      <w:r>
        <w:t>How frequently will you test or review the protective security arrangements and risk management processes?</w:t>
      </w:r>
    </w:p>
    <w:p w14:paraId="24E9EB4A" w14:textId="77777777" w:rsidR="00F51BA7" w:rsidRPr="004D44E3" w:rsidRDefault="00F51BA7" w:rsidP="004D44E3">
      <w:pPr>
        <w:pStyle w:val="Heading2"/>
        <w:rPr>
          <w:iCs/>
        </w:rPr>
      </w:pPr>
      <w:bookmarkStart w:id="39" w:name="_Toc187753712"/>
      <w:bookmarkStart w:id="40" w:name="_Toc187753763"/>
      <w:bookmarkStart w:id="41" w:name="_Toc187778212"/>
      <w:r w:rsidRPr="004D44E3">
        <w:t>Getting further assistance</w:t>
      </w:r>
      <w:bookmarkEnd w:id="39"/>
      <w:bookmarkEnd w:id="40"/>
      <w:bookmarkEnd w:id="41"/>
    </w:p>
    <w:p w14:paraId="3CF42FA7" w14:textId="0D2A709E" w:rsidR="00F51BA7" w:rsidRDefault="00F51BA7" w:rsidP="00F51BA7">
      <w:r>
        <w:t xml:space="preserve">There are a range of resources available to help better understand national security issues which may apply to businesses and organisations. You can consult the </w:t>
      </w:r>
      <w:hyperlink r:id="rId14" w:history="1">
        <w:r w:rsidRPr="004B666D">
          <w:rPr>
            <w:rStyle w:val="Hyperlink"/>
          </w:rPr>
          <w:t>Australian Government’s Protective Security Policy Framework</w:t>
        </w:r>
      </w:hyperlink>
      <w:r>
        <w:t xml:space="preserve"> and </w:t>
      </w:r>
      <w:hyperlink r:id="rId15" w:history="1">
        <w:r w:rsidRPr="0021086C">
          <w:rPr>
            <w:rStyle w:val="Hyperlink"/>
          </w:rPr>
          <w:t>Information Security Manual</w:t>
        </w:r>
      </w:hyperlink>
      <w:r>
        <w:t>.</w:t>
      </w:r>
      <w:r w:rsidR="00C3273D">
        <w:t xml:space="preserve"> </w:t>
      </w:r>
    </w:p>
    <w:p w14:paraId="7ED4F53A" w14:textId="77777777" w:rsidR="00F51BA7" w:rsidRDefault="00F51BA7" w:rsidP="00F51BA7">
      <w:r>
        <w:t>You can also:</w:t>
      </w:r>
    </w:p>
    <w:p w14:paraId="13680342" w14:textId="456CE220" w:rsidR="00CF3C65" w:rsidRDefault="00F51BA7" w:rsidP="00CF3C65">
      <w:pPr>
        <w:pStyle w:val="Bullet1"/>
      </w:pPr>
      <w:r>
        <w:t xml:space="preserve">Subscribe to the </w:t>
      </w:r>
      <w:hyperlink r:id="rId16" w:history="1">
        <w:r w:rsidRPr="0021086C">
          <w:rPr>
            <w:rStyle w:val="Hyperlink"/>
          </w:rPr>
          <w:t>ASIO Outreach Service</w:t>
        </w:r>
      </w:hyperlink>
      <w:r>
        <w:t xml:space="preserve"> to access protective security advice and assessments.</w:t>
      </w:r>
      <w:r w:rsidR="00F61E3F">
        <w:t xml:space="preserve"> Resources include:</w:t>
      </w:r>
    </w:p>
    <w:p w14:paraId="208C3B21" w14:textId="77777777" w:rsidR="00F61E3F" w:rsidRDefault="00F61E3F" w:rsidP="00F61E3F">
      <w:pPr>
        <w:pStyle w:val="Bullet2"/>
      </w:pPr>
      <w:r w:rsidRPr="6E841BE8">
        <w:rPr>
          <w:b/>
          <w:bCs/>
        </w:rPr>
        <w:t xml:space="preserve">Protect your research, collaborate with care </w:t>
      </w:r>
      <w:r w:rsidRPr="6E841BE8">
        <w:t>– a campaign to protect the research and higher education sector from espionage and foreign interference. This includes guidance on how to manage foreign delegations.</w:t>
      </w:r>
    </w:p>
    <w:p w14:paraId="3EC51CDB" w14:textId="77777777" w:rsidR="00F61E3F" w:rsidRDefault="00F61E3F" w:rsidP="00F61E3F">
      <w:pPr>
        <w:pStyle w:val="Bullet2"/>
        <w:rPr>
          <w:b/>
          <w:bCs/>
        </w:rPr>
      </w:pPr>
      <w:r w:rsidRPr="2397FE8F">
        <w:rPr>
          <w:b/>
          <w:bCs/>
        </w:rPr>
        <w:t xml:space="preserve">Secure your success </w:t>
      </w:r>
      <w:r w:rsidRPr="2397FE8F">
        <w:t>– a campaign on securing technology, research and expertise.</w:t>
      </w:r>
    </w:p>
    <w:p w14:paraId="2AF0DC6B" w14:textId="77777777" w:rsidR="00F61E3F" w:rsidRDefault="00F61E3F" w:rsidP="00F61E3F">
      <w:pPr>
        <w:pStyle w:val="Bullet2"/>
        <w:rPr>
          <w:b/>
          <w:bCs/>
        </w:rPr>
      </w:pPr>
      <w:r w:rsidRPr="2397FE8F">
        <w:rPr>
          <w:b/>
          <w:bCs/>
        </w:rPr>
        <w:t xml:space="preserve">Managing the espionage and foreign interference threat while travelling overseas </w:t>
      </w:r>
      <w:r w:rsidRPr="2397FE8F">
        <w:t>– best practice for what to do before, during and after overseas travel to protect yourself and the interests of your business or institution.</w:t>
      </w:r>
    </w:p>
    <w:p w14:paraId="7544CD0F" w14:textId="77777777" w:rsidR="00F61E3F" w:rsidRDefault="00F61E3F" w:rsidP="00F61E3F">
      <w:pPr>
        <w:pStyle w:val="Bullet2"/>
      </w:pPr>
      <w:r w:rsidRPr="54B91273">
        <w:rPr>
          <w:b/>
          <w:bCs/>
        </w:rPr>
        <w:t>Countering the Insider Threat –</w:t>
      </w:r>
      <w:r w:rsidRPr="54B91273">
        <w:t xml:space="preserve"> </w:t>
      </w:r>
      <w:r w:rsidRPr="54B91273">
        <w:rPr>
          <w:b/>
          <w:bCs/>
        </w:rPr>
        <w:t xml:space="preserve">a security manager's guide </w:t>
      </w:r>
      <w:r w:rsidRPr="54B91273">
        <w:t>– guidance on how to create and administer an insider threat program to protect yourself against a bad faith actor inside your business or institution.</w:t>
      </w:r>
    </w:p>
    <w:p w14:paraId="6B7BB0A2" w14:textId="325CECF0" w:rsidR="00F61E3F" w:rsidRPr="000D26DF" w:rsidRDefault="00F61E3F" w:rsidP="00F61E3F">
      <w:pPr>
        <w:pStyle w:val="Bullet2"/>
        <w:rPr>
          <w:b/>
          <w:bCs/>
        </w:rPr>
      </w:pPr>
      <w:r w:rsidRPr="000D26DF">
        <w:rPr>
          <w:b/>
          <w:bCs/>
        </w:rPr>
        <w:t>Security Treatment Advice for Managing Procurement.</w:t>
      </w:r>
    </w:p>
    <w:p w14:paraId="03341E2F" w14:textId="77777777" w:rsidR="00F61E3F" w:rsidRPr="002F6D88" w:rsidRDefault="00F61E3F" w:rsidP="00F61E3F">
      <w:pPr>
        <w:pStyle w:val="Bullet2"/>
        <w:rPr>
          <w:b/>
          <w:bCs/>
        </w:rPr>
      </w:pPr>
      <w:r w:rsidRPr="39F2CA8B">
        <w:rPr>
          <w:b/>
          <w:bCs/>
        </w:rPr>
        <w:t xml:space="preserve">The ASIO Due Diligence Integrity Tool (ADDIT) </w:t>
      </w:r>
      <w:r w:rsidRPr="39F2CA8B">
        <w:t>– high-level guidance for conducting due diligence checks before you engage with a foreign entity.</w:t>
      </w:r>
    </w:p>
    <w:p w14:paraId="305B6DAA" w14:textId="552D8E16" w:rsidR="00CC18F5" w:rsidRDefault="00C44A41" w:rsidP="00CF3C65">
      <w:pPr>
        <w:pStyle w:val="Bullet1"/>
      </w:pPr>
      <w:hyperlink r:id="rId17" w:history="1">
        <w:r w:rsidR="00F51BA7" w:rsidRPr="0021086C">
          <w:rPr>
            <w:rStyle w:val="Hyperlink"/>
          </w:rPr>
          <w:t>Contact the Australian Cyber Security Centre</w:t>
        </w:r>
      </w:hyperlink>
      <w:r w:rsidR="00F51BA7" w:rsidRPr="00CF3C65">
        <w:rPr>
          <w:rStyle w:val="Hyperlink"/>
        </w:rPr>
        <w:t xml:space="preserve"> </w:t>
      </w:r>
      <w:r w:rsidR="00F51BA7">
        <w:t>for cyber security advice by calling 1300 CYBER1 (1300 292 371).</w:t>
      </w:r>
      <w:r w:rsidR="00CF3C65">
        <w:t xml:space="preserve"> </w:t>
      </w:r>
      <w:r w:rsidR="008F1730">
        <w:t xml:space="preserve">There is also </w:t>
      </w:r>
      <w:r w:rsidR="002C1667">
        <w:t xml:space="preserve">information </w:t>
      </w:r>
      <w:r w:rsidR="00BF1AF2">
        <w:t xml:space="preserve">on </w:t>
      </w:r>
      <w:r w:rsidR="00FC4C01">
        <w:t xml:space="preserve">the </w:t>
      </w:r>
      <w:hyperlink r:id="rId18" w:history="1">
        <w:r w:rsidR="00174970" w:rsidRPr="00906297">
          <w:rPr>
            <w:rStyle w:val="Hyperlink"/>
          </w:rPr>
          <w:t>Essential</w:t>
        </w:r>
        <w:r w:rsidR="00FC4C01" w:rsidRPr="00906297">
          <w:rPr>
            <w:rStyle w:val="Hyperlink"/>
          </w:rPr>
          <w:t xml:space="preserve"> Eight</w:t>
        </w:r>
      </w:hyperlink>
      <w:r w:rsidR="00FC4C01">
        <w:t xml:space="preserve"> – mitigation </w:t>
      </w:r>
      <w:r w:rsidR="00174970">
        <w:t>strategies</w:t>
      </w:r>
      <w:r w:rsidR="00FC4C01">
        <w:t xml:space="preserve"> to </w:t>
      </w:r>
      <w:r w:rsidR="00174970">
        <w:t>protect against cyber threats.</w:t>
      </w:r>
    </w:p>
    <w:p w14:paraId="4697A1AC" w14:textId="59A880A0" w:rsidR="00F51BA7" w:rsidRDefault="00F51BA7" w:rsidP="00CF3C65">
      <w:pPr>
        <w:pStyle w:val="Bullet1"/>
      </w:pPr>
      <w:r>
        <w:t xml:space="preserve">Visit the </w:t>
      </w:r>
      <w:hyperlink r:id="rId19" w:history="1">
        <w:r w:rsidRPr="0021086C">
          <w:rPr>
            <w:rStyle w:val="Hyperlink"/>
          </w:rPr>
          <w:t>Department of Home Affairs’ Countering foreign interference web</w:t>
        </w:r>
        <w:r>
          <w:rPr>
            <w:rStyle w:val="Hyperlink"/>
          </w:rPr>
          <w:t>pag</w:t>
        </w:r>
        <w:r w:rsidRPr="0021086C">
          <w:rPr>
            <w:rStyle w:val="Hyperlink"/>
          </w:rPr>
          <w:t>e</w:t>
        </w:r>
      </w:hyperlink>
      <w:r>
        <w:t>.</w:t>
      </w:r>
    </w:p>
    <w:p w14:paraId="0B5D69D3" w14:textId="20AE2E9F" w:rsidR="00EB71EA" w:rsidRDefault="00A60624" w:rsidP="00F51BA7">
      <w:pPr>
        <w:pStyle w:val="Bullet1"/>
      </w:pPr>
      <w:r>
        <w:t>Visit the</w:t>
      </w:r>
      <w:r w:rsidR="00C60A2F">
        <w:t xml:space="preserve"> </w:t>
      </w:r>
      <w:r w:rsidR="00C60A2F" w:rsidRPr="00EB71EA">
        <w:t>Department of Foreign Affairs and Trade's</w:t>
      </w:r>
      <w:r w:rsidR="0024380B">
        <w:t xml:space="preserve"> website for information </w:t>
      </w:r>
      <w:r w:rsidR="00FF0BA6">
        <w:t xml:space="preserve">on the </w:t>
      </w:r>
      <w:r w:rsidR="00C60A2F" w:rsidRPr="00EB71EA">
        <w:t> </w:t>
      </w:r>
      <w:hyperlink r:id="rId20" w:tgtFrame="_blank" w:history="1">
        <w:r w:rsidR="00C60A2F" w:rsidRPr="00EB71EA">
          <w:rPr>
            <w:rStyle w:val="Hyperlink"/>
          </w:rPr>
          <w:t>Sanctions Regimes</w:t>
        </w:r>
      </w:hyperlink>
      <w:r w:rsidR="00C60A2F" w:rsidRPr="00EB71EA">
        <w:t> and </w:t>
      </w:r>
      <w:r w:rsidR="00DC446C">
        <w:t xml:space="preserve"> </w:t>
      </w:r>
      <w:hyperlink r:id="rId21" w:tgtFrame="_blank" w:history="1">
        <w:r w:rsidR="00C60A2F" w:rsidRPr="00EB71EA">
          <w:rPr>
            <w:rStyle w:val="Hyperlink"/>
          </w:rPr>
          <w:t>Consolidated List</w:t>
        </w:r>
      </w:hyperlink>
      <w:r w:rsidR="00EB71EA" w:rsidRPr="00EB71EA">
        <w:t>.</w:t>
      </w:r>
    </w:p>
    <w:p w14:paraId="30A059DD" w14:textId="73438EE5" w:rsidR="008B35FE" w:rsidRDefault="006C1437" w:rsidP="00F51BA7">
      <w:pPr>
        <w:pStyle w:val="Bullet1"/>
      </w:pPr>
      <w:r>
        <w:t>R</w:t>
      </w:r>
      <w:r w:rsidR="00F51BA7">
        <w:t xml:space="preserve">eview the </w:t>
      </w:r>
      <w:hyperlink r:id="rId22" w:history="1">
        <w:r w:rsidR="00F51BA7" w:rsidRPr="6E841BE8">
          <w:rPr>
            <w:rStyle w:val="Hyperlink"/>
          </w:rPr>
          <w:t xml:space="preserve">department’s </w:t>
        </w:r>
        <w:r w:rsidR="00EC74EF" w:rsidRPr="6E841BE8">
          <w:rPr>
            <w:rStyle w:val="Hyperlink"/>
          </w:rPr>
          <w:t>guidance</w:t>
        </w:r>
        <w:r w:rsidR="00F51BA7" w:rsidRPr="6E841BE8">
          <w:rPr>
            <w:rStyle w:val="Hyperlink"/>
          </w:rPr>
          <w:t xml:space="preserve"> on undertaking international collaboration</w:t>
        </w:r>
      </w:hyperlink>
      <w:r>
        <w:t xml:space="preserve"> to assist with managing security risks</w:t>
      </w:r>
      <w:r w:rsidR="00E30420">
        <w:t>.</w:t>
      </w:r>
    </w:p>
    <w:p w14:paraId="42222D35" w14:textId="634BC10F" w:rsidR="00F51BA7" w:rsidRDefault="00C82A34" w:rsidP="00F51BA7">
      <w:pPr>
        <w:pStyle w:val="Bullet1"/>
      </w:pPr>
      <w:r>
        <w:t xml:space="preserve">Review </w:t>
      </w:r>
      <w:r w:rsidR="00F51BA7">
        <w:t xml:space="preserve">the </w:t>
      </w:r>
      <w:hyperlink r:id="rId23">
        <w:r w:rsidR="00F51BA7" w:rsidRPr="6E841BE8">
          <w:rPr>
            <w:rStyle w:val="Hyperlink"/>
          </w:rPr>
          <w:t>Guidelines to counter foreign interference in the Australian university sector</w:t>
        </w:r>
      </w:hyperlink>
      <w:r w:rsidR="00F51BA7">
        <w:t xml:space="preserve"> developed by the University Foreign Interference Taskforce (UFIT).  Although focused on the university sector, many objectives and best practice considerations in the UFIT guidelines are applicable to other research institutions and businesses.</w:t>
      </w:r>
      <w:bookmarkEnd w:id="6"/>
      <w:bookmarkEnd w:id="7"/>
    </w:p>
    <w:p w14:paraId="0E2C494F" w14:textId="04411982" w:rsidR="00287E75" w:rsidRPr="00A55860" w:rsidRDefault="00F056B0" w:rsidP="00A55860">
      <w:pPr>
        <w:pStyle w:val="Bullet1"/>
        <w:spacing w:before="0" w:after="0"/>
        <w:rPr>
          <w:b/>
          <w:bCs/>
        </w:rPr>
      </w:pPr>
      <w:r>
        <w:t xml:space="preserve">Consider the </w:t>
      </w:r>
      <w:r w:rsidR="00533A5E" w:rsidRPr="00533A5E">
        <w:t>guidance on research security</w:t>
      </w:r>
      <w:r w:rsidR="00151408">
        <w:t xml:space="preserve"> developed by </w:t>
      </w:r>
      <w:r w:rsidR="00533A5E" w:rsidRPr="00533A5E">
        <w:t>the</w:t>
      </w:r>
      <w:r w:rsidR="00A55860">
        <w:t xml:space="preserve"> </w:t>
      </w:r>
      <w:hyperlink r:id="rId24">
        <w:r w:rsidR="00D460A0">
          <w:rPr>
            <w:rStyle w:val="Hyperlink"/>
          </w:rPr>
          <w:t>Australian Research Council</w:t>
        </w:r>
      </w:hyperlink>
      <w:r w:rsidR="00A55860" w:rsidRPr="00A55860">
        <w:rPr>
          <w:rStyle w:val="Hyperlink"/>
        </w:rPr>
        <w:t>.</w:t>
      </w:r>
    </w:p>
    <w:p w14:paraId="62BE4C18" w14:textId="5D8990B2" w:rsidR="6E841BE8" w:rsidRDefault="6E841BE8" w:rsidP="6E841BE8">
      <w:pPr>
        <w:spacing w:before="0" w:after="0"/>
        <w:rPr>
          <w:rFonts w:ascii="Segoe UI" w:eastAsia="Segoe UI" w:hAnsi="Segoe UI" w:cs="Segoe UI"/>
          <w:color w:val="333333"/>
          <w:sz w:val="18"/>
          <w:szCs w:val="18"/>
        </w:rPr>
      </w:pPr>
    </w:p>
    <w:sectPr w:rsidR="6E841BE8" w:rsidSect="004A7856">
      <w:headerReference w:type="default" r:id="rId25"/>
      <w:footerReference w:type="default" r:id="rId26"/>
      <w:headerReference w:type="first" r:id="rId27"/>
      <w:footerReference w:type="first" r:id="rId28"/>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A679" w14:textId="77777777" w:rsidR="00BC0BAA" w:rsidRDefault="00BC0BAA" w:rsidP="00B251DB">
      <w:pPr>
        <w:spacing w:after="0"/>
      </w:pPr>
      <w:r>
        <w:separator/>
      </w:r>
    </w:p>
  </w:endnote>
  <w:endnote w:type="continuationSeparator" w:id="0">
    <w:p w14:paraId="10A2FB68" w14:textId="77777777" w:rsidR="00BC0BAA" w:rsidRDefault="00BC0BAA" w:rsidP="00B251DB">
      <w:pPr>
        <w:spacing w:after="0"/>
      </w:pPr>
      <w:r>
        <w:continuationSeparator/>
      </w:r>
    </w:p>
  </w:endnote>
  <w:endnote w:type="continuationNotice" w:id="1">
    <w:p w14:paraId="521FAF20" w14:textId="77777777" w:rsidR="00BC0BAA" w:rsidRDefault="00BC0B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1E0" w14:textId="363FF50A" w:rsidR="0035140F" w:rsidRDefault="00C44A41" w:rsidP="3CA8898B">
    <w:pPr>
      <w:pStyle w:val="Footer"/>
    </w:pPr>
    <w:sdt>
      <w:sdtPr>
        <w:rPr>
          <w:color w:val="0E2444" w:themeColor="accent1"/>
        </w:rPr>
        <w:alias w:val="Title"/>
        <w:tag w:val=""/>
        <w:id w:val="-1005120900"/>
        <w:placeholder>
          <w:docPart w:val="7CD2A8617FA3435FAAC50F24517A609B"/>
        </w:placeholder>
        <w:dataBinding w:prefixMappings="xmlns:ns0='http://purl.org/dc/elements/1.1/' xmlns:ns1='http://schemas.openxmlformats.org/package/2006/metadata/core-properties' " w:xpath="/ns1:coreProperties[1]/ns0:title[1]" w:storeItemID="{6C3C8BC8-F283-45AE-878A-BAB7291924A1}"/>
        <w:text/>
      </w:sdtPr>
      <w:sdtEndPr/>
      <w:sdtContent>
        <w:r w:rsidR="3CA8898B">
          <w:rPr>
            <w:color w:val="0E2444" w:themeColor="accent1"/>
          </w:rPr>
          <w:t>Guidelines on security in the CRC Program</w:t>
        </w:r>
      </w:sdtContent>
    </w:sdt>
  </w:p>
  <w:p w14:paraId="1EDCB28A" w14:textId="7ED6D97F" w:rsidR="00D27B99" w:rsidRPr="00DC06D4" w:rsidRDefault="3CA8898B" w:rsidP="1E234FC3">
    <w:pPr>
      <w:pStyle w:val="Footer"/>
      <w:tabs>
        <w:tab w:val="clear" w:pos="4513"/>
      </w:tabs>
      <w:spacing w:before="0"/>
      <w:rPr>
        <w:color w:val="0E2444" w:themeColor="accent1"/>
      </w:rPr>
    </w:pPr>
    <w:r w:rsidRPr="3CA8898B">
      <w:rPr>
        <w:b/>
        <w:bCs/>
        <w:color w:val="0F4F82" w:themeColor="accent4"/>
      </w:rPr>
      <w:t xml:space="preserve">| </w:t>
    </w:r>
    <w:r w:rsidRPr="3CA8898B">
      <w:rPr>
        <w:b/>
        <w:bCs/>
        <w:color w:val="0E2444" w:themeColor="accent1"/>
      </w:rPr>
      <w:t>business.</w:t>
    </w:r>
    <w:r w:rsidRPr="3CA8898B">
      <w:rPr>
        <w:b/>
        <w:bCs/>
        <w:noProof/>
        <w:color w:val="0E2444" w:themeColor="accent1"/>
      </w:rPr>
      <w:t xml:space="preserve"> </w:t>
    </w:r>
    <w:r w:rsidRPr="3CA8898B">
      <w:rPr>
        <w:color w:val="0E2444" w:themeColor="accent1"/>
      </w:rPr>
      <w:t>gov.au/crc</w:t>
    </w:r>
    <w:r w:rsidRPr="3CA8898B">
      <w:rPr>
        <w:b/>
        <w:bCs/>
        <w:color w:val="0F4F82" w:themeColor="accent4"/>
      </w:rPr>
      <w:t xml:space="preserve"> </w:t>
    </w:r>
  </w:p>
  <w:p w14:paraId="18014213" w14:textId="6BBA3073" w:rsidR="00D27B99" w:rsidRPr="00DC06D4" w:rsidRDefault="65DAD940">
    <w:pPr>
      <w:pStyle w:val="Footer"/>
      <w:tabs>
        <w:tab w:val="clear" w:pos="4513"/>
      </w:tabs>
      <w:spacing w:before="0"/>
      <w:rPr>
        <w:color w:val="0E2444" w:themeColor="accent1"/>
      </w:rPr>
    </w:pPr>
    <w:r w:rsidRPr="65DAD940">
      <w:rPr>
        <w:b/>
        <w:bCs/>
        <w:color w:val="0F4E81"/>
      </w:rPr>
      <w:t xml:space="preserve">| </w:t>
    </w:r>
    <w:r w:rsidRPr="65DAD940">
      <w:rPr>
        <w:b/>
        <w:bCs/>
        <w:color w:val="0E2343"/>
      </w:rPr>
      <w:t>business.</w:t>
    </w:r>
    <w:r w:rsidRPr="65DAD940">
      <w:rPr>
        <w:b/>
        <w:bCs/>
        <w:noProof/>
        <w:color w:val="0E2343"/>
      </w:rPr>
      <w:t xml:space="preserve"> </w:t>
    </w:r>
    <w:r w:rsidRPr="65DAD940">
      <w:rPr>
        <w:color w:val="0E2343"/>
      </w:rPr>
      <w:t xml:space="preserve">gov.au/crc-p                                                   </w:t>
    </w:r>
    <w:r w:rsidR="00DA6314">
      <w:tab/>
    </w:r>
    <w:sdt>
      <w:sdtPr>
        <w:id w:val="-1044901746"/>
        <w:docPartObj>
          <w:docPartGallery w:val="Page Numbers (Bottom of Page)"/>
          <w:docPartUnique/>
        </w:docPartObj>
      </w:sdtPr>
      <w:sdtEndPr/>
      <w:sdtContent>
        <w:r w:rsidRPr="65DAD940">
          <w:rPr>
            <w:color w:val="0E2343"/>
          </w:rPr>
          <w:t xml:space="preserve">   </w:t>
        </w:r>
        <w:r w:rsidR="00DA6314" w:rsidRPr="65DAD940">
          <w:rPr>
            <w:noProof/>
          </w:rPr>
          <w:fldChar w:fldCharType="begin"/>
        </w:r>
        <w:r w:rsidR="00DA6314">
          <w:instrText xml:space="preserve"> PAGE   \* MERGEFORMAT </w:instrText>
        </w:r>
        <w:r w:rsidR="00DA6314" w:rsidRPr="65DAD940">
          <w:fldChar w:fldCharType="separate"/>
        </w:r>
        <w:r w:rsidRPr="65DAD940">
          <w:rPr>
            <w:noProof/>
          </w:rPr>
          <w:t>7</w:t>
        </w:r>
        <w:r w:rsidR="00DA6314" w:rsidRPr="65DAD94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D32" w14:textId="277C157B" w:rsidR="007F1D57" w:rsidRDefault="00C44A41" w:rsidP="214FB198">
    <w:pPr>
      <w:pStyle w:val="Footer"/>
    </w:pPr>
    <w:sdt>
      <w:sdtPr>
        <w:rPr>
          <w:color w:val="0E2444" w:themeColor="accent1"/>
        </w:r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214FB198">
          <w:rPr>
            <w:color w:val="0E2444" w:themeColor="accent1"/>
          </w:rPr>
          <w:t>Guidelines on security in the CRC Program</w:t>
        </w:r>
      </w:sdtContent>
    </w:sdt>
  </w:p>
  <w:p w14:paraId="535B566F" w14:textId="77777777" w:rsidR="007F1D57" w:rsidRDefault="007F1D57" w:rsidP="007F1D57">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gov.au/crc</w:t>
    </w:r>
  </w:p>
  <w:p w14:paraId="720FB00C" w14:textId="06B26499" w:rsidR="007F1D57" w:rsidRPr="00DC06D4" w:rsidRDefault="46CB73FD" w:rsidP="46CB73FD">
    <w:pPr>
      <w:pStyle w:val="Footer"/>
      <w:tabs>
        <w:tab w:val="clear" w:pos="4513"/>
      </w:tabs>
      <w:spacing w:before="0"/>
      <w:rPr>
        <w:color w:val="0E2444" w:themeColor="accent1"/>
      </w:rPr>
    </w:pPr>
    <w:r w:rsidRPr="46CB73FD">
      <w:rPr>
        <w:b/>
        <w:bCs/>
        <w:color w:val="0F4E81"/>
      </w:rPr>
      <w:t xml:space="preserve">| </w:t>
    </w:r>
    <w:r w:rsidRPr="46CB73FD">
      <w:rPr>
        <w:b/>
        <w:bCs/>
        <w:color w:val="0E2343"/>
      </w:rPr>
      <w:t>business.</w:t>
    </w:r>
    <w:r w:rsidRPr="46CB73FD">
      <w:rPr>
        <w:b/>
        <w:bCs/>
        <w:noProof/>
        <w:color w:val="0E2343"/>
      </w:rPr>
      <w:t xml:space="preserve"> </w:t>
    </w:r>
    <w:r w:rsidRPr="46CB73FD">
      <w:rPr>
        <w:color w:val="0E2343"/>
      </w:rPr>
      <w:t xml:space="preserve">gov.au/crc-p                                                          </w:t>
    </w:r>
    <w:r w:rsidR="007F1D57">
      <w:tab/>
    </w:r>
    <w:sdt>
      <w:sdtPr>
        <w:id w:val="1655647692"/>
        <w:docPartObj>
          <w:docPartGallery w:val="Page Numbers (Bottom of Page)"/>
          <w:docPartUnique/>
        </w:docPartObj>
      </w:sdtPr>
      <w:sdtEndPr/>
      <w:sdtContent>
        <w:r w:rsidR="007F1D57">
          <w:fldChar w:fldCharType="begin"/>
        </w:r>
        <w:r w:rsidR="007F1D57">
          <w:instrText xml:space="preserve"> PAGE   \* MERGEFORMAT </w:instrText>
        </w:r>
        <w:r w:rsidR="007F1D57">
          <w:fldChar w:fldCharType="separate"/>
        </w:r>
        <w:r>
          <w:t>1</w:t>
        </w:r>
        <w:r w:rsidR="007F1D5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394E" w14:textId="77777777" w:rsidR="00BC0BAA" w:rsidRDefault="00BC0BAA" w:rsidP="00B251DB">
      <w:pPr>
        <w:spacing w:after="0"/>
      </w:pPr>
      <w:r>
        <w:separator/>
      </w:r>
    </w:p>
  </w:footnote>
  <w:footnote w:type="continuationSeparator" w:id="0">
    <w:p w14:paraId="107B36E7" w14:textId="77777777" w:rsidR="00BC0BAA" w:rsidRDefault="00BC0BAA" w:rsidP="00B251DB">
      <w:pPr>
        <w:spacing w:after="0"/>
      </w:pPr>
      <w:r>
        <w:continuationSeparator/>
      </w:r>
    </w:p>
  </w:footnote>
  <w:footnote w:type="continuationNotice" w:id="1">
    <w:p w14:paraId="34243966" w14:textId="77777777" w:rsidR="00BC0BAA" w:rsidRDefault="00BC0B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23B7" w14:textId="60A5D53B" w:rsidR="003A0E7F" w:rsidRPr="00960D98" w:rsidRDefault="003A0E7F" w:rsidP="00960D98">
    <w:pPr>
      <w:pStyle w:val="Footer"/>
      <w:jc w:val="center"/>
      <w:rPr>
        <w:b/>
        <w:color w:val="CC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EC0C" w14:textId="4C97F2AB" w:rsidR="009830D1" w:rsidRPr="00A16531" w:rsidRDefault="009830D1" w:rsidP="00A16531">
    <w:pPr>
      <w:pStyle w:val="Footer"/>
      <w:jc w:val="center"/>
      <w:rPr>
        <w:b/>
        <w:color w:val="CC0000"/>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CeqXYZf" int2:invalidationBookmarkName="" int2:hashCode="W0AJUYs3+pOMJC" int2:id="voERq77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8108A8"/>
    <w:multiLevelType w:val="hybridMultilevel"/>
    <w:tmpl w:val="9C60BC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22605387">
    <w:abstractNumId w:val="6"/>
  </w:num>
  <w:num w:numId="2" w16cid:durableId="648444589">
    <w:abstractNumId w:val="9"/>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8"/>
  </w:num>
  <w:num w:numId="9" w16cid:durableId="1919442051">
    <w:abstractNumId w:val="5"/>
  </w:num>
  <w:num w:numId="10" w16cid:durableId="1229802470">
    <w:abstractNumId w:val="10"/>
  </w:num>
  <w:num w:numId="11" w16cid:durableId="87965915">
    <w:abstractNumId w:val="7"/>
  </w:num>
  <w:num w:numId="12" w16cid:durableId="1995888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88"/>
    <w:rsid w:val="00003766"/>
    <w:rsid w:val="00013096"/>
    <w:rsid w:val="00024A79"/>
    <w:rsid w:val="00032995"/>
    <w:rsid w:val="00032B5C"/>
    <w:rsid w:val="00033541"/>
    <w:rsid w:val="00034867"/>
    <w:rsid w:val="00035268"/>
    <w:rsid w:val="00036B04"/>
    <w:rsid w:val="00043F36"/>
    <w:rsid w:val="000440EB"/>
    <w:rsid w:val="000552B3"/>
    <w:rsid w:val="0007067B"/>
    <w:rsid w:val="000772E4"/>
    <w:rsid w:val="0008167B"/>
    <w:rsid w:val="00081D07"/>
    <w:rsid w:val="00086629"/>
    <w:rsid w:val="0009055F"/>
    <w:rsid w:val="00090B5B"/>
    <w:rsid w:val="00090DDB"/>
    <w:rsid w:val="000A437C"/>
    <w:rsid w:val="000A6615"/>
    <w:rsid w:val="000A75CB"/>
    <w:rsid w:val="000B3125"/>
    <w:rsid w:val="000B6C60"/>
    <w:rsid w:val="000C3494"/>
    <w:rsid w:val="000D26DF"/>
    <w:rsid w:val="000D6BE3"/>
    <w:rsid w:val="000E0F53"/>
    <w:rsid w:val="000E1D19"/>
    <w:rsid w:val="000E2B15"/>
    <w:rsid w:val="000E599A"/>
    <w:rsid w:val="000E5C60"/>
    <w:rsid w:val="000F2564"/>
    <w:rsid w:val="000F2C19"/>
    <w:rsid w:val="000F5C4A"/>
    <w:rsid w:val="00107BD0"/>
    <w:rsid w:val="00110666"/>
    <w:rsid w:val="00113F73"/>
    <w:rsid w:val="00122B74"/>
    <w:rsid w:val="00130095"/>
    <w:rsid w:val="0014280E"/>
    <w:rsid w:val="00151408"/>
    <w:rsid w:val="0015169F"/>
    <w:rsid w:val="00153C15"/>
    <w:rsid w:val="00171757"/>
    <w:rsid w:val="00172F65"/>
    <w:rsid w:val="00174612"/>
    <w:rsid w:val="00174970"/>
    <w:rsid w:val="0018753C"/>
    <w:rsid w:val="001A21E8"/>
    <w:rsid w:val="001A38CC"/>
    <w:rsid w:val="001B314C"/>
    <w:rsid w:val="001C2BD3"/>
    <w:rsid w:val="001C390D"/>
    <w:rsid w:val="001C642B"/>
    <w:rsid w:val="001D042D"/>
    <w:rsid w:val="001D216A"/>
    <w:rsid w:val="001D2E82"/>
    <w:rsid w:val="001D51DA"/>
    <w:rsid w:val="001D5C9F"/>
    <w:rsid w:val="001D6C9D"/>
    <w:rsid w:val="001F30F0"/>
    <w:rsid w:val="001F5AB1"/>
    <w:rsid w:val="00205DF3"/>
    <w:rsid w:val="0022083E"/>
    <w:rsid w:val="00222C00"/>
    <w:rsid w:val="00222D0B"/>
    <w:rsid w:val="00241D3D"/>
    <w:rsid w:val="0024380B"/>
    <w:rsid w:val="00254DA8"/>
    <w:rsid w:val="002562B1"/>
    <w:rsid w:val="0026355A"/>
    <w:rsid w:val="00266F7C"/>
    <w:rsid w:val="0027233F"/>
    <w:rsid w:val="00272B04"/>
    <w:rsid w:val="00274C94"/>
    <w:rsid w:val="00275A26"/>
    <w:rsid w:val="00282ED3"/>
    <w:rsid w:val="00287E75"/>
    <w:rsid w:val="00294770"/>
    <w:rsid w:val="002958F2"/>
    <w:rsid w:val="002A101F"/>
    <w:rsid w:val="002A16FE"/>
    <w:rsid w:val="002A1B7C"/>
    <w:rsid w:val="002B3A3A"/>
    <w:rsid w:val="002B43D0"/>
    <w:rsid w:val="002B5C69"/>
    <w:rsid w:val="002C1667"/>
    <w:rsid w:val="002D230B"/>
    <w:rsid w:val="002D32F2"/>
    <w:rsid w:val="002D4649"/>
    <w:rsid w:val="002E0EA8"/>
    <w:rsid w:val="002E1274"/>
    <w:rsid w:val="002F47A8"/>
    <w:rsid w:val="002F60C0"/>
    <w:rsid w:val="002F6D88"/>
    <w:rsid w:val="00305307"/>
    <w:rsid w:val="0031048E"/>
    <w:rsid w:val="00312C8F"/>
    <w:rsid w:val="0031654A"/>
    <w:rsid w:val="00330C0B"/>
    <w:rsid w:val="00335F8F"/>
    <w:rsid w:val="00337A7B"/>
    <w:rsid w:val="0035049F"/>
    <w:rsid w:val="0035140F"/>
    <w:rsid w:val="00357ACC"/>
    <w:rsid w:val="00375576"/>
    <w:rsid w:val="00393784"/>
    <w:rsid w:val="003A08FC"/>
    <w:rsid w:val="003A0E7F"/>
    <w:rsid w:val="003A6C06"/>
    <w:rsid w:val="003B5FE0"/>
    <w:rsid w:val="003B7007"/>
    <w:rsid w:val="003D38ED"/>
    <w:rsid w:val="003D4C79"/>
    <w:rsid w:val="003D747D"/>
    <w:rsid w:val="003E3251"/>
    <w:rsid w:val="003E678F"/>
    <w:rsid w:val="004012E4"/>
    <w:rsid w:val="00405BD7"/>
    <w:rsid w:val="00406032"/>
    <w:rsid w:val="0041099B"/>
    <w:rsid w:val="004111DC"/>
    <w:rsid w:val="004200A5"/>
    <w:rsid w:val="00423B2E"/>
    <w:rsid w:val="00423D13"/>
    <w:rsid w:val="00424652"/>
    <w:rsid w:val="0043720A"/>
    <w:rsid w:val="004632E9"/>
    <w:rsid w:val="0046678C"/>
    <w:rsid w:val="004730AD"/>
    <w:rsid w:val="0047717D"/>
    <w:rsid w:val="0048236F"/>
    <w:rsid w:val="004836B6"/>
    <w:rsid w:val="004A7856"/>
    <w:rsid w:val="004B4254"/>
    <w:rsid w:val="004B50A2"/>
    <w:rsid w:val="004C1C61"/>
    <w:rsid w:val="004D3B0F"/>
    <w:rsid w:val="004D44E3"/>
    <w:rsid w:val="004E23A9"/>
    <w:rsid w:val="004E3B53"/>
    <w:rsid w:val="004E5181"/>
    <w:rsid w:val="004E6081"/>
    <w:rsid w:val="004E75D2"/>
    <w:rsid w:val="004F44A4"/>
    <w:rsid w:val="004F5BB1"/>
    <w:rsid w:val="00511D2B"/>
    <w:rsid w:val="00512647"/>
    <w:rsid w:val="00516B0E"/>
    <w:rsid w:val="00517519"/>
    <w:rsid w:val="005176CD"/>
    <w:rsid w:val="00520FED"/>
    <w:rsid w:val="00521943"/>
    <w:rsid w:val="00527381"/>
    <w:rsid w:val="00533A5E"/>
    <w:rsid w:val="005419C2"/>
    <w:rsid w:val="00542DB1"/>
    <w:rsid w:val="00552777"/>
    <w:rsid w:val="00555133"/>
    <w:rsid w:val="00565A27"/>
    <w:rsid w:val="005706FD"/>
    <w:rsid w:val="00572521"/>
    <w:rsid w:val="005777BC"/>
    <w:rsid w:val="00584B74"/>
    <w:rsid w:val="00594AFB"/>
    <w:rsid w:val="005A1B5C"/>
    <w:rsid w:val="005A32F5"/>
    <w:rsid w:val="005A69D2"/>
    <w:rsid w:val="005B32B2"/>
    <w:rsid w:val="005D27F7"/>
    <w:rsid w:val="005D50E8"/>
    <w:rsid w:val="005D6678"/>
    <w:rsid w:val="005E5F5F"/>
    <w:rsid w:val="005E7D98"/>
    <w:rsid w:val="005F5015"/>
    <w:rsid w:val="00603630"/>
    <w:rsid w:val="00603DDF"/>
    <w:rsid w:val="00604E7A"/>
    <w:rsid w:val="00607188"/>
    <w:rsid w:val="00610CB7"/>
    <w:rsid w:val="00616ECA"/>
    <w:rsid w:val="00621D74"/>
    <w:rsid w:val="0062326D"/>
    <w:rsid w:val="006337C7"/>
    <w:rsid w:val="00652A71"/>
    <w:rsid w:val="00657BF8"/>
    <w:rsid w:val="006612F1"/>
    <w:rsid w:val="006640AE"/>
    <w:rsid w:val="00671622"/>
    <w:rsid w:val="00671D1D"/>
    <w:rsid w:val="00671FC8"/>
    <w:rsid w:val="00674886"/>
    <w:rsid w:val="006775A1"/>
    <w:rsid w:val="0068142E"/>
    <w:rsid w:val="0068286F"/>
    <w:rsid w:val="00690861"/>
    <w:rsid w:val="00695B12"/>
    <w:rsid w:val="00697567"/>
    <w:rsid w:val="00697C73"/>
    <w:rsid w:val="006B51E0"/>
    <w:rsid w:val="006B7F39"/>
    <w:rsid w:val="006C1437"/>
    <w:rsid w:val="006C1D45"/>
    <w:rsid w:val="006C2340"/>
    <w:rsid w:val="006C4C9C"/>
    <w:rsid w:val="006C681E"/>
    <w:rsid w:val="006D2221"/>
    <w:rsid w:val="006D6EEA"/>
    <w:rsid w:val="006E1636"/>
    <w:rsid w:val="006E1E6A"/>
    <w:rsid w:val="006E4001"/>
    <w:rsid w:val="006F11A5"/>
    <w:rsid w:val="006F1D89"/>
    <w:rsid w:val="006F58A5"/>
    <w:rsid w:val="00702A75"/>
    <w:rsid w:val="00703734"/>
    <w:rsid w:val="00711349"/>
    <w:rsid w:val="00715CD4"/>
    <w:rsid w:val="00717014"/>
    <w:rsid w:val="00722FD4"/>
    <w:rsid w:val="00723C5D"/>
    <w:rsid w:val="00730812"/>
    <w:rsid w:val="0073204E"/>
    <w:rsid w:val="0073362E"/>
    <w:rsid w:val="00741F36"/>
    <w:rsid w:val="00754919"/>
    <w:rsid w:val="00757826"/>
    <w:rsid w:val="007619ED"/>
    <w:rsid w:val="007661CD"/>
    <w:rsid w:val="00781845"/>
    <w:rsid w:val="007833EE"/>
    <w:rsid w:val="00783926"/>
    <w:rsid w:val="007871CE"/>
    <w:rsid w:val="007927E2"/>
    <w:rsid w:val="00792A66"/>
    <w:rsid w:val="007A14BC"/>
    <w:rsid w:val="007A45A3"/>
    <w:rsid w:val="007B553F"/>
    <w:rsid w:val="007C141E"/>
    <w:rsid w:val="007F1D57"/>
    <w:rsid w:val="008041A1"/>
    <w:rsid w:val="00806473"/>
    <w:rsid w:val="008137A4"/>
    <w:rsid w:val="00815009"/>
    <w:rsid w:val="00822003"/>
    <w:rsid w:val="00826293"/>
    <w:rsid w:val="0084705E"/>
    <w:rsid w:val="008511F6"/>
    <w:rsid w:val="00853A7A"/>
    <w:rsid w:val="0085740F"/>
    <w:rsid w:val="00862787"/>
    <w:rsid w:val="008653E9"/>
    <w:rsid w:val="00865988"/>
    <w:rsid w:val="008725FF"/>
    <w:rsid w:val="00872DFF"/>
    <w:rsid w:val="00892B6E"/>
    <w:rsid w:val="00895296"/>
    <w:rsid w:val="008A1C95"/>
    <w:rsid w:val="008A4591"/>
    <w:rsid w:val="008B35FE"/>
    <w:rsid w:val="008B7B1E"/>
    <w:rsid w:val="008C20FE"/>
    <w:rsid w:val="008C28B2"/>
    <w:rsid w:val="008C3B21"/>
    <w:rsid w:val="008D2010"/>
    <w:rsid w:val="008D244C"/>
    <w:rsid w:val="008E24EB"/>
    <w:rsid w:val="008E3C31"/>
    <w:rsid w:val="008E5E4B"/>
    <w:rsid w:val="008F1730"/>
    <w:rsid w:val="008F2820"/>
    <w:rsid w:val="008F7671"/>
    <w:rsid w:val="009059E9"/>
    <w:rsid w:val="00905A5E"/>
    <w:rsid w:val="00906297"/>
    <w:rsid w:val="00907439"/>
    <w:rsid w:val="00912B89"/>
    <w:rsid w:val="0091556D"/>
    <w:rsid w:val="00917329"/>
    <w:rsid w:val="00944744"/>
    <w:rsid w:val="00945475"/>
    <w:rsid w:val="00960D98"/>
    <w:rsid w:val="0096351B"/>
    <w:rsid w:val="00971E7A"/>
    <w:rsid w:val="009830D1"/>
    <w:rsid w:val="00995ADC"/>
    <w:rsid w:val="009963F0"/>
    <w:rsid w:val="00996C74"/>
    <w:rsid w:val="009A549D"/>
    <w:rsid w:val="009A64AF"/>
    <w:rsid w:val="009B5047"/>
    <w:rsid w:val="009C198D"/>
    <w:rsid w:val="009C60B9"/>
    <w:rsid w:val="009D2807"/>
    <w:rsid w:val="009D48CC"/>
    <w:rsid w:val="009E2D56"/>
    <w:rsid w:val="009E39E6"/>
    <w:rsid w:val="009F5FF6"/>
    <w:rsid w:val="00A16531"/>
    <w:rsid w:val="00A24727"/>
    <w:rsid w:val="00A26F74"/>
    <w:rsid w:val="00A32EE3"/>
    <w:rsid w:val="00A34148"/>
    <w:rsid w:val="00A40AF1"/>
    <w:rsid w:val="00A413C9"/>
    <w:rsid w:val="00A442D8"/>
    <w:rsid w:val="00A449A9"/>
    <w:rsid w:val="00A52F3D"/>
    <w:rsid w:val="00A53A25"/>
    <w:rsid w:val="00A55860"/>
    <w:rsid w:val="00A60624"/>
    <w:rsid w:val="00A61699"/>
    <w:rsid w:val="00A6180F"/>
    <w:rsid w:val="00A6365B"/>
    <w:rsid w:val="00A703E3"/>
    <w:rsid w:val="00A70EC2"/>
    <w:rsid w:val="00A731BB"/>
    <w:rsid w:val="00A86A3E"/>
    <w:rsid w:val="00A86AFD"/>
    <w:rsid w:val="00AA740C"/>
    <w:rsid w:val="00AB10FB"/>
    <w:rsid w:val="00AB7B40"/>
    <w:rsid w:val="00AC1631"/>
    <w:rsid w:val="00AC794C"/>
    <w:rsid w:val="00AD03B3"/>
    <w:rsid w:val="00AD22BA"/>
    <w:rsid w:val="00AD7672"/>
    <w:rsid w:val="00AE1721"/>
    <w:rsid w:val="00AE410A"/>
    <w:rsid w:val="00AE5430"/>
    <w:rsid w:val="00AF3250"/>
    <w:rsid w:val="00B03D64"/>
    <w:rsid w:val="00B15C01"/>
    <w:rsid w:val="00B17B99"/>
    <w:rsid w:val="00B251DB"/>
    <w:rsid w:val="00B26C25"/>
    <w:rsid w:val="00B35C0C"/>
    <w:rsid w:val="00B40A60"/>
    <w:rsid w:val="00B41A9F"/>
    <w:rsid w:val="00B45B98"/>
    <w:rsid w:val="00B46209"/>
    <w:rsid w:val="00B50BCB"/>
    <w:rsid w:val="00B62EDE"/>
    <w:rsid w:val="00B83835"/>
    <w:rsid w:val="00B858CE"/>
    <w:rsid w:val="00B87BC2"/>
    <w:rsid w:val="00B915DB"/>
    <w:rsid w:val="00BA3D7B"/>
    <w:rsid w:val="00BA7D0A"/>
    <w:rsid w:val="00BB350F"/>
    <w:rsid w:val="00BB36DF"/>
    <w:rsid w:val="00BC0BAA"/>
    <w:rsid w:val="00BD0A74"/>
    <w:rsid w:val="00BD0F8A"/>
    <w:rsid w:val="00BD46D9"/>
    <w:rsid w:val="00BD7D5F"/>
    <w:rsid w:val="00BE1CB4"/>
    <w:rsid w:val="00BE53C7"/>
    <w:rsid w:val="00BE6EEA"/>
    <w:rsid w:val="00BF1AF2"/>
    <w:rsid w:val="00C11936"/>
    <w:rsid w:val="00C22658"/>
    <w:rsid w:val="00C2658F"/>
    <w:rsid w:val="00C27F89"/>
    <w:rsid w:val="00C3273D"/>
    <w:rsid w:val="00C40271"/>
    <w:rsid w:val="00C43D48"/>
    <w:rsid w:val="00C44A41"/>
    <w:rsid w:val="00C455B0"/>
    <w:rsid w:val="00C50A9A"/>
    <w:rsid w:val="00C55BD1"/>
    <w:rsid w:val="00C60A2F"/>
    <w:rsid w:val="00C64380"/>
    <w:rsid w:val="00C65E4E"/>
    <w:rsid w:val="00C82924"/>
    <w:rsid w:val="00C82A34"/>
    <w:rsid w:val="00CA0B68"/>
    <w:rsid w:val="00CB2DE1"/>
    <w:rsid w:val="00CB5963"/>
    <w:rsid w:val="00CB7499"/>
    <w:rsid w:val="00CB7D5D"/>
    <w:rsid w:val="00CC18F5"/>
    <w:rsid w:val="00CC1D5C"/>
    <w:rsid w:val="00CD08C6"/>
    <w:rsid w:val="00CE4789"/>
    <w:rsid w:val="00CE6BBD"/>
    <w:rsid w:val="00CE7F17"/>
    <w:rsid w:val="00CF3C65"/>
    <w:rsid w:val="00CF4D86"/>
    <w:rsid w:val="00D179F8"/>
    <w:rsid w:val="00D220CF"/>
    <w:rsid w:val="00D278F7"/>
    <w:rsid w:val="00D27B99"/>
    <w:rsid w:val="00D3417A"/>
    <w:rsid w:val="00D40B5D"/>
    <w:rsid w:val="00D460A0"/>
    <w:rsid w:val="00D46366"/>
    <w:rsid w:val="00D4697F"/>
    <w:rsid w:val="00D5723E"/>
    <w:rsid w:val="00D6211B"/>
    <w:rsid w:val="00D6324D"/>
    <w:rsid w:val="00D64BFA"/>
    <w:rsid w:val="00D80CED"/>
    <w:rsid w:val="00D841E9"/>
    <w:rsid w:val="00D9122B"/>
    <w:rsid w:val="00DA5109"/>
    <w:rsid w:val="00DA6314"/>
    <w:rsid w:val="00DC06D4"/>
    <w:rsid w:val="00DC2395"/>
    <w:rsid w:val="00DC4283"/>
    <w:rsid w:val="00DC446C"/>
    <w:rsid w:val="00DE04A8"/>
    <w:rsid w:val="00DE1060"/>
    <w:rsid w:val="00DE6109"/>
    <w:rsid w:val="00DE74F1"/>
    <w:rsid w:val="00DE7B1D"/>
    <w:rsid w:val="00DF345B"/>
    <w:rsid w:val="00E01D7D"/>
    <w:rsid w:val="00E04DA0"/>
    <w:rsid w:val="00E11B00"/>
    <w:rsid w:val="00E13688"/>
    <w:rsid w:val="00E21FDD"/>
    <w:rsid w:val="00E3027E"/>
    <w:rsid w:val="00E30305"/>
    <w:rsid w:val="00E30420"/>
    <w:rsid w:val="00E37443"/>
    <w:rsid w:val="00E51EC5"/>
    <w:rsid w:val="00E54E6B"/>
    <w:rsid w:val="00E630E3"/>
    <w:rsid w:val="00E634C3"/>
    <w:rsid w:val="00E95372"/>
    <w:rsid w:val="00EA0739"/>
    <w:rsid w:val="00EA5947"/>
    <w:rsid w:val="00EB059E"/>
    <w:rsid w:val="00EB0B6B"/>
    <w:rsid w:val="00EB2A69"/>
    <w:rsid w:val="00EB49D8"/>
    <w:rsid w:val="00EB71EA"/>
    <w:rsid w:val="00EC5B2D"/>
    <w:rsid w:val="00EC74EF"/>
    <w:rsid w:val="00EE1F4B"/>
    <w:rsid w:val="00F056B0"/>
    <w:rsid w:val="00F07F40"/>
    <w:rsid w:val="00F12D8F"/>
    <w:rsid w:val="00F1441E"/>
    <w:rsid w:val="00F16FE0"/>
    <w:rsid w:val="00F171A7"/>
    <w:rsid w:val="00F22BB9"/>
    <w:rsid w:val="00F32757"/>
    <w:rsid w:val="00F3409A"/>
    <w:rsid w:val="00F35A09"/>
    <w:rsid w:val="00F42791"/>
    <w:rsid w:val="00F50FA6"/>
    <w:rsid w:val="00F51BA7"/>
    <w:rsid w:val="00F5680E"/>
    <w:rsid w:val="00F61E3F"/>
    <w:rsid w:val="00F62B4E"/>
    <w:rsid w:val="00F669E4"/>
    <w:rsid w:val="00F66A4B"/>
    <w:rsid w:val="00F75E2E"/>
    <w:rsid w:val="00F906FA"/>
    <w:rsid w:val="00FA3834"/>
    <w:rsid w:val="00FA52E0"/>
    <w:rsid w:val="00FC2E1D"/>
    <w:rsid w:val="00FC4C01"/>
    <w:rsid w:val="00FC709B"/>
    <w:rsid w:val="00FD7B22"/>
    <w:rsid w:val="00FE0815"/>
    <w:rsid w:val="00FE39C8"/>
    <w:rsid w:val="00FE4569"/>
    <w:rsid w:val="00FE7DB2"/>
    <w:rsid w:val="00FF0BA6"/>
    <w:rsid w:val="00FF19BC"/>
    <w:rsid w:val="00FF5E2A"/>
    <w:rsid w:val="0289B16E"/>
    <w:rsid w:val="02994011"/>
    <w:rsid w:val="0472A82D"/>
    <w:rsid w:val="0B51E202"/>
    <w:rsid w:val="1E234FC3"/>
    <w:rsid w:val="20DB10D5"/>
    <w:rsid w:val="214FB198"/>
    <w:rsid w:val="229066C8"/>
    <w:rsid w:val="2307430E"/>
    <w:rsid w:val="2397FE8F"/>
    <w:rsid w:val="24635341"/>
    <w:rsid w:val="24A8E626"/>
    <w:rsid w:val="26C5AFE8"/>
    <w:rsid w:val="2E1933DA"/>
    <w:rsid w:val="2F8C5594"/>
    <w:rsid w:val="2FE62714"/>
    <w:rsid w:val="3054B35C"/>
    <w:rsid w:val="3285786D"/>
    <w:rsid w:val="350CE42F"/>
    <w:rsid w:val="39A4E35E"/>
    <w:rsid w:val="39F2CA8B"/>
    <w:rsid w:val="3ACD7E51"/>
    <w:rsid w:val="3CA8898B"/>
    <w:rsid w:val="46CB73FD"/>
    <w:rsid w:val="47A49763"/>
    <w:rsid w:val="4AB40904"/>
    <w:rsid w:val="4CB35578"/>
    <w:rsid w:val="4D7914EA"/>
    <w:rsid w:val="4F6A8807"/>
    <w:rsid w:val="50B971DA"/>
    <w:rsid w:val="52AD3D3E"/>
    <w:rsid w:val="543264D6"/>
    <w:rsid w:val="54B91273"/>
    <w:rsid w:val="58A45C01"/>
    <w:rsid w:val="5A619EFA"/>
    <w:rsid w:val="5AD3E3B8"/>
    <w:rsid w:val="5FCCD7ED"/>
    <w:rsid w:val="65464657"/>
    <w:rsid w:val="65BB38E4"/>
    <w:rsid w:val="65DAD940"/>
    <w:rsid w:val="6778198E"/>
    <w:rsid w:val="6E841BE8"/>
    <w:rsid w:val="7197D5BE"/>
    <w:rsid w:val="71CA6262"/>
    <w:rsid w:val="73F07DC0"/>
    <w:rsid w:val="755E21D1"/>
    <w:rsid w:val="79C0BCB6"/>
    <w:rsid w:val="7BB2C5D8"/>
    <w:rsid w:val="7D4A31E1"/>
    <w:rsid w:val="7F6553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49C64"/>
  <w15:chartTrackingRefBased/>
  <w15:docId w15:val="{A93505EF-963D-476E-ABD9-96A6924C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E2444" w:themeColor="accent1"/>
      <w:sz w:val="72"/>
      <w:szCs w:val="32"/>
    </w:rPr>
  </w:style>
  <w:style w:type="paragraph" w:styleId="Heading2">
    <w:name w:val="heading 2"/>
    <w:basedOn w:val="Normal"/>
    <w:next w:val="Normal"/>
    <w:link w:val="Heading2Char"/>
    <w:uiPriority w:val="9"/>
    <w:unhideWhenUsed/>
    <w:qFormat/>
    <w:rsid w:val="00DC06D4"/>
    <w:pPr>
      <w:keepNext/>
      <w:keepLines/>
      <w:spacing w:before="360"/>
      <w:outlineLvl w:val="1"/>
    </w:pPr>
    <w:rPr>
      <w:rFonts w:asciiTheme="majorHAnsi" w:eastAsiaTheme="majorEastAsia" w:hAnsiTheme="majorHAnsi" w:cstheme="majorBidi"/>
      <w:color w:val="0F4F82" w:themeColor="accent4"/>
      <w:sz w:val="48"/>
      <w:szCs w:val="48"/>
    </w:rPr>
  </w:style>
  <w:style w:type="paragraph" w:styleId="Heading3">
    <w:name w:val="heading 3"/>
    <w:basedOn w:val="Normal"/>
    <w:next w:val="Normal"/>
    <w:link w:val="Heading3Char"/>
    <w:uiPriority w:val="9"/>
    <w:unhideWhenUsed/>
    <w:qFormat/>
    <w:rsid w:val="00DC06D4"/>
    <w:pPr>
      <w:keepNext/>
      <w:keepLines/>
      <w:spacing w:before="240"/>
      <w:outlineLvl w:val="2"/>
    </w:pPr>
    <w:rPr>
      <w:rFonts w:asciiTheme="majorHAnsi" w:eastAsiaTheme="majorEastAsia" w:hAnsiTheme="majorHAnsi" w:cstheme="majorBidi"/>
      <w:color w:val="0F4F82" w:themeColor="accent4"/>
      <w:sz w:val="40"/>
      <w:szCs w:val="40"/>
    </w:rPr>
  </w:style>
  <w:style w:type="paragraph" w:styleId="Heading4">
    <w:name w:val="heading 4"/>
    <w:basedOn w:val="Normal"/>
    <w:next w:val="Normal"/>
    <w:link w:val="Heading4Char"/>
    <w:uiPriority w:val="9"/>
    <w:unhideWhenUsed/>
    <w:qFormat/>
    <w:rsid w:val="00DC06D4"/>
    <w:pPr>
      <w:keepNext/>
      <w:keepLines/>
      <w:spacing w:before="240"/>
      <w:outlineLvl w:val="3"/>
    </w:pPr>
    <w:rPr>
      <w:rFonts w:asciiTheme="majorHAnsi" w:eastAsiaTheme="majorEastAsia" w:hAnsiTheme="majorHAnsi" w:cstheme="majorBidi"/>
      <w:iCs/>
      <w:color w:val="0F4F82" w:themeColor="accent4"/>
      <w:sz w:val="32"/>
      <w:szCs w:val="28"/>
    </w:rPr>
  </w:style>
  <w:style w:type="paragraph" w:styleId="Heading5">
    <w:name w:val="heading 5"/>
    <w:basedOn w:val="Normal"/>
    <w:next w:val="Normal"/>
    <w:link w:val="Heading5Char"/>
    <w:uiPriority w:val="9"/>
    <w:unhideWhenUsed/>
    <w:qFormat/>
    <w:rsid w:val="00DC06D4"/>
    <w:pPr>
      <w:keepNext/>
      <w:keepLines/>
      <w:spacing w:before="240"/>
      <w:outlineLvl w:val="4"/>
    </w:pPr>
    <w:rPr>
      <w:rFonts w:asciiTheme="majorHAnsi" w:eastAsiaTheme="majorEastAsia" w:hAnsiTheme="majorHAnsi" w:cstheme="majorBidi"/>
      <w:color w:val="0F4F82"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E2444"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E2444" w:themeColor="accent1"/>
      <w:sz w:val="72"/>
      <w:szCs w:val="32"/>
    </w:rPr>
  </w:style>
  <w:style w:type="table" w:customStyle="1" w:styleId="Verticaltable">
    <w:name w:val="Vertical table"/>
    <w:basedOn w:val="TableNormal"/>
    <w:uiPriority w:val="99"/>
    <w:rsid w:val="00DC06D4"/>
    <w:pPr>
      <w:spacing w:after="0" w:line="240" w:lineRule="auto"/>
    </w:pPr>
    <w:tblPr>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lastRow">
      <w:rPr>
        <w:b w:val="0"/>
      </w:rPr>
    </w:tblStylePr>
    <w:tblStylePr w:type="firstCol">
      <w:rPr>
        <w:b/>
        <w:color w:val="FFFFFF" w:themeColor="background1"/>
      </w:rPr>
      <w:tblPr/>
      <w:tcPr>
        <w:shd w:val="clear" w:color="auto" w:fill="0F4F82"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DC06D4"/>
    <w:pPr>
      <w:numPr>
        <w:ilvl w:val="1"/>
      </w:numPr>
    </w:pPr>
    <w:rPr>
      <w:rFonts w:eastAsiaTheme="minorEastAsia"/>
      <w:color w:val="0F4F82" w:themeColor="accent4"/>
      <w:sz w:val="40"/>
    </w:rPr>
  </w:style>
  <w:style w:type="character" w:customStyle="1" w:styleId="SubtitleChar">
    <w:name w:val="Subtitle Char"/>
    <w:basedOn w:val="DefaultParagraphFont"/>
    <w:link w:val="Subtitle"/>
    <w:uiPriority w:val="11"/>
    <w:rsid w:val="00DC06D4"/>
    <w:rPr>
      <w:rFonts w:eastAsiaTheme="minorEastAsia"/>
      <w:color w:val="0F4F82" w:themeColor="accent4"/>
      <w:sz w:val="40"/>
    </w:rPr>
  </w:style>
  <w:style w:type="character" w:customStyle="1" w:styleId="Heading2Char">
    <w:name w:val="Heading 2 Char"/>
    <w:basedOn w:val="DefaultParagraphFont"/>
    <w:link w:val="Heading2"/>
    <w:uiPriority w:val="9"/>
    <w:rsid w:val="00DC06D4"/>
    <w:rPr>
      <w:rFonts w:asciiTheme="majorHAnsi" w:eastAsiaTheme="majorEastAsia" w:hAnsiTheme="majorHAnsi" w:cstheme="majorBidi"/>
      <w:color w:val="0F4F82" w:themeColor="accent4"/>
      <w:sz w:val="48"/>
      <w:szCs w:val="48"/>
    </w:rPr>
  </w:style>
  <w:style w:type="character" w:customStyle="1" w:styleId="Heading3Char">
    <w:name w:val="Heading 3 Char"/>
    <w:basedOn w:val="DefaultParagraphFont"/>
    <w:link w:val="Heading3"/>
    <w:uiPriority w:val="9"/>
    <w:rsid w:val="00DC06D4"/>
    <w:rPr>
      <w:rFonts w:asciiTheme="majorHAnsi" w:eastAsiaTheme="majorEastAsia" w:hAnsiTheme="majorHAnsi" w:cstheme="majorBidi"/>
      <w:color w:val="0F4F82" w:themeColor="accent4"/>
      <w:sz w:val="40"/>
      <w:szCs w:val="40"/>
    </w:rPr>
  </w:style>
  <w:style w:type="character" w:customStyle="1" w:styleId="Heading4Char">
    <w:name w:val="Heading 4 Char"/>
    <w:basedOn w:val="DefaultParagraphFont"/>
    <w:link w:val="Heading4"/>
    <w:uiPriority w:val="9"/>
    <w:rsid w:val="00DC06D4"/>
    <w:rPr>
      <w:rFonts w:asciiTheme="majorHAnsi" w:eastAsiaTheme="majorEastAsia" w:hAnsiTheme="majorHAnsi" w:cstheme="majorBidi"/>
      <w:iCs/>
      <w:color w:val="0F4F82" w:themeColor="accent4"/>
      <w:sz w:val="32"/>
      <w:szCs w:val="28"/>
    </w:rPr>
  </w:style>
  <w:style w:type="character" w:customStyle="1" w:styleId="Heading5Char">
    <w:name w:val="Heading 5 Char"/>
    <w:basedOn w:val="DefaultParagraphFont"/>
    <w:link w:val="Heading5"/>
    <w:uiPriority w:val="9"/>
    <w:rsid w:val="00DC06D4"/>
    <w:rPr>
      <w:rFonts w:asciiTheme="majorHAnsi" w:eastAsiaTheme="majorEastAsia" w:hAnsiTheme="majorHAnsi" w:cstheme="majorBidi"/>
      <w:color w:val="0F4F82" w:themeColor="accent4"/>
      <w:sz w:val="26"/>
      <w:szCs w:val="26"/>
    </w:rPr>
  </w:style>
  <w:style w:type="paragraph" w:styleId="Quote">
    <w:name w:val="Quote"/>
    <w:basedOn w:val="Normal"/>
    <w:next w:val="Normal"/>
    <w:link w:val="QuoteChar"/>
    <w:uiPriority w:val="29"/>
    <w:qFormat/>
    <w:rsid w:val="00A70EC2"/>
    <w:pPr>
      <w:pBdr>
        <w:top w:val="single" w:sz="4" w:space="6" w:color="095258" w:themeColor="text2"/>
        <w:bottom w:val="single" w:sz="4" w:space="6" w:color="095258" w:themeColor="text2"/>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A70EC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0F4F82"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F12D8F"/>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0C0C6" w:themeColor="accent3"/>
        <w:left w:val="single" w:sz="4" w:space="0" w:color="40C0C6" w:themeColor="accent3"/>
        <w:bottom w:val="single" w:sz="4" w:space="0" w:color="40C0C6" w:themeColor="accent3"/>
        <w:right w:val="single" w:sz="4" w:space="0" w:color="40C0C6" w:themeColor="accent3"/>
      </w:tblBorders>
    </w:tblPr>
    <w:tblStylePr w:type="firstRow">
      <w:rPr>
        <w:b/>
        <w:bCs/>
        <w:color w:val="FFFFFF" w:themeColor="background1"/>
      </w:rPr>
      <w:tblPr/>
      <w:tcPr>
        <w:shd w:val="clear" w:color="auto" w:fill="40C0C6" w:themeFill="accent3"/>
      </w:tcPr>
    </w:tblStylePr>
    <w:tblStylePr w:type="lastRow">
      <w:rPr>
        <w:b/>
        <w:bCs/>
      </w:rPr>
      <w:tblPr/>
      <w:tcPr>
        <w:tcBorders>
          <w:top w:val="double" w:sz="4" w:space="0" w:color="40C0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0C6" w:themeColor="accent3"/>
          <w:right w:val="single" w:sz="4" w:space="0" w:color="40C0C6" w:themeColor="accent3"/>
        </w:tcBorders>
      </w:tcPr>
    </w:tblStylePr>
    <w:tblStylePr w:type="band1Horz">
      <w:tblPr/>
      <w:tcPr>
        <w:tcBorders>
          <w:top w:val="single" w:sz="4" w:space="0" w:color="40C0C6" w:themeColor="accent3"/>
          <w:bottom w:val="single" w:sz="4" w:space="0" w:color="40C0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0C6" w:themeColor="accent3"/>
          <w:left w:val="nil"/>
        </w:tcBorders>
      </w:tcPr>
    </w:tblStylePr>
    <w:tblStylePr w:type="swCell">
      <w:tblPr/>
      <w:tcPr>
        <w:tcBorders>
          <w:top w:val="double" w:sz="4" w:space="0" w:color="40C0C6" w:themeColor="accent3"/>
          <w:right w:val="nil"/>
        </w:tcBorders>
      </w:tcPr>
    </w:tblStylePr>
  </w:style>
  <w:style w:type="paragraph" w:styleId="IntenseQuote">
    <w:name w:val="Intense Quote"/>
    <w:basedOn w:val="Normal"/>
    <w:next w:val="Normal"/>
    <w:link w:val="IntenseQuoteChar"/>
    <w:uiPriority w:val="30"/>
    <w:qFormat/>
    <w:rsid w:val="00A70EC2"/>
    <w:pPr>
      <w:pBdr>
        <w:top w:val="single" w:sz="4" w:space="6" w:color="095258" w:themeColor="text2"/>
        <w:bottom w:val="single" w:sz="4" w:space="6" w:color="095258" w:themeColor="text2"/>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A70EC2"/>
    <w:rPr>
      <w:b/>
      <w:iCs/>
      <w:sz w:val="24"/>
    </w:rPr>
  </w:style>
  <w:style w:type="paragraph" w:customStyle="1" w:styleId="Calloutbox">
    <w:name w:val="Call out box"/>
    <w:basedOn w:val="Normal"/>
    <w:qFormat/>
    <w:rsid w:val="008E24EB"/>
    <w:pPr>
      <w:pBdr>
        <w:top w:val="single" w:sz="4" w:space="6" w:color="D8F2F3" w:themeColor="accent3" w:themeTint="33"/>
        <w:left w:val="single" w:sz="4" w:space="4" w:color="D8F2F3" w:themeColor="accent3" w:themeTint="33"/>
        <w:bottom w:val="single" w:sz="4" w:space="6" w:color="D8F2F3" w:themeColor="accent3" w:themeTint="33"/>
        <w:right w:val="single" w:sz="4" w:space="4" w:color="D8F2F3" w:themeColor="accent3" w:themeTint="33"/>
      </w:pBdr>
      <w:shd w:val="clear" w:color="auto" w:fill="D8F2F3" w:themeFill="accent3"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E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4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4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4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444" w:themeFill="accent1"/>
      </w:tcPr>
    </w:tblStylePr>
    <w:tblStylePr w:type="band1Vert">
      <w:tblPr/>
      <w:tcPr>
        <w:shd w:val="clear" w:color="auto" w:fill="709EE1" w:themeFill="accent1" w:themeFillTint="66"/>
      </w:tcPr>
    </w:tblStylePr>
    <w:tblStylePr w:type="band1Horz">
      <w:tblPr/>
      <w:tcPr>
        <w:shd w:val="clear" w:color="auto" w:fill="709EE1"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2B6ED1" w:themeColor="accent1" w:themeTint="99"/>
        <w:left w:val="single" w:sz="4" w:space="0" w:color="2B6ED1" w:themeColor="accent1" w:themeTint="99"/>
        <w:bottom w:val="single" w:sz="4" w:space="0" w:color="2B6ED1" w:themeColor="accent1" w:themeTint="99"/>
        <w:right w:val="single" w:sz="4" w:space="0" w:color="2B6ED1" w:themeColor="accent1" w:themeTint="99"/>
        <w:insideH w:val="single" w:sz="4" w:space="0" w:color="2B6ED1" w:themeColor="accent1" w:themeTint="99"/>
        <w:insideV w:val="single" w:sz="4" w:space="0" w:color="2B6ED1" w:themeColor="accent1" w:themeTint="99"/>
      </w:tblBorders>
    </w:tblPr>
    <w:tblStylePr w:type="firstRow">
      <w:rPr>
        <w:b/>
        <w:bCs/>
        <w:color w:val="FFFFFF" w:themeColor="background1"/>
      </w:rPr>
      <w:tblPr/>
      <w:tcPr>
        <w:shd w:val="clear" w:color="auto" w:fill="0A1A32" w:themeFill="accent1" w:themeFillShade="BF"/>
      </w:tcPr>
    </w:tblStylePr>
    <w:tblStylePr w:type="lastRow">
      <w:rPr>
        <w:b/>
        <w:bCs/>
      </w:rPr>
      <w:tblPr/>
      <w:tcPr>
        <w:tcBorders>
          <w:top w:val="double" w:sz="4" w:space="0" w:color="0E2444" w:themeColor="accent1"/>
        </w:tcBorders>
      </w:tcPr>
    </w:tblStylePr>
    <w:tblStylePr w:type="firstCol">
      <w:rPr>
        <w:b/>
        <w:bCs/>
      </w:rPr>
    </w:tblStylePr>
    <w:tblStylePr w:type="lastCol">
      <w:rPr>
        <w:b/>
        <w:bCs/>
      </w:rPr>
    </w:tblStylePr>
    <w:tblStylePr w:type="band1Vert">
      <w:tblPr/>
      <w:tcPr>
        <w:shd w:val="clear" w:color="auto" w:fill="B7CEF0" w:themeFill="accent1" w:themeFillTint="33"/>
      </w:tcPr>
    </w:tblStylePr>
    <w:tblStylePr w:type="band1Horz">
      <w:tblPr/>
      <w:tcPr>
        <w:shd w:val="clear" w:color="auto" w:fill="B7CEF0"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DC06D4"/>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firstRow">
      <w:rPr>
        <w:b/>
        <w:bCs/>
        <w:color w:val="FFFFFF" w:themeColor="background1"/>
      </w:rPr>
      <w:tblPr/>
      <w:tcPr>
        <w:tc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cBorders>
        <w:shd w:val="clear" w:color="auto" w:fill="0F4F82" w:themeFill="accent4"/>
      </w:tcPr>
    </w:tblStylePr>
    <w:tblStylePr w:type="lastRow">
      <w:rPr>
        <w:b/>
        <w:bCs/>
      </w:rPr>
      <w:tblPr/>
      <w:tcPr>
        <w:tcBorders>
          <w:top w:val="nil"/>
        </w:tcBorders>
      </w:tcPr>
    </w:tblStylePr>
    <w:tblStylePr w:type="firstCol">
      <w:rPr>
        <w:b/>
        <w:bCs/>
      </w:rPr>
    </w:tblStylePr>
    <w:tblStylePr w:type="lastCol">
      <w:rPr>
        <w:b/>
        <w:bCs/>
      </w:rPr>
    </w:tblStylePr>
    <w:tblStylePr w:type="band1Vert">
      <w:tblPr/>
      <w:tcPr>
        <w:shd w:val="clear" w:color="auto" w:fill="BDDD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CD9DC" w:themeColor="accent3" w:themeTint="99"/>
        <w:left w:val="single" w:sz="4" w:space="0" w:color="8CD9DC" w:themeColor="accent3" w:themeTint="99"/>
        <w:bottom w:val="single" w:sz="4" w:space="0" w:color="8CD9DC" w:themeColor="accent3" w:themeTint="99"/>
        <w:right w:val="single" w:sz="4" w:space="0" w:color="8CD9DC" w:themeColor="accent3" w:themeTint="99"/>
        <w:insideH w:val="single" w:sz="4" w:space="0" w:color="8CD9DC" w:themeColor="accent3" w:themeTint="99"/>
        <w:insideV w:val="single" w:sz="4" w:space="0" w:color="8CD9DC" w:themeColor="accent3" w:themeTint="99"/>
      </w:tblBorders>
    </w:tblPr>
    <w:tblStylePr w:type="firstRow">
      <w:rPr>
        <w:b/>
        <w:bCs/>
        <w:color w:val="FFFFFF" w:themeColor="background1"/>
      </w:rPr>
      <w:tblPr/>
      <w:tcPr>
        <w:tcBorders>
          <w:top w:val="single" w:sz="4" w:space="0" w:color="40C0C6" w:themeColor="accent3"/>
          <w:left w:val="single" w:sz="4" w:space="0" w:color="40C0C6" w:themeColor="accent3"/>
          <w:bottom w:val="single" w:sz="4" w:space="0" w:color="40C0C6" w:themeColor="accent3"/>
          <w:right w:val="single" w:sz="4" w:space="0" w:color="40C0C6" w:themeColor="accent3"/>
          <w:insideH w:val="nil"/>
          <w:insideV w:val="nil"/>
        </w:tcBorders>
        <w:shd w:val="clear" w:color="auto" w:fill="40C0C6" w:themeFill="accent3"/>
      </w:tcPr>
    </w:tblStylePr>
    <w:tblStylePr w:type="lastRow">
      <w:rPr>
        <w:b/>
        <w:bCs/>
      </w:rPr>
      <w:tblPr/>
      <w:tcPr>
        <w:tcBorders>
          <w:top w:val="double" w:sz="4" w:space="0" w:color="40C0C6" w:themeColor="accent3"/>
        </w:tcBorders>
      </w:tcPr>
    </w:tblStylePr>
    <w:tblStylePr w:type="firstCol">
      <w:rPr>
        <w:b/>
        <w:bCs/>
      </w:rPr>
    </w:tblStylePr>
    <w:tblStylePr w:type="lastCol">
      <w:rPr>
        <w:b/>
        <w:bCs/>
      </w:rPr>
    </w:tblStylePr>
    <w:tblStylePr w:type="band1Vert">
      <w:tblPr/>
      <w:tcPr>
        <w:shd w:val="clear" w:color="auto" w:fill="D8F2F3" w:themeFill="accent3" w:themeFillTint="33"/>
      </w:tcPr>
    </w:tblStylePr>
    <w:tblStylePr w:type="band1Horz">
      <w:tblPr/>
      <w:tcPr>
        <w:shd w:val="clear" w:color="auto" w:fill="D8F2F3"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E2444"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double" w:sz="4" w:space="0" w:color="0F4F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F82" w:themeColor="accent4"/>
          <w:right w:val="single" w:sz="4" w:space="0" w:color="0F4F82" w:themeColor="accent4"/>
        </w:tcBorders>
      </w:tcPr>
    </w:tblStylePr>
    <w:tblStylePr w:type="band1Horz">
      <w:tblPr/>
      <w:tcPr>
        <w:tcBorders>
          <w:top w:val="single" w:sz="4" w:space="0" w:color="0F4F82" w:themeColor="accent4"/>
          <w:bottom w:val="single" w:sz="4" w:space="0" w:color="0F4F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F82" w:themeColor="accent4"/>
          <w:left w:val="nil"/>
        </w:tcBorders>
      </w:tcPr>
    </w:tblStylePr>
    <w:tblStylePr w:type="swCell">
      <w:tblPr/>
      <w:tcPr>
        <w:tcBorders>
          <w:top w:val="double" w:sz="4" w:space="0" w:color="0F4F82"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AD7672"/>
    <w:pPr>
      <w:spacing w:after="0" w:line="240" w:lineRule="auto"/>
    </w:pPr>
    <w:tblPr>
      <w:tblStyleRowBandSize w:val="1"/>
      <w:tblStyleColBandSize w:val="1"/>
      <w:tblBorders>
        <w:top w:val="single" w:sz="4" w:space="0" w:color="0E2444" w:themeColor="accent1"/>
        <w:left w:val="single" w:sz="4" w:space="0" w:color="0E2444" w:themeColor="accent1"/>
        <w:bottom w:val="single" w:sz="4" w:space="0" w:color="0E2444" w:themeColor="accent1"/>
        <w:right w:val="single" w:sz="4" w:space="0" w:color="0E2444" w:themeColor="accent1"/>
      </w:tblBorders>
    </w:tblPr>
    <w:tblStylePr w:type="firstRow">
      <w:rPr>
        <w:b/>
        <w:bCs/>
        <w:color w:val="FFFFFF" w:themeColor="background1"/>
      </w:rPr>
      <w:tblPr/>
      <w:tcPr>
        <w:shd w:val="clear" w:color="auto" w:fill="0E2444" w:themeFill="accent1"/>
      </w:tcPr>
    </w:tblStylePr>
    <w:tblStylePr w:type="lastRow">
      <w:rPr>
        <w:b/>
        <w:bCs/>
      </w:rPr>
      <w:tblPr/>
      <w:tcPr>
        <w:tcBorders>
          <w:top w:val="double" w:sz="4" w:space="0" w:color="0E24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2444" w:themeColor="accent1"/>
          <w:right w:val="single" w:sz="4" w:space="0" w:color="0E2444" w:themeColor="accent1"/>
        </w:tcBorders>
      </w:tcPr>
    </w:tblStylePr>
    <w:tblStylePr w:type="band1Horz">
      <w:tblPr/>
      <w:tcPr>
        <w:tcBorders>
          <w:top w:val="single" w:sz="4" w:space="0" w:color="0E2444" w:themeColor="accent1"/>
          <w:bottom w:val="single" w:sz="4" w:space="0" w:color="0E24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2444" w:themeColor="accent1"/>
          <w:left w:val="nil"/>
        </w:tcBorders>
      </w:tcPr>
    </w:tblStylePr>
    <w:tblStylePr w:type="swCell">
      <w:tblPr/>
      <w:tcPr>
        <w:tcBorders>
          <w:top w:val="double" w:sz="4" w:space="0" w:color="0E2444" w:themeColor="accent1"/>
          <w:right w:val="nil"/>
        </w:tcBorders>
      </w:tcPr>
    </w:tblStylePr>
  </w:style>
  <w:style w:type="table" w:styleId="ListTable3">
    <w:name w:val="List Table 3"/>
    <w:basedOn w:val="TableNormal"/>
    <w:uiPriority w:val="48"/>
    <w:rsid w:val="00AD76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1">
    <w:name w:val="Bullet 1"/>
    <w:basedOn w:val="Normal"/>
    <w:uiPriority w:val="2"/>
    <w:qFormat/>
    <w:rsid w:val="00F51BA7"/>
    <w:pPr>
      <w:numPr>
        <w:numId w:val="10"/>
      </w:numPr>
      <w:spacing w:before="80" w:after="80" w:line="280" w:lineRule="atLeast"/>
    </w:pPr>
    <w:rPr>
      <w:rFonts w:eastAsiaTheme="minorEastAsia"/>
      <w:color w:val="000000" w:themeColor="text1"/>
      <w:szCs w:val="20"/>
      <w:lang w:eastAsia="zh-CN"/>
    </w:rPr>
  </w:style>
  <w:style w:type="paragraph" w:customStyle="1" w:styleId="Bullet2">
    <w:name w:val="Bullet 2"/>
    <w:basedOn w:val="Bullet1"/>
    <w:uiPriority w:val="2"/>
    <w:qFormat/>
    <w:rsid w:val="00F51BA7"/>
    <w:pPr>
      <w:numPr>
        <w:ilvl w:val="1"/>
      </w:numPr>
    </w:pPr>
  </w:style>
  <w:style w:type="paragraph" w:customStyle="1" w:styleId="Bullet3">
    <w:name w:val="Bullet 3"/>
    <w:basedOn w:val="Bullet2"/>
    <w:uiPriority w:val="2"/>
    <w:qFormat/>
    <w:rsid w:val="00F51BA7"/>
    <w:pPr>
      <w:numPr>
        <w:ilvl w:val="2"/>
      </w:numPr>
    </w:pPr>
  </w:style>
  <w:style w:type="numbering" w:customStyle="1" w:styleId="BulletListStyle">
    <w:name w:val="Bullet List Style"/>
    <w:uiPriority w:val="99"/>
    <w:rsid w:val="00F51BA7"/>
    <w:pPr>
      <w:numPr>
        <w:numId w:val="10"/>
      </w:numPr>
    </w:pPr>
  </w:style>
  <w:style w:type="paragraph" w:styleId="Revision">
    <w:name w:val="Revision"/>
    <w:hidden/>
    <w:uiPriority w:val="99"/>
    <w:semiHidden/>
    <w:rsid w:val="002958F2"/>
    <w:pPr>
      <w:spacing w:after="0" w:line="240" w:lineRule="auto"/>
    </w:pPr>
    <w:rPr>
      <w:sz w:val="20"/>
    </w:rPr>
  </w:style>
  <w:style w:type="paragraph" w:styleId="Title">
    <w:name w:val="Title"/>
    <w:basedOn w:val="Normal"/>
    <w:next w:val="Normal"/>
    <w:link w:val="TitleChar"/>
    <w:uiPriority w:val="10"/>
    <w:qFormat/>
    <w:rsid w:val="00D80CE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C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34141018">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yber.gov.au/resources-business-and-government/essential-cyber-security/ism" TargetMode="External"/><Relationship Id="rId18" Type="http://schemas.openxmlformats.org/officeDocument/2006/relationships/hyperlink" Target="https://www.cyber.gov.au/resources-business-and-government/essential-cyber-security/essential-eigh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fat.gov.au/international-relations/security/sanctions/consolidated-list" TargetMode="External"/><Relationship Id="rId7" Type="http://schemas.openxmlformats.org/officeDocument/2006/relationships/settings" Target="settings.xml"/><Relationship Id="rId12" Type="http://schemas.openxmlformats.org/officeDocument/2006/relationships/hyperlink" Target="https://www.protectivesecurity.gov.au/" TargetMode="External"/><Relationship Id="rId17" Type="http://schemas.openxmlformats.org/officeDocument/2006/relationships/hyperlink" Target="https://www.cyber.gov.au/acsc/contac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io.gov.au/outreach" TargetMode="External"/><Relationship Id="rId20" Type="http://schemas.openxmlformats.org/officeDocument/2006/relationships/hyperlink" Target="https://www.dfat.gov.au/international-relations/security/sanctions/sanctions-regim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c.gov.au/funding-research/research-security"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yber.gov.au/acsc/view-all-content/ism" TargetMode="External"/><Relationship Id="rId23" Type="http://schemas.openxmlformats.org/officeDocument/2006/relationships/hyperlink" Target="https://www.education.gov.au/guidelines-counter-foreign-interference-australian-university-secto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omeaffairs.gov.au/about-us/our-portfolios/national-security/countering-foreign-interfere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tectivesecurity.gov.au/" TargetMode="External"/><Relationship Id="rId22" Type="http://schemas.openxmlformats.org/officeDocument/2006/relationships/hyperlink" Target="https://www.industry.gov.au/science-technology-and-innovation/international-collaboration-science-and-research/international-collaboration-advic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2A8617FA3435FAAC50F24517A609B"/>
        <w:category>
          <w:name w:val="General"/>
          <w:gallery w:val="placeholder"/>
        </w:category>
        <w:types>
          <w:type w:val="bbPlcHdr"/>
        </w:types>
        <w:behaviors>
          <w:behavior w:val="content"/>
        </w:behaviors>
        <w:guid w:val="{D1E99815-EAD0-4871-98B1-CF3E9DB93A30}"/>
      </w:docPartPr>
      <w:docPartBody>
        <w:p w:rsidR="000F5C4A" w:rsidRDefault="000F5C4A">
          <w:pPr>
            <w:pStyle w:val="7CD2A8617FA3435FAAC50F24517A609B"/>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4A"/>
    <w:rsid w:val="00036B04"/>
    <w:rsid w:val="000A437C"/>
    <w:rsid w:val="000F5C4A"/>
    <w:rsid w:val="002746D1"/>
    <w:rsid w:val="002B43D0"/>
    <w:rsid w:val="003B525B"/>
    <w:rsid w:val="0047717D"/>
    <w:rsid w:val="00695E91"/>
    <w:rsid w:val="00857E6A"/>
    <w:rsid w:val="008A4591"/>
    <w:rsid w:val="00981C0E"/>
    <w:rsid w:val="00A32EE3"/>
    <w:rsid w:val="00AD03B3"/>
    <w:rsid w:val="00BA435F"/>
    <w:rsid w:val="00E85AE9"/>
    <w:rsid w:val="00F07F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D2A8617FA3435FAAC50F24517A609B">
    <w:name w:val="7CD2A8617FA3435FAAC50F24517A6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CP">
      <a:dk1>
        <a:srgbClr val="000000"/>
      </a:dk1>
      <a:lt1>
        <a:sysClr val="window" lastClr="FFFFFF"/>
      </a:lt1>
      <a:dk2>
        <a:srgbClr val="095258"/>
      </a:dk2>
      <a:lt2>
        <a:srgbClr val="E7E6E6"/>
      </a:lt2>
      <a:accent1>
        <a:srgbClr val="0E2444"/>
      </a:accent1>
      <a:accent2>
        <a:srgbClr val="993533"/>
      </a:accent2>
      <a:accent3>
        <a:srgbClr val="40C0C6"/>
      </a:accent3>
      <a:accent4>
        <a:srgbClr val="0F4F82"/>
      </a:accent4>
      <a:accent5>
        <a:srgbClr val="E5FD8C"/>
      </a:accent5>
      <a:accent6>
        <a:srgbClr val="B7E4F7"/>
      </a:accent6>
      <a:hlink>
        <a:srgbClr val="0563C1"/>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8556CFB9144429072EBF9DC6BE30D" ma:contentTypeVersion="18" ma:contentTypeDescription="Create a new document." ma:contentTypeScope="" ma:versionID="8307b30c43aad4a364a51b302140a7f5">
  <xsd:schema xmlns:xsd="http://www.w3.org/2001/XMLSchema" xmlns:xs="http://www.w3.org/2001/XMLSchema" xmlns:p="http://schemas.microsoft.com/office/2006/metadata/properties" xmlns:ns1="http://schemas.microsoft.com/sharepoint/v3" xmlns:ns2="e2671d4d-4313-4512-9bbc-75f7c2021f4c" xmlns:ns3="a2b6a3e0-18fe-446b-ae27-873673d4b3e0" targetNamespace="http://schemas.microsoft.com/office/2006/metadata/properties" ma:root="true" ma:fieldsID="411a4606a385dc4d8126c73b8d45066a" ns1:_="" ns2:_="" ns3:_="">
    <xsd:import namespace="http://schemas.microsoft.com/sharepoint/v3"/>
    <xsd:import namespace="e2671d4d-4313-4512-9bbc-75f7c2021f4c"/>
    <xsd:import namespace="a2b6a3e0-18fe-446b-ae27-873673d4b3e0"/>
    <xsd:element name="properties">
      <xsd:complexType>
        <xsd:sequence>
          <xsd:element name="documentManagement">
            <xsd:complexType>
              <xsd:all>
                <xsd:element ref="ns2:f9586a98ecb741a9827a4e5b8430b45d" minOccurs="0"/>
                <xsd:element ref="ns2:TaxCatchAll" minOccurs="0"/>
                <xsd:element ref="ns2:e768cc12078e4d5fbf3e34fad7cfbb1a" minOccurs="0"/>
                <xsd:element ref="ns2:g955315195b24e978b5453bf96ae6862" minOccurs="0"/>
                <xsd:element ref="ns2:m48f3bc5d5ca45129294c740eb66eaec" minOccurs="0"/>
                <xsd:element ref="ns1:Comments" minOccurs="0"/>
                <xsd:element ref="ns2:Stratus_ProgrammeRoundNumber" minOccurs="0"/>
                <xsd:element ref="ns2:Stratus_ProjectGrantNo" minOccurs="0"/>
                <xsd:element ref="ns2:g73dec0099c1430a84f372dbe051728b"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f9586a98ecb741a9827a4e5b8430b45d" ma:index="9" ma:taxonomy="true" ma:internalName="f9586a98ecb741a9827a4e5b8430b45d" ma:taxonomyFieldName="Stratus_DocumentType" ma:displayName="Document Type" ma:fieldId="{f9586a98-ecb7-41a9-827a-4e5b8430b45d}"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26cfc1-2dd6-451a-8546-184e7f59c987}"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768cc12078e4d5fbf3e34fad7cfbb1a" ma:index="12" nillable="true" ma:taxonomy="true" ma:internalName="e768cc12078e4d5fbf3e34fad7cfbb1a" ma:taxonomyFieldName="Stratus_WorkActivity" ma:displayName="Work Activity" ma:fieldId="{e768cc12-078e-4d5f-bf3e-34fad7cfbb1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955315195b24e978b5453bf96ae6862" ma:index="14" ma:taxonomy="true" ma:internalName="g955315195b24e978b5453bf96ae6862" ma:taxonomyFieldName="Stratus_SecurityClassification" ma:displayName="Security Classification" ma:fieldId="{09553151-95b2-4e97-8b54-53bf96ae6862}"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48f3bc5d5ca45129294c740eb66eaec" ma:index="16" nillable="true" ma:taxonomy="true" ma:internalName="m48f3bc5d5ca45129294c740eb66eaec" ma:taxonomyFieldName="Stratus_Year" ma:displayName="Year" ma:fieldId="{648f3bc5-d5ca-4512-9294-c740eb66eaec}"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g73dec0099c1430a84f372dbe051728b" ma:index="21" nillable="true" ma:taxonomy="true" ma:internalName="g73dec0099c1430a84f372dbe051728b" ma:taxonomyFieldName="Stratus_EntityCustomer" ma:displayName="Entity (Customer)" ma:fieldId="{073dec00-99c1-430a-84f3-72dbe051728b}" ma:sspId="b6206a2c-5ee7-4d50-b3ee-2668e744af9d" ma:termSetId="4218a33e-295e-4adc-8d4a-f52a16a4749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6a3e0-18fe-446b-ae27-873673d4b3e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17</Value>
      <Value>3</Value>
    </TaxCatchAll>
    <g73dec0099c1430a84f372dbe051728b xmlns="e2671d4d-4313-4512-9bbc-75f7c2021f4c">
      <Terms xmlns="http://schemas.microsoft.com/office/infopath/2007/PartnerControls"/>
    </g73dec0099c1430a84f372dbe051728b>
    <Stratus_ProgrammeRoundNumber xmlns="e2671d4d-4313-4512-9bbc-75f7c2021f4c" xsi:nil="true"/>
    <m48f3bc5d5ca45129294c740eb66eaec xmlns="e2671d4d-4313-4512-9bbc-75f7c2021f4c">
      <Terms xmlns="http://schemas.microsoft.com/office/infopath/2007/PartnerControls"/>
    </m48f3bc5d5ca45129294c740eb66eaec>
    <Stratus_ProjectGrantNo xmlns="e2671d4d-4313-4512-9bbc-75f7c2021f4c" xsi:nil="true"/>
    <f9586a98ecb741a9827a4e5b8430b45d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f9586a98ecb741a9827a4e5b8430b45d>
    <e768cc12078e4d5fbf3e34fad7cfbb1a xmlns="e2671d4d-4313-4512-9bbc-75f7c2021f4c">
      <Terms xmlns="http://schemas.microsoft.com/office/infopath/2007/PartnerControls"/>
    </e768cc12078e4d5fbf3e34fad7cfbb1a>
    <g955315195b24e978b5453bf96ae6862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955315195b24e978b5453bf96ae6862>
  </documentManagement>
</p:properties>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AEE9E2AD-09B9-47D7-B5B2-5E1738109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2b6a3e0-18fe-446b-ae27-873673d4b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BCF5D-ECED-40B9-848C-61973DAC72C5}">
  <ds:schemaRef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a2b6a3e0-18fe-446b-ae27-873673d4b3e0"/>
    <ds:schemaRef ds:uri="e2671d4d-4313-4512-9bbc-75f7c2021f4c"/>
    <ds:schemaRef ds:uri="http://schemas.microsoft.com/sharepoint/v3"/>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1384</TotalTime>
  <Pages>4</Pages>
  <Words>1517</Words>
  <Characters>9289</Characters>
  <DocSecurity>0</DocSecurity>
  <Lines>162</Lines>
  <Paragraphs>93</Paragraphs>
  <ScaleCrop>false</ScaleCrop>
  <HeadingPairs>
    <vt:vector size="2" baseType="variant">
      <vt:variant>
        <vt:lpstr>Title</vt:lpstr>
      </vt:variant>
      <vt:variant>
        <vt:i4>1</vt:i4>
      </vt:variant>
    </vt:vector>
  </HeadingPairs>
  <TitlesOfParts>
    <vt:vector size="1" baseType="lpstr">
      <vt:lpstr>Guidelines on security in the CRC Program</vt:lpstr>
    </vt:vector>
  </TitlesOfParts>
  <Manager/>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security in the CRC Program</dc:title>
  <dc:subject/>
  <cp:keywords/>
  <dc:description/>
  <cp:lastPrinted>2025-02-04T04:16:00Z</cp:lastPrinted>
  <dcterms:created xsi:type="dcterms:W3CDTF">2025-01-15T23:16:00Z</dcterms:created>
  <dcterms:modified xsi:type="dcterms:W3CDTF">2025-02-04T04:16:00Z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0x0101001028556CFB9144429072EBF9DC6BE30D</vt:lpwstr>
  </property>
  <property fmtid="{D5CDD505-2E9C-101B-9397-08002B2CF9AE}" pid="3" name="MediaServiceImageTags">
    <vt:lpwstr/>
  </property>
  <property fmtid="{D5CDD505-2E9C-101B-9397-08002B2CF9AE}" pid="4" name="_dlc_DocIdItemGuid">
    <vt:lpwstr>ae34d36f-8199-4012-9a70-9385c302a537</vt:lpwstr>
  </property>
  <property fmtid="{D5CDD505-2E9C-101B-9397-08002B2CF9AE}" pid="5" name="DocHub_Year">
    <vt:lpwstr>46946;#2024|a9509632-5de2-45f9-9fc7-c24df7848880</vt:lpwstr>
  </property>
  <property fmtid="{D5CDD505-2E9C-101B-9397-08002B2CF9AE}" pid="6" name="DocHub_DocumentType">
    <vt:lpwstr>82;#Template|9b48ba34-650a-488d-9fe8-e5181e10b797</vt:lpwstr>
  </property>
  <property fmtid="{D5CDD505-2E9C-101B-9397-08002B2CF9AE}" pid="7" name="DocHub_SecurityClassification">
    <vt:lpwstr>3;#OFFICIAL|6106d03b-a1a0-4e30-9d91-d5e9fb4314f9</vt:lpwstr>
  </property>
  <property fmtid="{D5CDD505-2E9C-101B-9397-08002B2CF9AE}" pid="8" name="DocHub_CRCProgrammeSelectionRound">
    <vt:lpwstr/>
  </property>
  <property fmtid="{D5CDD505-2E9C-101B-9397-08002B2CF9AE}" pid="9" name="DocHub_Keywords">
    <vt:lpwstr>50911;#Communications template|a099d3a3-f47e-4cfa-a572-82b89337afa2</vt:lpwstr>
  </property>
  <property fmtid="{D5CDD505-2E9C-101B-9397-08002B2CF9AE}" pid="10" name="DocHub_Period">
    <vt:lpwstr/>
  </property>
  <property fmtid="{D5CDD505-2E9C-101B-9397-08002B2CF9AE}" pid="11" name="DocHub_WorkActivity">
    <vt:lpwstr>433;#Correspondence|4dbb53c0-efe9-4d07-b5f4-f32e6008c9fb</vt:lpwstr>
  </property>
  <property fmtid="{D5CDD505-2E9C-101B-9397-08002B2CF9AE}" pid="12" name="DocHub_EntityCustomer">
    <vt:lpwstr/>
  </property>
  <property fmtid="{D5CDD505-2E9C-101B-9397-08002B2CF9AE}" pid="13" name="Stratus_WorkActivity">
    <vt:lpwstr/>
  </property>
  <property fmtid="{D5CDD505-2E9C-101B-9397-08002B2CF9AE}" pid="14" name="DocHub_Division">
    <vt:lpwstr>111;#Common|8a2f92e9-1da3-4088-a90a-dd57315f71b9</vt:lpwstr>
  </property>
  <property fmtid="{D5CDD505-2E9C-101B-9397-08002B2CF9AE}" pid="15" name="DocHub_CommsTemplateTopics">
    <vt:lpwstr>41971;#Cooperative Research Centres Program|3ead9f96-c41c-4cf9-bc0e-fafca2968b1b</vt:lpwstr>
  </property>
  <property fmtid="{D5CDD505-2E9C-101B-9397-08002B2CF9AE}" pid="16" name="Stratus_Year">
    <vt:lpwstr/>
  </property>
  <property fmtid="{D5CDD505-2E9C-101B-9397-08002B2CF9AE}" pid="17" name="Stratus_DocumentType">
    <vt:lpwstr>17;#Guideline|57771b02-658a-45ea-b3f8-d7ea084e6707</vt:lpwstr>
  </property>
  <property fmtid="{D5CDD505-2E9C-101B-9397-08002B2CF9AE}" pid="18" name="Stratus_SecurityClassification">
    <vt:lpwstr>3;#OFFICIAL|1077e141-03cb-4307-8c0f-d43dc85f509f</vt:lpwstr>
  </property>
  <property fmtid="{D5CDD505-2E9C-101B-9397-08002B2CF9AE}" pid="19" name="Stratus_EntityCustomer">
    <vt:lpwstr/>
  </property>
  <property fmtid="{D5CDD505-2E9C-101B-9397-08002B2CF9AE}" pid="20" name="xd_ProgID">
    <vt:lpwstr/>
  </property>
  <property fmtid="{D5CDD505-2E9C-101B-9397-08002B2CF9AE}" pid="21" name="jf338c251f76460b8df5765977b428e2">
    <vt:lpwstr>OFFICIAL|1077e141-03cb-4307-8c0f-d43dc85f509f</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xd_Signature">
    <vt:bool>false</vt:bool>
  </property>
  <property fmtid="{D5CDD505-2E9C-101B-9397-08002B2CF9AE}" pid="26" name="TriggerFlowInfo">
    <vt:lpwstr/>
  </property>
  <property fmtid="{D5CDD505-2E9C-101B-9397-08002B2CF9AE}" pid="27" name="bdaa612907f64a03bbdcecf192235a13">
    <vt:lpwstr>Guideline|57771b02-658a-45ea-b3f8-d7ea084e6707</vt:lpwstr>
  </property>
</Properties>
</file>