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37834" w14:textId="0AC2F30E" w:rsidR="00423D13" w:rsidRPr="00960D98" w:rsidRDefault="00507590" w:rsidP="00423D13">
      <w:pPr>
        <w:pStyle w:val="Footer"/>
        <w:jc w:val="center"/>
        <w:rPr>
          <w:b/>
          <w:color w:val="CC0000"/>
          <w:sz w:val="24"/>
          <w:szCs w:val="24"/>
        </w:rPr>
      </w:pPr>
      <w:bookmarkStart w:id="0" w:name="_Toc19289801"/>
      <w:r>
        <w:rPr>
          <w:b/>
          <w:color w:val="CC0000"/>
          <w:sz w:val="24"/>
          <w:szCs w:val="24"/>
        </w:rPr>
        <w:t>OFFICIAL</w:t>
      </w:r>
    </w:p>
    <w:p w14:paraId="65A71EE8" w14:textId="044934B6" w:rsidR="002F60C0" w:rsidRDefault="00AD7672" w:rsidP="004A7856">
      <w:pPr>
        <w:spacing w:after="240"/>
      </w:pPr>
      <w:r w:rsidRPr="00180BF8">
        <w:rPr>
          <w:noProof/>
          <w:lang w:eastAsia="en-AU"/>
        </w:rPr>
        <w:drawing>
          <wp:inline distT="0" distB="0" distL="0" distR="0" wp14:anchorId="0B0B23A0" wp14:editId="3C3EA39D">
            <wp:extent cx="5140204" cy="688340"/>
            <wp:effectExtent l="0" t="0" r="3810" b="0"/>
            <wp:docPr id="6" name="Picture 6" descr="Department of Industry, Science and Resources - Cooperative Research Centre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partment of Industry, Science and Resources - Cooperative Research Centre Program"/>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140204" cy="68834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bookmarkStart w:id="1" w:name="_Toc155176735" w:displacedByCustomXml="next"/>
    <w:bookmarkStart w:id="2" w:name="_Toc144911604" w:displacedByCustomXml="next"/>
    <w:bookmarkStart w:id="3" w:name="_Toc168387584" w:displacedByCustomXml="next"/>
    <w:bookmarkStart w:id="4" w:name="_Toc168388092" w:displacedByCustomXml="next"/>
    <w:sdt>
      <w:sdtPr>
        <w:id w:val="-2088995269"/>
        <w:docPartObj>
          <w:docPartGallery w:val="Cover Pages"/>
          <w:docPartUnique/>
        </w:docPartObj>
      </w:sdtPr>
      <w:sdtEndPr/>
      <w:sdtContent>
        <w:bookmarkEnd w:id="0" w:displacedByCustomXml="next"/>
        <w:bookmarkEnd w:id="1" w:displacedByCustomXml="next"/>
        <w:bookmarkEnd w:id="2" w:displacedByCustomXml="next"/>
        <w:bookmarkEnd w:id="3" w:displacedByCustomXml="next"/>
        <w:bookmarkEnd w:id="4" w:displacedByCustomXml="next"/>
        <w:sdt>
          <w:sdtPr>
            <w:rPr>
              <w:rStyle w:val="Heading1Char"/>
            </w:rPr>
            <w:alias w:val="Title"/>
            <w:tag w:val=""/>
            <w:id w:val="-856345196"/>
            <w:placeholder>
              <w:docPart w:val="C2017DEF82F64F9DB5705BECFF1C3359"/>
            </w:placeholder>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p w14:paraId="57599713" w14:textId="58F16726" w:rsidR="0068286F" w:rsidRPr="005278DC" w:rsidRDefault="00507590" w:rsidP="005278DC">
              <w:pPr>
                <w:rPr>
                  <w:rStyle w:val="Heading1Char"/>
                </w:rPr>
              </w:pPr>
              <w:r w:rsidRPr="005278DC">
                <w:rPr>
                  <w:rStyle w:val="Heading1Char"/>
                </w:rPr>
                <w:t>CRC Grants – Annual Management Data Questionnaire (MDQ) Reporting Instructions</w:t>
              </w:r>
            </w:p>
          </w:sdtContent>
        </w:sdt>
        <w:p w14:paraId="33F743FB" w14:textId="77777777" w:rsidR="00507590" w:rsidRDefault="00507590" w:rsidP="005278DC">
          <w:pPr>
            <w:pStyle w:val="Subtitle"/>
          </w:pPr>
          <w:r>
            <w:t>June 2024</w:t>
          </w:r>
        </w:p>
        <w:sdt>
          <w:sdtPr>
            <w:rPr>
              <w:rFonts w:asciiTheme="minorHAnsi" w:eastAsiaTheme="minorHAnsi" w:hAnsiTheme="minorHAnsi" w:cstheme="minorBidi"/>
              <w:color w:val="auto"/>
              <w:sz w:val="20"/>
              <w:szCs w:val="22"/>
              <w:lang w:val="en-AU"/>
            </w:rPr>
            <w:id w:val="-1934191961"/>
            <w:docPartObj>
              <w:docPartGallery w:val="Table of Contents"/>
              <w:docPartUnique/>
            </w:docPartObj>
          </w:sdtPr>
          <w:sdtEndPr/>
          <w:sdtContent>
            <w:p w14:paraId="39572B0B" w14:textId="77777777" w:rsidR="005278DC" w:rsidRDefault="005278DC" w:rsidP="005278DC">
              <w:pPr>
                <w:pStyle w:val="TOCHeading"/>
              </w:pPr>
              <w:r>
                <w:t>Contents</w:t>
              </w:r>
            </w:p>
            <w:p w14:paraId="7FEEFD1E" w14:textId="7B72B689" w:rsidR="0057695E" w:rsidRDefault="005278DC">
              <w:pPr>
                <w:pStyle w:val="TOC2"/>
                <w:tabs>
                  <w:tab w:val="right" w:leader="dot" w:pos="9016"/>
                </w:tabs>
                <w:rPr>
                  <w:rFonts w:eastAsiaTheme="minorEastAsia"/>
                  <w:noProof/>
                  <w:kern w:val="2"/>
                  <w:sz w:val="22"/>
                  <w:lang w:eastAsia="en-AU"/>
                  <w14:ligatures w14:val="standardContextual"/>
                </w:rPr>
              </w:pPr>
              <w:r>
                <w:fldChar w:fldCharType="begin"/>
              </w:r>
              <w:r>
                <w:instrText xml:space="preserve"> TOC \o "1-3" \h \z \u </w:instrText>
              </w:r>
              <w:r>
                <w:fldChar w:fldCharType="separate"/>
              </w:r>
              <w:hyperlink w:anchor="_Toc168390503" w:history="1">
                <w:r w:rsidR="0057695E" w:rsidRPr="00DC7E08">
                  <w:rPr>
                    <w:rStyle w:val="Hyperlink"/>
                    <w:noProof/>
                  </w:rPr>
                  <w:t>Purpose</w:t>
                </w:r>
                <w:r w:rsidR="0057695E">
                  <w:rPr>
                    <w:noProof/>
                    <w:webHidden/>
                  </w:rPr>
                  <w:tab/>
                </w:r>
                <w:r w:rsidR="0057695E">
                  <w:rPr>
                    <w:noProof/>
                    <w:webHidden/>
                  </w:rPr>
                  <w:fldChar w:fldCharType="begin"/>
                </w:r>
                <w:r w:rsidR="0057695E">
                  <w:rPr>
                    <w:noProof/>
                    <w:webHidden/>
                  </w:rPr>
                  <w:instrText xml:space="preserve"> PAGEREF _Toc168390503 \h </w:instrText>
                </w:r>
                <w:r w:rsidR="0057695E">
                  <w:rPr>
                    <w:noProof/>
                    <w:webHidden/>
                  </w:rPr>
                </w:r>
                <w:r w:rsidR="0057695E">
                  <w:rPr>
                    <w:noProof/>
                    <w:webHidden/>
                  </w:rPr>
                  <w:fldChar w:fldCharType="separate"/>
                </w:r>
                <w:r w:rsidR="00FE2694">
                  <w:rPr>
                    <w:noProof/>
                    <w:webHidden/>
                  </w:rPr>
                  <w:t>2</w:t>
                </w:r>
                <w:r w:rsidR="0057695E">
                  <w:rPr>
                    <w:noProof/>
                    <w:webHidden/>
                  </w:rPr>
                  <w:fldChar w:fldCharType="end"/>
                </w:r>
              </w:hyperlink>
            </w:p>
            <w:p w14:paraId="0E7163FC" w14:textId="5543F0F3" w:rsidR="0057695E" w:rsidRDefault="00FE2694">
              <w:pPr>
                <w:pStyle w:val="TOC2"/>
                <w:tabs>
                  <w:tab w:val="right" w:leader="dot" w:pos="9016"/>
                </w:tabs>
                <w:rPr>
                  <w:rFonts w:eastAsiaTheme="minorEastAsia"/>
                  <w:noProof/>
                  <w:kern w:val="2"/>
                  <w:sz w:val="22"/>
                  <w:lang w:eastAsia="en-AU"/>
                  <w14:ligatures w14:val="standardContextual"/>
                </w:rPr>
              </w:pPr>
              <w:hyperlink w:anchor="_Toc168390504" w:history="1">
                <w:r w:rsidR="0057695E" w:rsidRPr="00DC7E08">
                  <w:rPr>
                    <w:rStyle w:val="Hyperlink"/>
                    <w:noProof/>
                  </w:rPr>
                  <w:t>Privacy</w:t>
                </w:r>
                <w:r w:rsidR="0057695E">
                  <w:rPr>
                    <w:noProof/>
                    <w:webHidden/>
                  </w:rPr>
                  <w:tab/>
                </w:r>
                <w:r w:rsidR="0057695E">
                  <w:rPr>
                    <w:noProof/>
                    <w:webHidden/>
                  </w:rPr>
                  <w:fldChar w:fldCharType="begin"/>
                </w:r>
                <w:r w:rsidR="0057695E">
                  <w:rPr>
                    <w:noProof/>
                    <w:webHidden/>
                  </w:rPr>
                  <w:instrText xml:space="preserve"> PAGEREF _Toc168390504 \h </w:instrText>
                </w:r>
                <w:r w:rsidR="0057695E">
                  <w:rPr>
                    <w:noProof/>
                    <w:webHidden/>
                  </w:rPr>
                </w:r>
                <w:r w:rsidR="0057695E">
                  <w:rPr>
                    <w:noProof/>
                    <w:webHidden/>
                  </w:rPr>
                  <w:fldChar w:fldCharType="separate"/>
                </w:r>
                <w:r>
                  <w:rPr>
                    <w:noProof/>
                    <w:webHidden/>
                  </w:rPr>
                  <w:t>2</w:t>
                </w:r>
                <w:r w:rsidR="0057695E">
                  <w:rPr>
                    <w:noProof/>
                    <w:webHidden/>
                  </w:rPr>
                  <w:fldChar w:fldCharType="end"/>
                </w:r>
              </w:hyperlink>
            </w:p>
            <w:p w14:paraId="2F15663B" w14:textId="75E43C96" w:rsidR="0057695E" w:rsidRDefault="00FE2694">
              <w:pPr>
                <w:pStyle w:val="TOC2"/>
                <w:tabs>
                  <w:tab w:val="right" w:leader="dot" w:pos="9016"/>
                </w:tabs>
                <w:rPr>
                  <w:rFonts w:eastAsiaTheme="minorEastAsia"/>
                  <w:noProof/>
                  <w:kern w:val="2"/>
                  <w:sz w:val="22"/>
                  <w:lang w:eastAsia="en-AU"/>
                  <w14:ligatures w14:val="standardContextual"/>
                </w:rPr>
              </w:pPr>
              <w:hyperlink w:anchor="_Toc168390505" w:history="1">
                <w:r w:rsidR="0057695E" w:rsidRPr="00DC7E08">
                  <w:rPr>
                    <w:rStyle w:val="Hyperlink"/>
                    <w:noProof/>
                  </w:rPr>
                  <w:t>Confidentiality of MDQ data</w:t>
                </w:r>
                <w:r w:rsidR="0057695E">
                  <w:rPr>
                    <w:noProof/>
                    <w:webHidden/>
                  </w:rPr>
                  <w:tab/>
                </w:r>
                <w:r w:rsidR="0057695E">
                  <w:rPr>
                    <w:noProof/>
                    <w:webHidden/>
                  </w:rPr>
                  <w:fldChar w:fldCharType="begin"/>
                </w:r>
                <w:r w:rsidR="0057695E">
                  <w:rPr>
                    <w:noProof/>
                    <w:webHidden/>
                  </w:rPr>
                  <w:instrText xml:space="preserve"> PAGEREF _Toc168390505 \h </w:instrText>
                </w:r>
                <w:r w:rsidR="0057695E">
                  <w:rPr>
                    <w:noProof/>
                    <w:webHidden/>
                  </w:rPr>
                </w:r>
                <w:r w:rsidR="0057695E">
                  <w:rPr>
                    <w:noProof/>
                    <w:webHidden/>
                  </w:rPr>
                  <w:fldChar w:fldCharType="separate"/>
                </w:r>
                <w:r>
                  <w:rPr>
                    <w:noProof/>
                    <w:webHidden/>
                  </w:rPr>
                  <w:t>3</w:t>
                </w:r>
                <w:r w:rsidR="0057695E">
                  <w:rPr>
                    <w:noProof/>
                    <w:webHidden/>
                  </w:rPr>
                  <w:fldChar w:fldCharType="end"/>
                </w:r>
              </w:hyperlink>
            </w:p>
            <w:p w14:paraId="62FFBB4D" w14:textId="0DA083B1" w:rsidR="0057695E" w:rsidRDefault="00FE2694">
              <w:pPr>
                <w:pStyle w:val="TOC2"/>
                <w:tabs>
                  <w:tab w:val="right" w:leader="dot" w:pos="9016"/>
                </w:tabs>
                <w:rPr>
                  <w:rFonts w:eastAsiaTheme="minorEastAsia"/>
                  <w:noProof/>
                  <w:kern w:val="2"/>
                  <w:sz w:val="22"/>
                  <w:lang w:eastAsia="en-AU"/>
                  <w14:ligatures w14:val="standardContextual"/>
                </w:rPr>
              </w:pPr>
              <w:hyperlink w:anchor="_Toc168390506" w:history="1">
                <w:r w:rsidR="0057695E" w:rsidRPr="00DC7E08">
                  <w:rPr>
                    <w:rStyle w:val="Hyperlink"/>
                    <w:noProof/>
                  </w:rPr>
                  <w:t>General Instructions</w:t>
                </w:r>
                <w:r w:rsidR="0057695E">
                  <w:rPr>
                    <w:noProof/>
                    <w:webHidden/>
                  </w:rPr>
                  <w:tab/>
                </w:r>
                <w:r w:rsidR="0057695E">
                  <w:rPr>
                    <w:noProof/>
                    <w:webHidden/>
                  </w:rPr>
                  <w:fldChar w:fldCharType="begin"/>
                </w:r>
                <w:r w:rsidR="0057695E">
                  <w:rPr>
                    <w:noProof/>
                    <w:webHidden/>
                  </w:rPr>
                  <w:instrText xml:space="preserve"> PAGEREF _Toc168390506 \h </w:instrText>
                </w:r>
                <w:r w:rsidR="0057695E">
                  <w:rPr>
                    <w:noProof/>
                    <w:webHidden/>
                  </w:rPr>
                </w:r>
                <w:r w:rsidR="0057695E">
                  <w:rPr>
                    <w:noProof/>
                    <w:webHidden/>
                  </w:rPr>
                  <w:fldChar w:fldCharType="separate"/>
                </w:r>
                <w:r>
                  <w:rPr>
                    <w:noProof/>
                    <w:webHidden/>
                  </w:rPr>
                  <w:t>3</w:t>
                </w:r>
                <w:r w:rsidR="0057695E">
                  <w:rPr>
                    <w:noProof/>
                    <w:webHidden/>
                  </w:rPr>
                  <w:fldChar w:fldCharType="end"/>
                </w:r>
              </w:hyperlink>
            </w:p>
            <w:p w14:paraId="07C158F6" w14:textId="3E86B278" w:rsidR="0057695E" w:rsidRDefault="00FE2694">
              <w:pPr>
                <w:pStyle w:val="TOC2"/>
                <w:tabs>
                  <w:tab w:val="right" w:leader="dot" w:pos="9016"/>
                </w:tabs>
                <w:rPr>
                  <w:rFonts w:eastAsiaTheme="minorEastAsia"/>
                  <w:noProof/>
                  <w:kern w:val="2"/>
                  <w:sz w:val="22"/>
                  <w:lang w:eastAsia="en-AU"/>
                  <w14:ligatures w14:val="standardContextual"/>
                </w:rPr>
              </w:pPr>
              <w:hyperlink w:anchor="_Toc168390507" w:history="1">
                <w:r w:rsidR="0057695E" w:rsidRPr="00DC7E08">
                  <w:rPr>
                    <w:rStyle w:val="Hyperlink"/>
                    <w:noProof/>
                  </w:rPr>
                  <w:t>Section 1 – Contact Details</w:t>
                </w:r>
                <w:r w:rsidR="0057695E">
                  <w:rPr>
                    <w:noProof/>
                    <w:webHidden/>
                  </w:rPr>
                  <w:tab/>
                </w:r>
                <w:r w:rsidR="0057695E">
                  <w:rPr>
                    <w:noProof/>
                    <w:webHidden/>
                  </w:rPr>
                  <w:fldChar w:fldCharType="begin"/>
                </w:r>
                <w:r w:rsidR="0057695E">
                  <w:rPr>
                    <w:noProof/>
                    <w:webHidden/>
                  </w:rPr>
                  <w:instrText xml:space="preserve"> PAGEREF _Toc168390507 \h </w:instrText>
                </w:r>
                <w:r w:rsidR="0057695E">
                  <w:rPr>
                    <w:noProof/>
                    <w:webHidden/>
                  </w:rPr>
                </w:r>
                <w:r w:rsidR="0057695E">
                  <w:rPr>
                    <w:noProof/>
                    <w:webHidden/>
                  </w:rPr>
                  <w:fldChar w:fldCharType="separate"/>
                </w:r>
                <w:r>
                  <w:rPr>
                    <w:noProof/>
                    <w:webHidden/>
                  </w:rPr>
                  <w:t>3</w:t>
                </w:r>
                <w:r w:rsidR="0057695E">
                  <w:rPr>
                    <w:noProof/>
                    <w:webHidden/>
                  </w:rPr>
                  <w:fldChar w:fldCharType="end"/>
                </w:r>
              </w:hyperlink>
            </w:p>
            <w:p w14:paraId="1F7E7CA2" w14:textId="610EEC00" w:rsidR="0057695E" w:rsidRDefault="00FE2694">
              <w:pPr>
                <w:pStyle w:val="TOC2"/>
                <w:tabs>
                  <w:tab w:val="right" w:leader="dot" w:pos="9016"/>
                </w:tabs>
                <w:rPr>
                  <w:rFonts w:eastAsiaTheme="minorEastAsia"/>
                  <w:noProof/>
                  <w:kern w:val="2"/>
                  <w:sz w:val="22"/>
                  <w:lang w:eastAsia="en-AU"/>
                  <w14:ligatures w14:val="standardContextual"/>
                </w:rPr>
              </w:pPr>
              <w:hyperlink w:anchor="_Toc168390508" w:history="1">
                <w:r w:rsidR="0057695E" w:rsidRPr="00DC7E08">
                  <w:rPr>
                    <w:rStyle w:val="Hyperlink"/>
                    <w:noProof/>
                  </w:rPr>
                  <w:t>Section 2 – Research</w:t>
                </w:r>
                <w:r w:rsidR="0057695E">
                  <w:rPr>
                    <w:noProof/>
                    <w:webHidden/>
                  </w:rPr>
                  <w:tab/>
                </w:r>
                <w:r w:rsidR="0057695E">
                  <w:rPr>
                    <w:noProof/>
                    <w:webHidden/>
                  </w:rPr>
                  <w:fldChar w:fldCharType="begin"/>
                </w:r>
                <w:r w:rsidR="0057695E">
                  <w:rPr>
                    <w:noProof/>
                    <w:webHidden/>
                  </w:rPr>
                  <w:instrText xml:space="preserve"> PAGEREF _Toc168390508 \h </w:instrText>
                </w:r>
                <w:r w:rsidR="0057695E">
                  <w:rPr>
                    <w:noProof/>
                    <w:webHidden/>
                  </w:rPr>
                </w:r>
                <w:r w:rsidR="0057695E">
                  <w:rPr>
                    <w:noProof/>
                    <w:webHidden/>
                  </w:rPr>
                  <w:fldChar w:fldCharType="separate"/>
                </w:r>
                <w:r>
                  <w:rPr>
                    <w:noProof/>
                    <w:webHidden/>
                  </w:rPr>
                  <w:t>3</w:t>
                </w:r>
                <w:r w:rsidR="0057695E">
                  <w:rPr>
                    <w:noProof/>
                    <w:webHidden/>
                  </w:rPr>
                  <w:fldChar w:fldCharType="end"/>
                </w:r>
              </w:hyperlink>
            </w:p>
            <w:p w14:paraId="52800D38" w14:textId="28EF1201" w:rsidR="0057695E" w:rsidRDefault="00FE2694">
              <w:pPr>
                <w:pStyle w:val="TOC3"/>
                <w:tabs>
                  <w:tab w:val="right" w:leader="dot" w:pos="9016"/>
                </w:tabs>
                <w:rPr>
                  <w:rFonts w:eastAsiaTheme="minorEastAsia"/>
                  <w:noProof/>
                  <w:kern w:val="2"/>
                  <w:sz w:val="22"/>
                  <w:lang w:eastAsia="en-AU"/>
                  <w14:ligatures w14:val="standardContextual"/>
                </w:rPr>
              </w:pPr>
              <w:hyperlink w:anchor="_Toc168390509" w:history="1">
                <w:r w:rsidR="0057695E" w:rsidRPr="00DC7E08">
                  <w:rPr>
                    <w:rStyle w:val="Hyperlink"/>
                    <w:noProof/>
                  </w:rPr>
                  <w:t>2.1 – Publications, reports, and engagement</w:t>
                </w:r>
                <w:r w:rsidR="0057695E">
                  <w:rPr>
                    <w:noProof/>
                    <w:webHidden/>
                  </w:rPr>
                  <w:tab/>
                </w:r>
                <w:r w:rsidR="0057695E">
                  <w:rPr>
                    <w:noProof/>
                    <w:webHidden/>
                  </w:rPr>
                  <w:fldChar w:fldCharType="begin"/>
                </w:r>
                <w:r w:rsidR="0057695E">
                  <w:rPr>
                    <w:noProof/>
                    <w:webHidden/>
                  </w:rPr>
                  <w:instrText xml:space="preserve"> PAGEREF _Toc168390509 \h </w:instrText>
                </w:r>
                <w:r w:rsidR="0057695E">
                  <w:rPr>
                    <w:noProof/>
                    <w:webHidden/>
                  </w:rPr>
                </w:r>
                <w:r w:rsidR="0057695E">
                  <w:rPr>
                    <w:noProof/>
                    <w:webHidden/>
                  </w:rPr>
                  <w:fldChar w:fldCharType="separate"/>
                </w:r>
                <w:r>
                  <w:rPr>
                    <w:noProof/>
                    <w:webHidden/>
                  </w:rPr>
                  <w:t>4</w:t>
                </w:r>
                <w:r w:rsidR="0057695E">
                  <w:rPr>
                    <w:noProof/>
                    <w:webHidden/>
                  </w:rPr>
                  <w:fldChar w:fldCharType="end"/>
                </w:r>
              </w:hyperlink>
            </w:p>
            <w:p w14:paraId="15880A4B" w14:textId="6DD2A9D0" w:rsidR="0057695E" w:rsidRDefault="00FE2694">
              <w:pPr>
                <w:pStyle w:val="TOC3"/>
                <w:tabs>
                  <w:tab w:val="right" w:leader="dot" w:pos="9016"/>
                </w:tabs>
                <w:rPr>
                  <w:rFonts w:eastAsiaTheme="minorEastAsia"/>
                  <w:noProof/>
                  <w:kern w:val="2"/>
                  <w:sz w:val="22"/>
                  <w:lang w:eastAsia="en-AU"/>
                  <w14:ligatures w14:val="standardContextual"/>
                </w:rPr>
              </w:pPr>
              <w:hyperlink w:anchor="_Toc168390510" w:history="1">
                <w:r w:rsidR="0057695E" w:rsidRPr="00DC7E08">
                  <w:rPr>
                    <w:rStyle w:val="Hyperlink"/>
                    <w:noProof/>
                  </w:rPr>
                  <w:t>2.2 – Science and Research Priorities</w:t>
                </w:r>
                <w:r w:rsidR="0057695E">
                  <w:rPr>
                    <w:noProof/>
                    <w:webHidden/>
                  </w:rPr>
                  <w:tab/>
                </w:r>
                <w:r w:rsidR="0057695E">
                  <w:rPr>
                    <w:noProof/>
                    <w:webHidden/>
                  </w:rPr>
                  <w:fldChar w:fldCharType="begin"/>
                </w:r>
                <w:r w:rsidR="0057695E">
                  <w:rPr>
                    <w:noProof/>
                    <w:webHidden/>
                  </w:rPr>
                  <w:instrText xml:space="preserve"> PAGEREF _Toc168390510 \h </w:instrText>
                </w:r>
                <w:r w:rsidR="0057695E">
                  <w:rPr>
                    <w:noProof/>
                    <w:webHidden/>
                  </w:rPr>
                </w:r>
                <w:r w:rsidR="0057695E">
                  <w:rPr>
                    <w:noProof/>
                    <w:webHidden/>
                  </w:rPr>
                  <w:fldChar w:fldCharType="separate"/>
                </w:r>
                <w:r>
                  <w:rPr>
                    <w:noProof/>
                    <w:webHidden/>
                  </w:rPr>
                  <w:t>5</w:t>
                </w:r>
                <w:r w:rsidR="0057695E">
                  <w:rPr>
                    <w:noProof/>
                    <w:webHidden/>
                  </w:rPr>
                  <w:fldChar w:fldCharType="end"/>
                </w:r>
              </w:hyperlink>
            </w:p>
            <w:p w14:paraId="1EFF96C5" w14:textId="5CF22CEB" w:rsidR="0057695E" w:rsidRDefault="00FE2694">
              <w:pPr>
                <w:pStyle w:val="TOC2"/>
                <w:tabs>
                  <w:tab w:val="right" w:leader="dot" w:pos="9016"/>
                </w:tabs>
                <w:rPr>
                  <w:rFonts w:eastAsiaTheme="minorEastAsia"/>
                  <w:noProof/>
                  <w:kern w:val="2"/>
                  <w:sz w:val="22"/>
                  <w:lang w:eastAsia="en-AU"/>
                  <w14:ligatures w14:val="standardContextual"/>
                </w:rPr>
              </w:pPr>
              <w:hyperlink w:anchor="_Toc168390511" w:history="1">
                <w:r w:rsidR="0057695E" w:rsidRPr="00DC7E08">
                  <w:rPr>
                    <w:rStyle w:val="Hyperlink"/>
                    <w:noProof/>
                  </w:rPr>
                  <w:t>Section 3 – Intellectual Property</w:t>
                </w:r>
                <w:r w:rsidR="0057695E">
                  <w:rPr>
                    <w:noProof/>
                    <w:webHidden/>
                  </w:rPr>
                  <w:tab/>
                </w:r>
                <w:r w:rsidR="0057695E">
                  <w:rPr>
                    <w:noProof/>
                    <w:webHidden/>
                  </w:rPr>
                  <w:fldChar w:fldCharType="begin"/>
                </w:r>
                <w:r w:rsidR="0057695E">
                  <w:rPr>
                    <w:noProof/>
                    <w:webHidden/>
                  </w:rPr>
                  <w:instrText xml:space="preserve"> PAGEREF _Toc168390511 \h </w:instrText>
                </w:r>
                <w:r w:rsidR="0057695E">
                  <w:rPr>
                    <w:noProof/>
                    <w:webHidden/>
                  </w:rPr>
                </w:r>
                <w:r w:rsidR="0057695E">
                  <w:rPr>
                    <w:noProof/>
                    <w:webHidden/>
                  </w:rPr>
                  <w:fldChar w:fldCharType="separate"/>
                </w:r>
                <w:r>
                  <w:rPr>
                    <w:noProof/>
                    <w:webHidden/>
                  </w:rPr>
                  <w:t>5</w:t>
                </w:r>
                <w:r w:rsidR="0057695E">
                  <w:rPr>
                    <w:noProof/>
                    <w:webHidden/>
                  </w:rPr>
                  <w:fldChar w:fldCharType="end"/>
                </w:r>
              </w:hyperlink>
            </w:p>
            <w:p w14:paraId="4E47CDE5" w14:textId="3AAE1461" w:rsidR="0057695E" w:rsidRDefault="00FE2694">
              <w:pPr>
                <w:pStyle w:val="TOC3"/>
                <w:tabs>
                  <w:tab w:val="right" w:leader="dot" w:pos="9016"/>
                </w:tabs>
                <w:rPr>
                  <w:rFonts w:eastAsiaTheme="minorEastAsia"/>
                  <w:noProof/>
                  <w:kern w:val="2"/>
                  <w:sz w:val="22"/>
                  <w:lang w:eastAsia="en-AU"/>
                  <w14:ligatures w14:val="standardContextual"/>
                </w:rPr>
              </w:pPr>
              <w:hyperlink w:anchor="_Toc168390512" w:history="1">
                <w:r w:rsidR="0057695E" w:rsidRPr="00DC7E08">
                  <w:rPr>
                    <w:rStyle w:val="Hyperlink"/>
                    <w:noProof/>
                  </w:rPr>
                  <w:t>3.1 Patents and plant breeder’s rights</w:t>
                </w:r>
                <w:r w:rsidR="0057695E">
                  <w:rPr>
                    <w:noProof/>
                    <w:webHidden/>
                  </w:rPr>
                  <w:tab/>
                </w:r>
                <w:r w:rsidR="0057695E">
                  <w:rPr>
                    <w:noProof/>
                    <w:webHidden/>
                  </w:rPr>
                  <w:fldChar w:fldCharType="begin"/>
                </w:r>
                <w:r w:rsidR="0057695E">
                  <w:rPr>
                    <w:noProof/>
                    <w:webHidden/>
                  </w:rPr>
                  <w:instrText xml:space="preserve"> PAGEREF _Toc168390512 \h </w:instrText>
                </w:r>
                <w:r w:rsidR="0057695E">
                  <w:rPr>
                    <w:noProof/>
                    <w:webHidden/>
                  </w:rPr>
                </w:r>
                <w:r w:rsidR="0057695E">
                  <w:rPr>
                    <w:noProof/>
                    <w:webHidden/>
                  </w:rPr>
                  <w:fldChar w:fldCharType="separate"/>
                </w:r>
                <w:r>
                  <w:rPr>
                    <w:noProof/>
                    <w:webHidden/>
                  </w:rPr>
                  <w:t>6</w:t>
                </w:r>
                <w:r w:rsidR="0057695E">
                  <w:rPr>
                    <w:noProof/>
                    <w:webHidden/>
                  </w:rPr>
                  <w:fldChar w:fldCharType="end"/>
                </w:r>
              </w:hyperlink>
            </w:p>
            <w:p w14:paraId="33B2AB3A" w14:textId="074EE5A4" w:rsidR="0057695E" w:rsidRDefault="00FE2694">
              <w:pPr>
                <w:pStyle w:val="TOC3"/>
                <w:tabs>
                  <w:tab w:val="right" w:leader="dot" w:pos="9016"/>
                </w:tabs>
                <w:rPr>
                  <w:rFonts w:eastAsiaTheme="minorEastAsia"/>
                  <w:noProof/>
                  <w:kern w:val="2"/>
                  <w:sz w:val="22"/>
                  <w:lang w:eastAsia="en-AU"/>
                  <w14:ligatures w14:val="standardContextual"/>
                </w:rPr>
              </w:pPr>
              <w:hyperlink w:anchor="_Toc168390513" w:history="1">
                <w:r w:rsidR="0057695E" w:rsidRPr="00DC7E08">
                  <w:rPr>
                    <w:rStyle w:val="Hyperlink"/>
                    <w:noProof/>
                  </w:rPr>
                  <w:t>3.2 Other intellectual property</w:t>
                </w:r>
                <w:r w:rsidR="0057695E">
                  <w:rPr>
                    <w:noProof/>
                    <w:webHidden/>
                  </w:rPr>
                  <w:tab/>
                </w:r>
                <w:r w:rsidR="0057695E">
                  <w:rPr>
                    <w:noProof/>
                    <w:webHidden/>
                  </w:rPr>
                  <w:fldChar w:fldCharType="begin"/>
                </w:r>
                <w:r w:rsidR="0057695E">
                  <w:rPr>
                    <w:noProof/>
                    <w:webHidden/>
                  </w:rPr>
                  <w:instrText xml:space="preserve"> PAGEREF _Toc168390513 \h </w:instrText>
                </w:r>
                <w:r w:rsidR="0057695E">
                  <w:rPr>
                    <w:noProof/>
                    <w:webHidden/>
                  </w:rPr>
                </w:r>
                <w:r w:rsidR="0057695E">
                  <w:rPr>
                    <w:noProof/>
                    <w:webHidden/>
                  </w:rPr>
                  <w:fldChar w:fldCharType="separate"/>
                </w:r>
                <w:r>
                  <w:rPr>
                    <w:noProof/>
                    <w:webHidden/>
                  </w:rPr>
                  <w:t>6</w:t>
                </w:r>
                <w:r w:rsidR="0057695E">
                  <w:rPr>
                    <w:noProof/>
                    <w:webHidden/>
                  </w:rPr>
                  <w:fldChar w:fldCharType="end"/>
                </w:r>
              </w:hyperlink>
            </w:p>
            <w:p w14:paraId="685F8C29" w14:textId="57689FC8" w:rsidR="0057695E" w:rsidRDefault="00FE2694">
              <w:pPr>
                <w:pStyle w:val="TOC3"/>
                <w:tabs>
                  <w:tab w:val="right" w:leader="dot" w:pos="9016"/>
                </w:tabs>
                <w:rPr>
                  <w:rFonts w:eastAsiaTheme="minorEastAsia"/>
                  <w:noProof/>
                  <w:kern w:val="2"/>
                  <w:sz w:val="22"/>
                  <w:lang w:eastAsia="en-AU"/>
                  <w14:ligatures w14:val="standardContextual"/>
                </w:rPr>
              </w:pPr>
              <w:hyperlink w:anchor="_Toc168390514" w:history="1">
                <w:r w:rsidR="0057695E" w:rsidRPr="00DC7E08">
                  <w:rPr>
                    <w:rStyle w:val="Hyperlink"/>
                    <w:noProof/>
                  </w:rPr>
                  <w:t>3.3 Licences/Options/Assignments (LOAs)</w:t>
                </w:r>
                <w:r w:rsidR="0057695E">
                  <w:rPr>
                    <w:noProof/>
                    <w:webHidden/>
                  </w:rPr>
                  <w:tab/>
                </w:r>
                <w:r w:rsidR="0057695E">
                  <w:rPr>
                    <w:noProof/>
                    <w:webHidden/>
                  </w:rPr>
                  <w:fldChar w:fldCharType="begin"/>
                </w:r>
                <w:r w:rsidR="0057695E">
                  <w:rPr>
                    <w:noProof/>
                    <w:webHidden/>
                  </w:rPr>
                  <w:instrText xml:space="preserve"> PAGEREF _Toc168390514 \h </w:instrText>
                </w:r>
                <w:r w:rsidR="0057695E">
                  <w:rPr>
                    <w:noProof/>
                    <w:webHidden/>
                  </w:rPr>
                </w:r>
                <w:r w:rsidR="0057695E">
                  <w:rPr>
                    <w:noProof/>
                    <w:webHidden/>
                  </w:rPr>
                  <w:fldChar w:fldCharType="separate"/>
                </w:r>
                <w:r>
                  <w:rPr>
                    <w:noProof/>
                    <w:webHidden/>
                  </w:rPr>
                  <w:t>6</w:t>
                </w:r>
                <w:r w:rsidR="0057695E">
                  <w:rPr>
                    <w:noProof/>
                    <w:webHidden/>
                  </w:rPr>
                  <w:fldChar w:fldCharType="end"/>
                </w:r>
              </w:hyperlink>
            </w:p>
            <w:p w14:paraId="3490F4A9" w14:textId="575E9868" w:rsidR="0057695E" w:rsidRDefault="00FE2694">
              <w:pPr>
                <w:pStyle w:val="TOC3"/>
                <w:tabs>
                  <w:tab w:val="right" w:leader="dot" w:pos="9016"/>
                </w:tabs>
                <w:rPr>
                  <w:rFonts w:eastAsiaTheme="minorEastAsia"/>
                  <w:noProof/>
                  <w:kern w:val="2"/>
                  <w:sz w:val="22"/>
                  <w:lang w:eastAsia="en-AU"/>
                  <w14:ligatures w14:val="standardContextual"/>
                </w:rPr>
              </w:pPr>
              <w:hyperlink w:anchor="_Toc168390515" w:history="1">
                <w:r w:rsidR="0057695E" w:rsidRPr="00DC7E08">
                  <w:rPr>
                    <w:rStyle w:val="Hyperlink"/>
                    <w:noProof/>
                  </w:rPr>
                  <w:t>3.4 Material Transfer Agreements and Direct Sales</w:t>
                </w:r>
                <w:r w:rsidR="0057695E">
                  <w:rPr>
                    <w:noProof/>
                    <w:webHidden/>
                  </w:rPr>
                  <w:tab/>
                </w:r>
                <w:r w:rsidR="0057695E">
                  <w:rPr>
                    <w:noProof/>
                    <w:webHidden/>
                  </w:rPr>
                  <w:fldChar w:fldCharType="begin"/>
                </w:r>
                <w:r w:rsidR="0057695E">
                  <w:rPr>
                    <w:noProof/>
                    <w:webHidden/>
                  </w:rPr>
                  <w:instrText xml:space="preserve"> PAGEREF _Toc168390515 \h </w:instrText>
                </w:r>
                <w:r w:rsidR="0057695E">
                  <w:rPr>
                    <w:noProof/>
                    <w:webHidden/>
                  </w:rPr>
                </w:r>
                <w:r w:rsidR="0057695E">
                  <w:rPr>
                    <w:noProof/>
                    <w:webHidden/>
                  </w:rPr>
                  <w:fldChar w:fldCharType="separate"/>
                </w:r>
                <w:r>
                  <w:rPr>
                    <w:noProof/>
                    <w:webHidden/>
                  </w:rPr>
                  <w:t>7</w:t>
                </w:r>
                <w:r w:rsidR="0057695E">
                  <w:rPr>
                    <w:noProof/>
                    <w:webHidden/>
                  </w:rPr>
                  <w:fldChar w:fldCharType="end"/>
                </w:r>
              </w:hyperlink>
            </w:p>
            <w:p w14:paraId="3806C339" w14:textId="06D1B505" w:rsidR="0057695E" w:rsidRDefault="00FE2694">
              <w:pPr>
                <w:pStyle w:val="TOC3"/>
                <w:tabs>
                  <w:tab w:val="right" w:leader="dot" w:pos="9016"/>
                </w:tabs>
                <w:rPr>
                  <w:rFonts w:eastAsiaTheme="minorEastAsia"/>
                  <w:noProof/>
                  <w:kern w:val="2"/>
                  <w:sz w:val="22"/>
                  <w:lang w:eastAsia="en-AU"/>
                  <w14:ligatures w14:val="standardContextual"/>
                </w:rPr>
              </w:pPr>
              <w:hyperlink w:anchor="_Toc168390516" w:history="1">
                <w:r w:rsidR="0057695E" w:rsidRPr="00DC7E08">
                  <w:rPr>
                    <w:rStyle w:val="Hyperlink"/>
                    <w:noProof/>
                  </w:rPr>
                  <w:t>3.5 Spin-off companies</w:t>
                </w:r>
                <w:r w:rsidR="0057695E">
                  <w:rPr>
                    <w:noProof/>
                    <w:webHidden/>
                  </w:rPr>
                  <w:tab/>
                </w:r>
                <w:r w:rsidR="0057695E">
                  <w:rPr>
                    <w:noProof/>
                    <w:webHidden/>
                  </w:rPr>
                  <w:fldChar w:fldCharType="begin"/>
                </w:r>
                <w:r w:rsidR="0057695E">
                  <w:rPr>
                    <w:noProof/>
                    <w:webHidden/>
                  </w:rPr>
                  <w:instrText xml:space="preserve"> PAGEREF _Toc168390516 \h </w:instrText>
                </w:r>
                <w:r w:rsidR="0057695E">
                  <w:rPr>
                    <w:noProof/>
                    <w:webHidden/>
                  </w:rPr>
                </w:r>
                <w:r w:rsidR="0057695E">
                  <w:rPr>
                    <w:noProof/>
                    <w:webHidden/>
                  </w:rPr>
                  <w:fldChar w:fldCharType="separate"/>
                </w:r>
                <w:r>
                  <w:rPr>
                    <w:noProof/>
                    <w:webHidden/>
                  </w:rPr>
                  <w:t>8</w:t>
                </w:r>
                <w:r w:rsidR="0057695E">
                  <w:rPr>
                    <w:noProof/>
                    <w:webHidden/>
                  </w:rPr>
                  <w:fldChar w:fldCharType="end"/>
                </w:r>
              </w:hyperlink>
            </w:p>
            <w:p w14:paraId="767C34A6" w14:textId="279124B2" w:rsidR="0057695E" w:rsidRDefault="00FE2694">
              <w:pPr>
                <w:pStyle w:val="TOC3"/>
                <w:tabs>
                  <w:tab w:val="right" w:leader="dot" w:pos="9016"/>
                </w:tabs>
                <w:rPr>
                  <w:rFonts w:eastAsiaTheme="minorEastAsia"/>
                  <w:noProof/>
                  <w:kern w:val="2"/>
                  <w:sz w:val="22"/>
                  <w:lang w:eastAsia="en-AU"/>
                  <w14:ligatures w14:val="standardContextual"/>
                </w:rPr>
              </w:pPr>
              <w:hyperlink w:anchor="_Toc168390517" w:history="1">
                <w:r w:rsidR="0057695E" w:rsidRPr="00DC7E08">
                  <w:rPr>
                    <w:rStyle w:val="Hyperlink"/>
                    <w:noProof/>
                  </w:rPr>
                  <w:t>3.6 Contracts and consultancies – other activities</w:t>
                </w:r>
                <w:r w:rsidR="0057695E">
                  <w:rPr>
                    <w:noProof/>
                    <w:webHidden/>
                  </w:rPr>
                  <w:tab/>
                </w:r>
                <w:r w:rsidR="0057695E">
                  <w:rPr>
                    <w:noProof/>
                    <w:webHidden/>
                  </w:rPr>
                  <w:fldChar w:fldCharType="begin"/>
                </w:r>
                <w:r w:rsidR="0057695E">
                  <w:rPr>
                    <w:noProof/>
                    <w:webHidden/>
                  </w:rPr>
                  <w:instrText xml:space="preserve"> PAGEREF _Toc168390517 \h </w:instrText>
                </w:r>
                <w:r w:rsidR="0057695E">
                  <w:rPr>
                    <w:noProof/>
                    <w:webHidden/>
                  </w:rPr>
                </w:r>
                <w:r w:rsidR="0057695E">
                  <w:rPr>
                    <w:noProof/>
                    <w:webHidden/>
                  </w:rPr>
                  <w:fldChar w:fldCharType="separate"/>
                </w:r>
                <w:r>
                  <w:rPr>
                    <w:noProof/>
                    <w:webHidden/>
                  </w:rPr>
                  <w:t>8</w:t>
                </w:r>
                <w:r w:rsidR="0057695E">
                  <w:rPr>
                    <w:noProof/>
                    <w:webHidden/>
                  </w:rPr>
                  <w:fldChar w:fldCharType="end"/>
                </w:r>
              </w:hyperlink>
            </w:p>
            <w:p w14:paraId="15FCC76F" w14:textId="66264F5E" w:rsidR="0057695E" w:rsidRDefault="00FE2694">
              <w:pPr>
                <w:pStyle w:val="TOC2"/>
                <w:tabs>
                  <w:tab w:val="right" w:leader="dot" w:pos="9016"/>
                </w:tabs>
                <w:rPr>
                  <w:rFonts w:eastAsiaTheme="minorEastAsia"/>
                  <w:noProof/>
                  <w:kern w:val="2"/>
                  <w:sz w:val="22"/>
                  <w:lang w:eastAsia="en-AU"/>
                  <w14:ligatures w14:val="standardContextual"/>
                </w:rPr>
              </w:pPr>
              <w:hyperlink w:anchor="_Toc168390518" w:history="1">
                <w:r w:rsidR="0057695E" w:rsidRPr="00DC7E08">
                  <w:rPr>
                    <w:rStyle w:val="Hyperlink"/>
                    <w:noProof/>
                  </w:rPr>
                  <w:t>Section 4 - Education</w:t>
                </w:r>
                <w:r w:rsidR="0057695E">
                  <w:rPr>
                    <w:noProof/>
                    <w:webHidden/>
                  </w:rPr>
                  <w:tab/>
                </w:r>
                <w:r w:rsidR="0057695E">
                  <w:rPr>
                    <w:noProof/>
                    <w:webHidden/>
                  </w:rPr>
                  <w:fldChar w:fldCharType="begin"/>
                </w:r>
                <w:r w:rsidR="0057695E">
                  <w:rPr>
                    <w:noProof/>
                    <w:webHidden/>
                  </w:rPr>
                  <w:instrText xml:space="preserve"> PAGEREF _Toc168390518 \h </w:instrText>
                </w:r>
                <w:r w:rsidR="0057695E">
                  <w:rPr>
                    <w:noProof/>
                    <w:webHidden/>
                  </w:rPr>
                </w:r>
                <w:r w:rsidR="0057695E">
                  <w:rPr>
                    <w:noProof/>
                    <w:webHidden/>
                  </w:rPr>
                  <w:fldChar w:fldCharType="separate"/>
                </w:r>
                <w:r>
                  <w:rPr>
                    <w:noProof/>
                    <w:webHidden/>
                  </w:rPr>
                  <w:t>9</w:t>
                </w:r>
                <w:r w:rsidR="0057695E">
                  <w:rPr>
                    <w:noProof/>
                    <w:webHidden/>
                  </w:rPr>
                  <w:fldChar w:fldCharType="end"/>
                </w:r>
              </w:hyperlink>
            </w:p>
            <w:p w14:paraId="1D7B9C02" w14:textId="63F03225" w:rsidR="0057695E" w:rsidRDefault="00FE2694">
              <w:pPr>
                <w:pStyle w:val="TOC3"/>
                <w:tabs>
                  <w:tab w:val="right" w:leader="dot" w:pos="9016"/>
                </w:tabs>
                <w:rPr>
                  <w:rFonts w:eastAsiaTheme="minorEastAsia"/>
                  <w:noProof/>
                  <w:kern w:val="2"/>
                  <w:sz w:val="22"/>
                  <w:lang w:eastAsia="en-AU"/>
                  <w14:ligatures w14:val="standardContextual"/>
                </w:rPr>
              </w:pPr>
              <w:hyperlink w:anchor="_Toc168390519" w:history="1">
                <w:r w:rsidR="0057695E" w:rsidRPr="00DC7E08">
                  <w:rPr>
                    <w:rStyle w:val="Hyperlink"/>
                    <w:noProof/>
                  </w:rPr>
                  <w:t>4.1 Doctorate by Research, Masters by Research, Honours, and other postgraduate students</w:t>
                </w:r>
                <w:r w:rsidR="0057695E">
                  <w:rPr>
                    <w:noProof/>
                    <w:webHidden/>
                  </w:rPr>
                  <w:tab/>
                </w:r>
                <w:r w:rsidR="0057695E">
                  <w:rPr>
                    <w:noProof/>
                    <w:webHidden/>
                  </w:rPr>
                  <w:fldChar w:fldCharType="begin"/>
                </w:r>
                <w:r w:rsidR="0057695E">
                  <w:rPr>
                    <w:noProof/>
                    <w:webHidden/>
                  </w:rPr>
                  <w:instrText xml:space="preserve"> PAGEREF _Toc168390519 \h </w:instrText>
                </w:r>
                <w:r w:rsidR="0057695E">
                  <w:rPr>
                    <w:noProof/>
                    <w:webHidden/>
                  </w:rPr>
                </w:r>
                <w:r w:rsidR="0057695E">
                  <w:rPr>
                    <w:noProof/>
                    <w:webHidden/>
                  </w:rPr>
                  <w:fldChar w:fldCharType="separate"/>
                </w:r>
                <w:r>
                  <w:rPr>
                    <w:noProof/>
                    <w:webHidden/>
                  </w:rPr>
                  <w:t>9</w:t>
                </w:r>
                <w:r w:rsidR="0057695E">
                  <w:rPr>
                    <w:noProof/>
                    <w:webHidden/>
                  </w:rPr>
                  <w:fldChar w:fldCharType="end"/>
                </w:r>
              </w:hyperlink>
            </w:p>
            <w:p w14:paraId="2A1CB26C" w14:textId="4975EA19" w:rsidR="0057695E" w:rsidRDefault="00FE2694">
              <w:pPr>
                <w:pStyle w:val="TOC3"/>
                <w:tabs>
                  <w:tab w:val="right" w:leader="dot" w:pos="9016"/>
                </w:tabs>
                <w:rPr>
                  <w:rFonts w:eastAsiaTheme="minorEastAsia"/>
                  <w:noProof/>
                  <w:kern w:val="2"/>
                  <w:sz w:val="22"/>
                  <w:lang w:eastAsia="en-AU"/>
                  <w14:ligatures w14:val="standardContextual"/>
                </w:rPr>
              </w:pPr>
              <w:hyperlink w:anchor="_Toc168390520" w:history="1">
                <w:r w:rsidR="0057695E" w:rsidRPr="00DC7E08">
                  <w:rPr>
                    <w:rStyle w:val="Hyperlink"/>
                    <w:noProof/>
                  </w:rPr>
                  <w:t>4.2 Graduate employment destination after completing</w:t>
                </w:r>
                <w:r w:rsidR="0057695E">
                  <w:rPr>
                    <w:noProof/>
                    <w:webHidden/>
                  </w:rPr>
                  <w:tab/>
                </w:r>
                <w:r w:rsidR="0057695E">
                  <w:rPr>
                    <w:noProof/>
                    <w:webHidden/>
                  </w:rPr>
                  <w:fldChar w:fldCharType="begin"/>
                </w:r>
                <w:r w:rsidR="0057695E">
                  <w:rPr>
                    <w:noProof/>
                    <w:webHidden/>
                  </w:rPr>
                  <w:instrText xml:space="preserve"> PAGEREF _Toc168390520 \h </w:instrText>
                </w:r>
                <w:r w:rsidR="0057695E">
                  <w:rPr>
                    <w:noProof/>
                    <w:webHidden/>
                  </w:rPr>
                </w:r>
                <w:r w:rsidR="0057695E">
                  <w:rPr>
                    <w:noProof/>
                    <w:webHidden/>
                  </w:rPr>
                  <w:fldChar w:fldCharType="separate"/>
                </w:r>
                <w:r>
                  <w:rPr>
                    <w:noProof/>
                    <w:webHidden/>
                  </w:rPr>
                  <w:t>10</w:t>
                </w:r>
                <w:r w:rsidR="0057695E">
                  <w:rPr>
                    <w:noProof/>
                    <w:webHidden/>
                  </w:rPr>
                  <w:fldChar w:fldCharType="end"/>
                </w:r>
              </w:hyperlink>
            </w:p>
            <w:p w14:paraId="29F5ADD5" w14:textId="3AE14198" w:rsidR="0057695E" w:rsidRDefault="00FE2694">
              <w:pPr>
                <w:pStyle w:val="TOC3"/>
                <w:tabs>
                  <w:tab w:val="right" w:leader="dot" w:pos="9016"/>
                </w:tabs>
                <w:rPr>
                  <w:rFonts w:eastAsiaTheme="minorEastAsia"/>
                  <w:noProof/>
                  <w:kern w:val="2"/>
                  <w:sz w:val="22"/>
                  <w:lang w:eastAsia="en-AU"/>
                  <w14:ligatures w14:val="standardContextual"/>
                </w:rPr>
              </w:pPr>
              <w:hyperlink w:anchor="_Toc168390521" w:history="1">
                <w:r w:rsidR="0057695E" w:rsidRPr="00DC7E08">
                  <w:rPr>
                    <w:rStyle w:val="Hyperlink"/>
                    <w:noProof/>
                  </w:rPr>
                  <w:t>4.3 Other education activities</w:t>
                </w:r>
                <w:r w:rsidR="0057695E">
                  <w:rPr>
                    <w:noProof/>
                    <w:webHidden/>
                  </w:rPr>
                  <w:tab/>
                </w:r>
                <w:r w:rsidR="0057695E">
                  <w:rPr>
                    <w:noProof/>
                    <w:webHidden/>
                  </w:rPr>
                  <w:fldChar w:fldCharType="begin"/>
                </w:r>
                <w:r w:rsidR="0057695E">
                  <w:rPr>
                    <w:noProof/>
                    <w:webHidden/>
                  </w:rPr>
                  <w:instrText xml:space="preserve"> PAGEREF _Toc168390521 \h </w:instrText>
                </w:r>
                <w:r w:rsidR="0057695E">
                  <w:rPr>
                    <w:noProof/>
                    <w:webHidden/>
                  </w:rPr>
                </w:r>
                <w:r w:rsidR="0057695E">
                  <w:rPr>
                    <w:noProof/>
                    <w:webHidden/>
                  </w:rPr>
                  <w:fldChar w:fldCharType="separate"/>
                </w:r>
                <w:r>
                  <w:rPr>
                    <w:noProof/>
                    <w:webHidden/>
                  </w:rPr>
                  <w:t>10</w:t>
                </w:r>
                <w:r w:rsidR="0057695E">
                  <w:rPr>
                    <w:noProof/>
                    <w:webHidden/>
                  </w:rPr>
                  <w:fldChar w:fldCharType="end"/>
                </w:r>
              </w:hyperlink>
            </w:p>
            <w:p w14:paraId="511A7AA0" w14:textId="453BB417" w:rsidR="0057695E" w:rsidRDefault="00FE2694">
              <w:pPr>
                <w:pStyle w:val="TOC2"/>
                <w:tabs>
                  <w:tab w:val="right" w:leader="dot" w:pos="9016"/>
                </w:tabs>
                <w:rPr>
                  <w:rFonts w:eastAsiaTheme="minorEastAsia"/>
                  <w:noProof/>
                  <w:kern w:val="2"/>
                  <w:sz w:val="22"/>
                  <w:lang w:eastAsia="en-AU"/>
                  <w14:ligatures w14:val="standardContextual"/>
                </w:rPr>
              </w:pPr>
              <w:hyperlink w:anchor="_Toc168390522" w:history="1">
                <w:r w:rsidR="0057695E" w:rsidRPr="00DC7E08">
                  <w:rPr>
                    <w:rStyle w:val="Hyperlink"/>
                    <w:noProof/>
                  </w:rPr>
                  <w:t>Section 5 – Collaboration</w:t>
                </w:r>
                <w:r w:rsidR="0057695E">
                  <w:rPr>
                    <w:noProof/>
                    <w:webHidden/>
                  </w:rPr>
                  <w:tab/>
                </w:r>
                <w:r w:rsidR="0057695E">
                  <w:rPr>
                    <w:noProof/>
                    <w:webHidden/>
                  </w:rPr>
                  <w:fldChar w:fldCharType="begin"/>
                </w:r>
                <w:r w:rsidR="0057695E">
                  <w:rPr>
                    <w:noProof/>
                    <w:webHidden/>
                  </w:rPr>
                  <w:instrText xml:space="preserve"> PAGEREF _Toc168390522 \h </w:instrText>
                </w:r>
                <w:r w:rsidR="0057695E">
                  <w:rPr>
                    <w:noProof/>
                    <w:webHidden/>
                  </w:rPr>
                </w:r>
                <w:r w:rsidR="0057695E">
                  <w:rPr>
                    <w:noProof/>
                    <w:webHidden/>
                  </w:rPr>
                  <w:fldChar w:fldCharType="separate"/>
                </w:r>
                <w:r>
                  <w:rPr>
                    <w:noProof/>
                    <w:webHidden/>
                  </w:rPr>
                  <w:t>11</w:t>
                </w:r>
                <w:r w:rsidR="0057695E">
                  <w:rPr>
                    <w:noProof/>
                    <w:webHidden/>
                  </w:rPr>
                  <w:fldChar w:fldCharType="end"/>
                </w:r>
              </w:hyperlink>
            </w:p>
            <w:p w14:paraId="7FDF3971" w14:textId="175CBC38" w:rsidR="0057695E" w:rsidRDefault="00FE2694">
              <w:pPr>
                <w:pStyle w:val="TOC3"/>
                <w:tabs>
                  <w:tab w:val="right" w:leader="dot" w:pos="9016"/>
                </w:tabs>
                <w:rPr>
                  <w:rFonts w:eastAsiaTheme="minorEastAsia"/>
                  <w:noProof/>
                  <w:kern w:val="2"/>
                  <w:sz w:val="22"/>
                  <w:lang w:eastAsia="en-AU"/>
                  <w14:ligatures w14:val="standardContextual"/>
                </w:rPr>
              </w:pPr>
              <w:hyperlink w:anchor="_Toc168390523" w:history="1">
                <w:r w:rsidR="0057695E" w:rsidRPr="00DC7E08">
                  <w:rPr>
                    <w:rStyle w:val="Hyperlink"/>
                    <w:noProof/>
                  </w:rPr>
                  <w:t>5.1 Domestic Collaboration</w:t>
                </w:r>
                <w:r w:rsidR="0057695E">
                  <w:rPr>
                    <w:noProof/>
                    <w:webHidden/>
                  </w:rPr>
                  <w:tab/>
                </w:r>
                <w:r w:rsidR="0057695E">
                  <w:rPr>
                    <w:noProof/>
                    <w:webHidden/>
                  </w:rPr>
                  <w:fldChar w:fldCharType="begin"/>
                </w:r>
                <w:r w:rsidR="0057695E">
                  <w:rPr>
                    <w:noProof/>
                    <w:webHidden/>
                  </w:rPr>
                  <w:instrText xml:space="preserve"> PAGEREF _Toc168390523 \h </w:instrText>
                </w:r>
                <w:r w:rsidR="0057695E">
                  <w:rPr>
                    <w:noProof/>
                    <w:webHidden/>
                  </w:rPr>
                </w:r>
                <w:r w:rsidR="0057695E">
                  <w:rPr>
                    <w:noProof/>
                    <w:webHidden/>
                  </w:rPr>
                  <w:fldChar w:fldCharType="separate"/>
                </w:r>
                <w:r>
                  <w:rPr>
                    <w:noProof/>
                    <w:webHidden/>
                  </w:rPr>
                  <w:t>11</w:t>
                </w:r>
                <w:r w:rsidR="0057695E">
                  <w:rPr>
                    <w:noProof/>
                    <w:webHidden/>
                  </w:rPr>
                  <w:fldChar w:fldCharType="end"/>
                </w:r>
              </w:hyperlink>
            </w:p>
            <w:p w14:paraId="31ABA4C7" w14:textId="25BE8242" w:rsidR="0057695E" w:rsidRDefault="00FE2694">
              <w:pPr>
                <w:pStyle w:val="TOC3"/>
                <w:tabs>
                  <w:tab w:val="right" w:leader="dot" w:pos="9016"/>
                </w:tabs>
                <w:rPr>
                  <w:rFonts w:eastAsiaTheme="minorEastAsia"/>
                  <w:noProof/>
                  <w:kern w:val="2"/>
                  <w:sz w:val="22"/>
                  <w:lang w:eastAsia="en-AU"/>
                  <w14:ligatures w14:val="standardContextual"/>
                </w:rPr>
              </w:pPr>
              <w:hyperlink w:anchor="_Toc168390524" w:history="1">
                <w:r w:rsidR="0057695E" w:rsidRPr="00DC7E08">
                  <w:rPr>
                    <w:rStyle w:val="Hyperlink"/>
                    <w:noProof/>
                  </w:rPr>
                  <w:t>5.2 International Collaboration</w:t>
                </w:r>
                <w:r w:rsidR="0057695E">
                  <w:rPr>
                    <w:noProof/>
                    <w:webHidden/>
                  </w:rPr>
                  <w:tab/>
                </w:r>
                <w:r w:rsidR="0057695E">
                  <w:rPr>
                    <w:noProof/>
                    <w:webHidden/>
                  </w:rPr>
                  <w:fldChar w:fldCharType="begin"/>
                </w:r>
                <w:r w:rsidR="0057695E">
                  <w:rPr>
                    <w:noProof/>
                    <w:webHidden/>
                  </w:rPr>
                  <w:instrText xml:space="preserve"> PAGEREF _Toc168390524 \h </w:instrText>
                </w:r>
                <w:r w:rsidR="0057695E">
                  <w:rPr>
                    <w:noProof/>
                    <w:webHidden/>
                  </w:rPr>
                </w:r>
                <w:r w:rsidR="0057695E">
                  <w:rPr>
                    <w:noProof/>
                    <w:webHidden/>
                  </w:rPr>
                  <w:fldChar w:fldCharType="separate"/>
                </w:r>
                <w:r>
                  <w:rPr>
                    <w:noProof/>
                    <w:webHidden/>
                  </w:rPr>
                  <w:t>12</w:t>
                </w:r>
                <w:r w:rsidR="0057695E">
                  <w:rPr>
                    <w:noProof/>
                    <w:webHidden/>
                  </w:rPr>
                  <w:fldChar w:fldCharType="end"/>
                </w:r>
              </w:hyperlink>
            </w:p>
            <w:p w14:paraId="20DD4288" w14:textId="13A71CAD" w:rsidR="0057695E" w:rsidRDefault="00FE2694">
              <w:pPr>
                <w:pStyle w:val="TOC2"/>
                <w:tabs>
                  <w:tab w:val="right" w:leader="dot" w:pos="9016"/>
                </w:tabs>
                <w:rPr>
                  <w:rFonts w:eastAsiaTheme="minorEastAsia"/>
                  <w:noProof/>
                  <w:kern w:val="2"/>
                  <w:sz w:val="22"/>
                  <w:lang w:eastAsia="en-AU"/>
                  <w14:ligatures w14:val="standardContextual"/>
                </w:rPr>
              </w:pPr>
              <w:hyperlink w:anchor="_Toc168390525" w:history="1">
                <w:r w:rsidR="0057695E" w:rsidRPr="00DC7E08">
                  <w:rPr>
                    <w:rStyle w:val="Hyperlink"/>
                    <w:noProof/>
                  </w:rPr>
                  <w:t>Section 6 – Other</w:t>
                </w:r>
                <w:r w:rsidR="0057695E">
                  <w:rPr>
                    <w:noProof/>
                    <w:webHidden/>
                  </w:rPr>
                  <w:tab/>
                </w:r>
                <w:r w:rsidR="0057695E">
                  <w:rPr>
                    <w:noProof/>
                    <w:webHidden/>
                  </w:rPr>
                  <w:fldChar w:fldCharType="begin"/>
                </w:r>
                <w:r w:rsidR="0057695E">
                  <w:rPr>
                    <w:noProof/>
                    <w:webHidden/>
                  </w:rPr>
                  <w:instrText xml:space="preserve"> PAGEREF _Toc168390525 \h </w:instrText>
                </w:r>
                <w:r w:rsidR="0057695E">
                  <w:rPr>
                    <w:noProof/>
                    <w:webHidden/>
                  </w:rPr>
                </w:r>
                <w:r w:rsidR="0057695E">
                  <w:rPr>
                    <w:noProof/>
                    <w:webHidden/>
                  </w:rPr>
                  <w:fldChar w:fldCharType="separate"/>
                </w:r>
                <w:r>
                  <w:rPr>
                    <w:noProof/>
                    <w:webHidden/>
                  </w:rPr>
                  <w:t>13</w:t>
                </w:r>
                <w:r w:rsidR="0057695E">
                  <w:rPr>
                    <w:noProof/>
                    <w:webHidden/>
                  </w:rPr>
                  <w:fldChar w:fldCharType="end"/>
                </w:r>
              </w:hyperlink>
            </w:p>
            <w:p w14:paraId="634E25E2" w14:textId="68ECF95A" w:rsidR="0057695E" w:rsidRDefault="00FE2694">
              <w:pPr>
                <w:pStyle w:val="TOC3"/>
                <w:tabs>
                  <w:tab w:val="right" w:leader="dot" w:pos="9016"/>
                </w:tabs>
                <w:rPr>
                  <w:rFonts w:eastAsiaTheme="minorEastAsia"/>
                  <w:noProof/>
                  <w:kern w:val="2"/>
                  <w:sz w:val="22"/>
                  <w:lang w:eastAsia="en-AU"/>
                  <w14:ligatures w14:val="standardContextual"/>
                </w:rPr>
              </w:pPr>
              <w:hyperlink w:anchor="_Toc168390526" w:history="1">
                <w:r w:rsidR="0057695E" w:rsidRPr="00DC7E08">
                  <w:rPr>
                    <w:rStyle w:val="Hyperlink"/>
                    <w:noProof/>
                  </w:rPr>
                  <w:t>6.1 Other financial assistance/grants</w:t>
                </w:r>
                <w:r w:rsidR="0057695E">
                  <w:rPr>
                    <w:noProof/>
                    <w:webHidden/>
                  </w:rPr>
                  <w:tab/>
                </w:r>
                <w:r w:rsidR="0057695E">
                  <w:rPr>
                    <w:noProof/>
                    <w:webHidden/>
                  </w:rPr>
                  <w:fldChar w:fldCharType="begin"/>
                </w:r>
                <w:r w:rsidR="0057695E">
                  <w:rPr>
                    <w:noProof/>
                    <w:webHidden/>
                  </w:rPr>
                  <w:instrText xml:space="preserve"> PAGEREF _Toc168390526 \h </w:instrText>
                </w:r>
                <w:r w:rsidR="0057695E">
                  <w:rPr>
                    <w:noProof/>
                    <w:webHidden/>
                  </w:rPr>
                </w:r>
                <w:r w:rsidR="0057695E">
                  <w:rPr>
                    <w:noProof/>
                    <w:webHidden/>
                  </w:rPr>
                  <w:fldChar w:fldCharType="separate"/>
                </w:r>
                <w:r>
                  <w:rPr>
                    <w:noProof/>
                    <w:webHidden/>
                  </w:rPr>
                  <w:t>13</w:t>
                </w:r>
                <w:r w:rsidR="0057695E">
                  <w:rPr>
                    <w:noProof/>
                    <w:webHidden/>
                  </w:rPr>
                  <w:fldChar w:fldCharType="end"/>
                </w:r>
              </w:hyperlink>
            </w:p>
            <w:p w14:paraId="616A3C99" w14:textId="48103E12" w:rsidR="00E3494D" w:rsidRDefault="005278DC" w:rsidP="00FA4EED">
              <w:pPr>
                <w:pStyle w:val="TOC3"/>
                <w:tabs>
                  <w:tab w:val="right" w:leader="dot" w:pos="9016"/>
                </w:tabs>
              </w:pPr>
              <w:r>
                <w:fldChar w:fldCharType="end"/>
              </w:r>
            </w:p>
          </w:sdtContent>
        </w:sdt>
      </w:sdtContent>
    </w:sdt>
    <w:bookmarkStart w:id="5" w:name="_Toc129010928" w:displacedByCustomXml="prev"/>
    <w:bookmarkStart w:id="6" w:name="_Toc19023741" w:displacedByCustomXml="prev"/>
    <w:bookmarkStart w:id="7" w:name="_Toc144911610" w:displacedByCustomXml="prev"/>
    <w:p w14:paraId="31EEF819" w14:textId="4F5DED6D" w:rsidR="005278DC" w:rsidRPr="005278DC" w:rsidRDefault="005278DC" w:rsidP="005278DC">
      <w:pPr>
        <w:pStyle w:val="Heading2"/>
      </w:pPr>
      <w:bookmarkStart w:id="8" w:name="_Toc168390503"/>
      <w:r w:rsidRPr="005278DC">
        <w:t>Purpose</w:t>
      </w:r>
      <w:bookmarkEnd w:id="8"/>
      <w:bookmarkEnd w:id="5"/>
    </w:p>
    <w:p w14:paraId="37B0969F" w14:textId="77777777" w:rsidR="005278DC" w:rsidRPr="005278DC" w:rsidRDefault="005278DC" w:rsidP="005278DC">
      <w:r w:rsidRPr="005278DC">
        <w:t>CRCs receiving Commonwealth funding support through a CRC Grant Agreement must complete and submit a Management Data Questionnaire (MDQ) to the Department as part of their annual reporting obligations. MDQ data is a key input in monitoring and evaluating the Commonwealth’s CRC Program.</w:t>
      </w:r>
    </w:p>
    <w:p w14:paraId="0C8F2CCE" w14:textId="77777777" w:rsidR="005278DC" w:rsidRPr="005278DC" w:rsidRDefault="005278DC" w:rsidP="005278DC">
      <w:r w:rsidRPr="005278DC">
        <w:t>The objectives of the CRC Program are to:</w:t>
      </w:r>
    </w:p>
    <w:p w14:paraId="6BB6828C" w14:textId="77777777" w:rsidR="005278DC" w:rsidRPr="00E3494D" w:rsidRDefault="005278DC" w:rsidP="00E3494D">
      <w:pPr>
        <w:pStyle w:val="Bullet1"/>
      </w:pPr>
      <w:r w:rsidRPr="00E3494D">
        <w:t>Improve the competitiveness, productivity, and sustainability of Australian industries, especially where Australia has a competitive strength, and in line with Government priorities, including National Reconstruction Fund (NRF) Priorities.</w:t>
      </w:r>
    </w:p>
    <w:p w14:paraId="53BB190A" w14:textId="77777777" w:rsidR="005278DC" w:rsidRPr="00E3494D" w:rsidRDefault="005278DC" w:rsidP="00E3494D">
      <w:pPr>
        <w:pStyle w:val="Bullet1"/>
      </w:pPr>
      <w:r w:rsidRPr="00E3494D">
        <w:t>Foster high quality research to solve industry-identified problems through industry-led and outcome-focused collaborative research partnerships between industry entities and research organisation.</w:t>
      </w:r>
    </w:p>
    <w:p w14:paraId="4BBC68ED" w14:textId="77777777" w:rsidR="005278DC" w:rsidRPr="00E3494D" w:rsidRDefault="005278DC" w:rsidP="00E3494D">
      <w:pPr>
        <w:pStyle w:val="Bullet1"/>
      </w:pPr>
      <w:r w:rsidRPr="00E3494D">
        <w:t>Encourage and facilitate small and medium enterprise (SME) participation in collaborative research.</w:t>
      </w:r>
    </w:p>
    <w:p w14:paraId="16123334" w14:textId="77777777" w:rsidR="005278DC" w:rsidRPr="005278DC" w:rsidRDefault="005278DC" w:rsidP="005278DC">
      <w:r w:rsidRPr="005278DC">
        <w:t>The intended outcomes of the program include:</w:t>
      </w:r>
    </w:p>
    <w:p w14:paraId="534302F8" w14:textId="77777777" w:rsidR="005278DC" w:rsidRPr="005278DC" w:rsidRDefault="005278DC" w:rsidP="00E3494D">
      <w:pPr>
        <w:pStyle w:val="Bullet1"/>
      </w:pPr>
      <w:r w:rsidRPr="005278DC">
        <w:t>Establishing industry-research sector collaborations.</w:t>
      </w:r>
    </w:p>
    <w:p w14:paraId="4CD5BCF5" w14:textId="77777777" w:rsidR="005278DC" w:rsidRPr="005278DC" w:rsidRDefault="005278DC" w:rsidP="00E3494D">
      <w:pPr>
        <w:pStyle w:val="Bullet1"/>
      </w:pPr>
      <w:r w:rsidRPr="005278DC">
        <w:t>SME participation in collaborative research.</w:t>
      </w:r>
    </w:p>
    <w:p w14:paraId="3EBEED2D" w14:textId="77777777" w:rsidR="005278DC" w:rsidRPr="005278DC" w:rsidRDefault="005278DC" w:rsidP="00E3494D">
      <w:pPr>
        <w:pStyle w:val="Bullet1"/>
      </w:pPr>
      <w:r w:rsidRPr="005278DC">
        <w:t>Collaborative research results.</w:t>
      </w:r>
    </w:p>
    <w:p w14:paraId="3D9DBFF3" w14:textId="77777777" w:rsidR="005278DC" w:rsidRPr="005278DC" w:rsidRDefault="005278DC" w:rsidP="00E3494D">
      <w:pPr>
        <w:pStyle w:val="Bullet1"/>
      </w:pPr>
      <w:r w:rsidRPr="005278DC">
        <w:t>Research results relevant to government priorities.</w:t>
      </w:r>
    </w:p>
    <w:p w14:paraId="67D996A1" w14:textId="77777777" w:rsidR="005278DC" w:rsidRPr="005278DC" w:rsidRDefault="005278DC" w:rsidP="00E3494D">
      <w:pPr>
        <w:pStyle w:val="Bullet1"/>
      </w:pPr>
      <w:r w:rsidRPr="005278DC">
        <w:t>Increased research skills in industry and increased industry capability in research.</w:t>
      </w:r>
    </w:p>
    <w:p w14:paraId="21749806" w14:textId="77777777" w:rsidR="005278DC" w:rsidRPr="005278DC" w:rsidRDefault="005278DC" w:rsidP="00E3494D">
      <w:pPr>
        <w:pStyle w:val="Bullet1"/>
      </w:pPr>
      <w:r w:rsidRPr="005278DC">
        <w:t>Improved competitiveness and productivity for industry participating in CRCs.</w:t>
      </w:r>
    </w:p>
    <w:p w14:paraId="10F8E97C" w14:textId="77777777" w:rsidR="005278DC" w:rsidRPr="005278DC" w:rsidRDefault="005278DC" w:rsidP="00E3494D">
      <w:pPr>
        <w:pStyle w:val="Bullet1"/>
      </w:pPr>
      <w:r w:rsidRPr="005278DC">
        <w:t xml:space="preserve">Industry, </w:t>
      </w:r>
      <w:proofErr w:type="gramStart"/>
      <w:r w:rsidRPr="005278DC">
        <w:t>research</w:t>
      </w:r>
      <w:proofErr w:type="gramEnd"/>
      <w:r w:rsidRPr="005278DC">
        <w:t xml:space="preserve"> and other users valuing the program.</w:t>
      </w:r>
    </w:p>
    <w:p w14:paraId="38220294" w14:textId="77777777" w:rsidR="005278DC" w:rsidRPr="005278DC" w:rsidRDefault="005278DC" w:rsidP="005278DC">
      <w:pPr>
        <w:pStyle w:val="Heading2"/>
      </w:pPr>
      <w:bookmarkStart w:id="9" w:name="_Toc129010929"/>
      <w:bookmarkStart w:id="10" w:name="_Toc168390504"/>
      <w:r w:rsidRPr="005278DC">
        <w:t>Privacy</w:t>
      </w:r>
      <w:bookmarkEnd w:id="9"/>
      <w:bookmarkEnd w:id="10"/>
    </w:p>
    <w:p w14:paraId="0BC9BB04" w14:textId="77777777" w:rsidR="005278DC" w:rsidRPr="005278DC" w:rsidRDefault="005278DC" w:rsidP="005278DC">
      <w:r w:rsidRPr="005278DC">
        <w:t>The Department of Industry, Science and Resources (the Department) collects, and records personal information contained in the MDQ form for the purpose of administering the CRC Program. No personal information will be used or disclosed for any other purpose without prior consent unless in compliance with or authorised by law.</w:t>
      </w:r>
    </w:p>
    <w:p w14:paraId="5518345C" w14:textId="77777777" w:rsidR="005278DC" w:rsidRPr="005278DC" w:rsidRDefault="005278DC" w:rsidP="005278DC">
      <w:pPr>
        <w:pStyle w:val="Heading2"/>
      </w:pPr>
      <w:bookmarkStart w:id="11" w:name="_Toc129010930"/>
      <w:bookmarkStart w:id="12" w:name="_Toc168390505"/>
      <w:r w:rsidRPr="005278DC">
        <w:lastRenderedPageBreak/>
        <w:t>Confidentiality of MDQ data</w:t>
      </w:r>
      <w:bookmarkEnd w:id="11"/>
      <w:bookmarkEnd w:id="12"/>
    </w:p>
    <w:p w14:paraId="1C9D9832" w14:textId="77777777" w:rsidR="005278DC" w:rsidRPr="005278DC" w:rsidRDefault="005278DC" w:rsidP="005278DC">
      <w:r w:rsidRPr="005278DC">
        <w:t>CRCs should be aware that information collected through the MDQ can be aggregated for publication by the Commonwealth and may be used for reporting purposes to promote the program. The Commonwealth will seek the CRCs permission prior to the use of any sensitive data.</w:t>
      </w:r>
    </w:p>
    <w:p w14:paraId="64E489C8" w14:textId="77777777" w:rsidR="005278DC" w:rsidRPr="005278DC" w:rsidRDefault="005278DC" w:rsidP="005278DC">
      <w:pPr>
        <w:pStyle w:val="Heading2"/>
      </w:pPr>
      <w:bookmarkStart w:id="13" w:name="_Toc129010931"/>
      <w:bookmarkStart w:id="14" w:name="_Toc168390506"/>
      <w:r w:rsidRPr="005278DC">
        <w:t>General Instructions</w:t>
      </w:r>
      <w:bookmarkEnd w:id="13"/>
      <w:bookmarkEnd w:id="14"/>
    </w:p>
    <w:p w14:paraId="2E86B2C5" w14:textId="77777777" w:rsidR="005278DC" w:rsidRPr="005278DC" w:rsidRDefault="005278DC" w:rsidP="005278DC">
      <w:r w:rsidRPr="005278DC">
        <w:t>This section contains general instructions applicable across the MDQ workbook. Specific instructions and definitions for each section (tab) of the workbook can be found later in this document.</w:t>
      </w:r>
    </w:p>
    <w:p w14:paraId="008505BD" w14:textId="77777777" w:rsidR="005278DC" w:rsidRPr="005278DC" w:rsidRDefault="005278DC" w:rsidP="00E3494D">
      <w:pPr>
        <w:pStyle w:val="Bullet1"/>
      </w:pPr>
      <w:r w:rsidRPr="005278DC">
        <w:t>Complete all questions at sections 1 to 6 of the MDQ workbook.</w:t>
      </w:r>
    </w:p>
    <w:p w14:paraId="0A39D2CB" w14:textId="77777777" w:rsidR="005278DC" w:rsidRPr="005278DC" w:rsidRDefault="005278DC" w:rsidP="00E3494D">
      <w:pPr>
        <w:pStyle w:val="Bullet1"/>
      </w:pPr>
      <w:r w:rsidRPr="005278DC">
        <w:t>The MDQ workbook must be uploaded to the business.gov.au portal (</w:t>
      </w:r>
      <w:hyperlink r:id="rId13" w:history="1">
        <w:r w:rsidRPr="005278DC">
          <w:rPr>
            <w:rStyle w:val="Hyperlink"/>
          </w:rPr>
          <w:t>https://portal.business.gov.au/</w:t>
        </w:r>
      </w:hyperlink>
      <w:r w:rsidRPr="005278DC">
        <w:t>) as part of your Annual Report submission attachments.</w:t>
      </w:r>
    </w:p>
    <w:p w14:paraId="675872E3" w14:textId="77777777" w:rsidR="005278DC" w:rsidRPr="005278DC" w:rsidRDefault="005278DC" w:rsidP="00D964F0">
      <w:pPr>
        <w:pStyle w:val="ListParagraph"/>
        <w:numPr>
          <w:ilvl w:val="1"/>
          <w:numId w:val="1"/>
        </w:numPr>
      </w:pPr>
      <w:r w:rsidRPr="005278DC">
        <w:t xml:space="preserve">For instructions on how to access your portal reports, see the </w:t>
      </w:r>
      <w:hyperlink r:id="rId14" w:history="1">
        <w:r w:rsidRPr="005278DC">
          <w:rPr>
            <w:rStyle w:val="Hyperlink"/>
          </w:rPr>
          <w:t>FAQ page</w:t>
        </w:r>
      </w:hyperlink>
      <w:r w:rsidRPr="005278DC">
        <w:t xml:space="preserve"> on the portal.</w:t>
      </w:r>
    </w:p>
    <w:p w14:paraId="473C5C32" w14:textId="77777777" w:rsidR="005278DC" w:rsidRPr="005278DC" w:rsidRDefault="005278DC" w:rsidP="00D964F0">
      <w:pPr>
        <w:pStyle w:val="ListParagraph"/>
        <w:numPr>
          <w:ilvl w:val="1"/>
          <w:numId w:val="1"/>
        </w:numPr>
      </w:pPr>
      <w:r w:rsidRPr="005278DC">
        <w:t>If your workbook is over 2MB in size, you will not be able to upload it to the portal and will instead need to email it to your Customer Service Manager (CSM).</w:t>
      </w:r>
    </w:p>
    <w:p w14:paraId="71A9D7B5" w14:textId="77777777" w:rsidR="005278DC" w:rsidRPr="005278DC" w:rsidRDefault="005278DC" w:rsidP="00E3494D">
      <w:pPr>
        <w:pStyle w:val="Bullet1"/>
      </w:pPr>
      <w:r w:rsidRPr="005278DC">
        <w:t>All data reported through the MDQ workbook must relate to the reporting period only (1 July to 30 June), unless otherwise specified.</w:t>
      </w:r>
    </w:p>
    <w:p w14:paraId="1BC52A06" w14:textId="77777777" w:rsidR="005278DC" w:rsidRPr="005278DC" w:rsidRDefault="005278DC" w:rsidP="00E3494D">
      <w:pPr>
        <w:pStyle w:val="Bullet1"/>
      </w:pPr>
      <w:r w:rsidRPr="005278DC">
        <w:t>Please report all financial values in Australian dollars ($AUD).</w:t>
      </w:r>
    </w:p>
    <w:p w14:paraId="75E9F7FA" w14:textId="77777777" w:rsidR="005278DC" w:rsidRPr="005278DC" w:rsidRDefault="005278DC" w:rsidP="00E3494D">
      <w:pPr>
        <w:pStyle w:val="Bullet1"/>
      </w:pPr>
      <w:r w:rsidRPr="005278DC">
        <w:t>For questions where the response is zero or the question is not applicable, please enter ‘0’ (zero) in the appropriate cell. All questions must be answered.</w:t>
      </w:r>
    </w:p>
    <w:p w14:paraId="2BDB1CD2" w14:textId="77777777" w:rsidR="005278DC" w:rsidRPr="005278DC" w:rsidRDefault="005278DC" w:rsidP="00E3494D">
      <w:pPr>
        <w:pStyle w:val="Bullet1"/>
      </w:pPr>
      <w:r w:rsidRPr="005278DC">
        <w:t>Sections 2-4 of the MDQ require information for the activities specified in your Grant Agreement only.</w:t>
      </w:r>
    </w:p>
    <w:p w14:paraId="0FED6674" w14:textId="77777777" w:rsidR="005278DC" w:rsidRPr="005278DC" w:rsidRDefault="005278DC" w:rsidP="00E3494D">
      <w:pPr>
        <w:pStyle w:val="Bullet1"/>
      </w:pPr>
      <w:r w:rsidRPr="005278DC">
        <w:t>Sections 5 and 6 of the MDQ may ask for information regarding both the activities specified in the Grant Agreement and all other activities of the CRC, or either of these options. Please read the questions in this section carefully to ensure all requirements are addressed.</w:t>
      </w:r>
    </w:p>
    <w:p w14:paraId="21803287" w14:textId="77777777" w:rsidR="005278DC" w:rsidRPr="005278DC" w:rsidRDefault="005278DC" w:rsidP="00E3494D">
      <w:pPr>
        <w:pStyle w:val="Heading2"/>
      </w:pPr>
      <w:bookmarkStart w:id="15" w:name="_Toc129010932"/>
      <w:bookmarkStart w:id="16" w:name="_Toc168390507"/>
      <w:r w:rsidRPr="005278DC">
        <w:t>Section 1 – Contact Details</w:t>
      </w:r>
      <w:bookmarkEnd w:id="15"/>
      <w:bookmarkEnd w:id="16"/>
    </w:p>
    <w:p w14:paraId="4E1F3C55" w14:textId="77777777" w:rsidR="005278DC" w:rsidRPr="005278DC" w:rsidRDefault="005278DC" w:rsidP="00E3494D">
      <w:pPr>
        <w:pStyle w:val="ListParagraph"/>
      </w:pPr>
      <w:r w:rsidRPr="005278DC">
        <w:t>Select the reporting year from the drop-down list.</w:t>
      </w:r>
    </w:p>
    <w:p w14:paraId="1F5A7A2C" w14:textId="77777777" w:rsidR="005278DC" w:rsidRPr="005278DC" w:rsidRDefault="005278DC" w:rsidP="00E3494D">
      <w:pPr>
        <w:pStyle w:val="ListParagraph"/>
      </w:pPr>
      <w:r w:rsidRPr="005278DC">
        <w:t>Select your CRC Name from the drop-down list. Your CRC number will automatically populate.</w:t>
      </w:r>
    </w:p>
    <w:p w14:paraId="6D0DB609" w14:textId="77777777" w:rsidR="005278DC" w:rsidRPr="005278DC" w:rsidRDefault="005278DC" w:rsidP="00E3494D">
      <w:pPr>
        <w:pStyle w:val="ListParagraph"/>
      </w:pPr>
      <w:r w:rsidRPr="005278DC">
        <w:t>Enter the given name, family name, position within the CRC, phone no. and email for the contact person.</w:t>
      </w:r>
    </w:p>
    <w:p w14:paraId="420D5F1F" w14:textId="77777777" w:rsidR="005278DC" w:rsidRPr="005278DC" w:rsidRDefault="005278DC" w:rsidP="00E3494D">
      <w:pPr>
        <w:pStyle w:val="ListParagraph"/>
        <w:numPr>
          <w:ilvl w:val="1"/>
          <w:numId w:val="1"/>
        </w:numPr>
      </w:pPr>
      <w:r w:rsidRPr="005278DC">
        <w:t>The contact person must be able to answer any questions the Department may have regarding your response to this questionnaire.</w:t>
      </w:r>
    </w:p>
    <w:p w14:paraId="1606F8D0" w14:textId="77777777" w:rsidR="005278DC" w:rsidRPr="005278DC" w:rsidRDefault="005278DC" w:rsidP="00E3494D">
      <w:pPr>
        <w:pStyle w:val="Heading2"/>
      </w:pPr>
      <w:bookmarkStart w:id="17" w:name="_Toc129010933"/>
      <w:bookmarkStart w:id="18" w:name="_Toc168390508"/>
      <w:r w:rsidRPr="005278DC">
        <w:t>Section 2 – Research</w:t>
      </w:r>
      <w:bookmarkEnd w:id="17"/>
      <w:bookmarkEnd w:id="18"/>
    </w:p>
    <w:p w14:paraId="24840128" w14:textId="77777777" w:rsidR="005278DC" w:rsidRPr="005278DC" w:rsidRDefault="005278DC" w:rsidP="005278DC">
      <w:r w:rsidRPr="005278DC">
        <w:t>All data reported under section 2 must only relate to the CRCs Activities, as specified in the Grant Agreement.</w:t>
      </w:r>
    </w:p>
    <w:p w14:paraId="772D1AD8" w14:textId="77777777" w:rsidR="005278DC" w:rsidRPr="005278DC" w:rsidRDefault="005278DC" w:rsidP="00E3494D">
      <w:pPr>
        <w:pStyle w:val="Heading3"/>
      </w:pPr>
      <w:bookmarkStart w:id="19" w:name="_Toc129010934"/>
      <w:bookmarkStart w:id="20" w:name="_Toc168390509"/>
      <w:r w:rsidRPr="005278DC">
        <w:lastRenderedPageBreak/>
        <w:t>2.1 – Publications, reports, and engagement</w:t>
      </w:r>
      <w:bookmarkEnd w:id="19"/>
      <w:bookmarkEnd w:id="20"/>
    </w:p>
    <w:p w14:paraId="186BBCF8" w14:textId="77777777" w:rsidR="005278DC" w:rsidRPr="005278DC" w:rsidRDefault="005278DC" w:rsidP="00E3494D">
      <w:pPr>
        <w:pStyle w:val="Heading4"/>
      </w:pPr>
      <w:r w:rsidRPr="005278DC">
        <w:t>2.1.1 – Formal research publications</w:t>
      </w:r>
    </w:p>
    <w:p w14:paraId="783D2A2A" w14:textId="77777777" w:rsidR="005278DC" w:rsidRPr="005278DC" w:rsidRDefault="005278DC" w:rsidP="00E3494D">
      <w:pPr>
        <w:pStyle w:val="ListParagraph"/>
      </w:pPr>
      <w:r w:rsidRPr="005278DC">
        <w:t>Provide the number of formal research publications published during the reporting period.</w:t>
      </w:r>
    </w:p>
    <w:p w14:paraId="5D8796AD" w14:textId="77777777" w:rsidR="005278DC" w:rsidRPr="005278DC" w:rsidRDefault="005278DC" w:rsidP="00E3494D">
      <w:pPr>
        <w:pStyle w:val="ListParagraph"/>
      </w:pPr>
      <w:r w:rsidRPr="005278DC">
        <w:t>Publication types to be included under this measure include:</w:t>
      </w:r>
    </w:p>
    <w:p w14:paraId="35AC49C8" w14:textId="77777777" w:rsidR="005278DC" w:rsidRPr="005278DC" w:rsidRDefault="005278DC" w:rsidP="00E3494D">
      <w:pPr>
        <w:pStyle w:val="ListParagraph"/>
        <w:numPr>
          <w:ilvl w:val="1"/>
          <w:numId w:val="1"/>
        </w:numPr>
      </w:pPr>
      <w:r w:rsidRPr="005278DC">
        <w:t>Number of books – authorised research.</w:t>
      </w:r>
    </w:p>
    <w:p w14:paraId="2D975CD1" w14:textId="77777777" w:rsidR="005278DC" w:rsidRPr="005278DC" w:rsidRDefault="005278DC" w:rsidP="00E3494D">
      <w:pPr>
        <w:pStyle w:val="ListParagraph"/>
        <w:numPr>
          <w:ilvl w:val="1"/>
          <w:numId w:val="1"/>
        </w:numPr>
      </w:pPr>
      <w:r w:rsidRPr="005278DC">
        <w:t>Number of book chapters.</w:t>
      </w:r>
    </w:p>
    <w:p w14:paraId="22D08BA1" w14:textId="77777777" w:rsidR="005278DC" w:rsidRPr="005278DC" w:rsidRDefault="005278DC" w:rsidP="00E3494D">
      <w:pPr>
        <w:pStyle w:val="ListParagraph"/>
        <w:numPr>
          <w:ilvl w:val="1"/>
          <w:numId w:val="1"/>
        </w:numPr>
      </w:pPr>
      <w:r w:rsidRPr="005278DC">
        <w:t>Number of articles in scholarly refereed journals.</w:t>
      </w:r>
    </w:p>
    <w:p w14:paraId="358960D4" w14:textId="77777777" w:rsidR="005278DC" w:rsidRPr="005278DC" w:rsidRDefault="005278DC" w:rsidP="00E3494D">
      <w:pPr>
        <w:pStyle w:val="ListParagraph"/>
        <w:numPr>
          <w:ilvl w:val="1"/>
          <w:numId w:val="1"/>
        </w:numPr>
      </w:pPr>
      <w:r w:rsidRPr="005278DC">
        <w:t>Number of full written conference paper/s – refereed proceedings.</w:t>
      </w:r>
    </w:p>
    <w:p w14:paraId="72546779" w14:textId="77777777" w:rsidR="005278DC" w:rsidRPr="005278DC" w:rsidRDefault="005278DC" w:rsidP="00E3494D">
      <w:pPr>
        <w:pStyle w:val="ListParagraph"/>
      </w:pPr>
      <w:r w:rsidRPr="005278DC">
        <w:t xml:space="preserve">The definition for each type of publication is the same as used by the Department of Education for </w:t>
      </w:r>
      <w:hyperlink r:id="rId15" w:history="1">
        <w:r w:rsidRPr="005278DC">
          <w:rPr>
            <w:rStyle w:val="Hyperlink"/>
          </w:rPr>
          <w:t>Higher Education Research Data Collection 2023 (HERDC)</w:t>
        </w:r>
      </w:hyperlink>
      <w:r w:rsidRPr="005278DC">
        <w:t>.</w:t>
      </w:r>
    </w:p>
    <w:p w14:paraId="2B129195" w14:textId="77777777" w:rsidR="005278DC" w:rsidRPr="005278DC" w:rsidRDefault="005278DC" w:rsidP="00E3494D">
      <w:pPr>
        <w:pStyle w:val="ListParagraph"/>
      </w:pPr>
      <w:r w:rsidRPr="005278DC">
        <w:t>Do not include any publications or reports for industry or other users that do not fit within the HERDC categories.</w:t>
      </w:r>
    </w:p>
    <w:p w14:paraId="0267C817" w14:textId="77777777" w:rsidR="005278DC" w:rsidRPr="005278DC" w:rsidRDefault="005278DC" w:rsidP="00E3494D">
      <w:pPr>
        <w:pStyle w:val="Heading4"/>
      </w:pPr>
      <w:r w:rsidRPr="005278DC">
        <w:t>2.1.2 – End-user publications and reports</w:t>
      </w:r>
    </w:p>
    <w:p w14:paraId="6273CE5B" w14:textId="77777777" w:rsidR="005278DC" w:rsidRPr="005278DC" w:rsidRDefault="005278DC" w:rsidP="005A0AC9">
      <w:pPr>
        <w:pStyle w:val="ListParagraph"/>
      </w:pPr>
      <w:r w:rsidRPr="005278DC">
        <w:t>Provide the number of end-user publications and reports published during the reporting period.</w:t>
      </w:r>
    </w:p>
    <w:p w14:paraId="0FC05527" w14:textId="77777777" w:rsidR="005278DC" w:rsidRPr="005278DC" w:rsidRDefault="005278DC" w:rsidP="005A0AC9">
      <w:pPr>
        <w:pStyle w:val="ListParagraph"/>
      </w:pPr>
      <w:r w:rsidRPr="005278DC">
        <w:t>Publications and reports to be included under this measure include the following, where the publication or report is aimed at transferring know-how or practical information to end users:</w:t>
      </w:r>
    </w:p>
    <w:p w14:paraId="608F6659" w14:textId="77777777" w:rsidR="005278DC" w:rsidRPr="005278DC" w:rsidRDefault="005278DC" w:rsidP="005A0AC9">
      <w:pPr>
        <w:pStyle w:val="ListParagraph"/>
        <w:numPr>
          <w:ilvl w:val="1"/>
          <w:numId w:val="1"/>
        </w:numPr>
      </w:pPr>
      <w:r w:rsidRPr="005278DC">
        <w:t>Reports.</w:t>
      </w:r>
    </w:p>
    <w:p w14:paraId="78565279" w14:textId="77777777" w:rsidR="005278DC" w:rsidRPr="005278DC" w:rsidRDefault="005278DC" w:rsidP="005A0AC9">
      <w:pPr>
        <w:pStyle w:val="ListParagraph"/>
        <w:numPr>
          <w:ilvl w:val="1"/>
          <w:numId w:val="1"/>
        </w:numPr>
      </w:pPr>
      <w:r w:rsidRPr="005278DC">
        <w:t>Papers.</w:t>
      </w:r>
    </w:p>
    <w:p w14:paraId="22A6EC9C" w14:textId="77777777" w:rsidR="005278DC" w:rsidRPr="005278DC" w:rsidRDefault="005278DC" w:rsidP="005A0AC9">
      <w:pPr>
        <w:pStyle w:val="ListParagraph"/>
        <w:numPr>
          <w:ilvl w:val="1"/>
          <w:numId w:val="1"/>
        </w:numPr>
      </w:pPr>
      <w:r w:rsidRPr="005278DC">
        <w:t>Newsletters.</w:t>
      </w:r>
    </w:p>
    <w:p w14:paraId="78CFF1DD" w14:textId="77777777" w:rsidR="005278DC" w:rsidRPr="005278DC" w:rsidRDefault="005278DC" w:rsidP="005A0AC9">
      <w:pPr>
        <w:pStyle w:val="ListParagraph"/>
        <w:numPr>
          <w:ilvl w:val="1"/>
          <w:numId w:val="1"/>
        </w:numPr>
      </w:pPr>
      <w:r w:rsidRPr="005278DC">
        <w:t>Booklets.</w:t>
      </w:r>
    </w:p>
    <w:p w14:paraId="5C7E9947" w14:textId="77777777" w:rsidR="005278DC" w:rsidRPr="005278DC" w:rsidRDefault="005278DC" w:rsidP="005A0AC9">
      <w:pPr>
        <w:pStyle w:val="ListParagraph"/>
        <w:numPr>
          <w:ilvl w:val="1"/>
          <w:numId w:val="1"/>
        </w:numPr>
      </w:pPr>
      <w:r w:rsidRPr="005278DC">
        <w:t>Computer software/programs.</w:t>
      </w:r>
    </w:p>
    <w:p w14:paraId="7FCB2B81" w14:textId="77777777" w:rsidR="005278DC" w:rsidRPr="005278DC" w:rsidRDefault="005278DC" w:rsidP="005A0AC9">
      <w:pPr>
        <w:pStyle w:val="ListParagraph"/>
        <w:numPr>
          <w:ilvl w:val="1"/>
          <w:numId w:val="1"/>
        </w:numPr>
      </w:pPr>
      <w:r w:rsidRPr="005278DC">
        <w:t>Web portals.</w:t>
      </w:r>
    </w:p>
    <w:p w14:paraId="3050F797" w14:textId="77777777" w:rsidR="005278DC" w:rsidRPr="005278DC" w:rsidRDefault="005278DC" w:rsidP="005A0AC9">
      <w:pPr>
        <w:pStyle w:val="ListParagraph"/>
        <w:numPr>
          <w:ilvl w:val="1"/>
          <w:numId w:val="1"/>
        </w:numPr>
      </w:pPr>
      <w:r w:rsidRPr="005278DC">
        <w:t>Blogs.</w:t>
      </w:r>
    </w:p>
    <w:p w14:paraId="2D371BEC" w14:textId="77777777" w:rsidR="005278DC" w:rsidRPr="005278DC" w:rsidRDefault="005278DC" w:rsidP="005A0AC9">
      <w:pPr>
        <w:pStyle w:val="ListParagraph"/>
        <w:numPr>
          <w:ilvl w:val="1"/>
          <w:numId w:val="1"/>
        </w:numPr>
      </w:pPr>
      <w:r w:rsidRPr="005278DC">
        <w:t>Websites.</w:t>
      </w:r>
    </w:p>
    <w:p w14:paraId="3636EBD3" w14:textId="77777777" w:rsidR="005278DC" w:rsidRPr="005278DC" w:rsidRDefault="005278DC" w:rsidP="005A0AC9">
      <w:pPr>
        <w:pStyle w:val="ListParagraph"/>
        <w:numPr>
          <w:ilvl w:val="1"/>
          <w:numId w:val="1"/>
        </w:numPr>
      </w:pPr>
      <w:r w:rsidRPr="005278DC">
        <w:t>Confidential publications.</w:t>
      </w:r>
    </w:p>
    <w:p w14:paraId="055E9254" w14:textId="3F62E426" w:rsidR="005278DC" w:rsidRPr="005278DC" w:rsidRDefault="005278DC" w:rsidP="005A0AC9">
      <w:pPr>
        <w:pStyle w:val="ListParagraph"/>
      </w:pPr>
      <w:r w:rsidRPr="005278DC">
        <w:t xml:space="preserve">Publicity brochures, websites or similar that only provide general information about the CRCs activities </w:t>
      </w:r>
      <w:r w:rsidRPr="005A0AC9">
        <w:rPr>
          <w:b/>
          <w:bCs/>
          <w:u w:val="single"/>
        </w:rPr>
        <w:t>are not</w:t>
      </w:r>
      <w:r w:rsidRPr="005278DC">
        <w:t xml:space="preserve"> to be included in this measure.</w:t>
      </w:r>
    </w:p>
    <w:p w14:paraId="18205C16" w14:textId="77777777" w:rsidR="005278DC" w:rsidRPr="005278DC" w:rsidRDefault="005278DC" w:rsidP="005A0AC9">
      <w:pPr>
        <w:pStyle w:val="ListParagraph"/>
      </w:pPr>
      <w:r w:rsidRPr="005278DC">
        <w:t>An end-user is defined as a person, organisation, industry, or community who will directly apply or directly benefit from the output, outcome, or results of the CRCs research. End-users can be partners in the CRC, but they can also be entities who are not associated with the CRC.</w:t>
      </w:r>
    </w:p>
    <w:p w14:paraId="2C797AFB" w14:textId="77777777" w:rsidR="005278DC" w:rsidRPr="005278DC" w:rsidRDefault="005278DC" w:rsidP="00FA4EED">
      <w:pPr>
        <w:pStyle w:val="Heading4"/>
      </w:pPr>
      <w:r w:rsidRPr="005278DC">
        <w:t>2.1.3 – Engagement in research and development</w:t>
      </w:r>
    </w:p>
    <w:p w14:paraId="4B6FB17F" w14:textId="77777777" w:rsidR="005278DC" w:rsidRPr="005278DC" w:rsidRDefault="005278DC" w:rsidP="005A0AC9">
      <w:pPr>
        <w:pStyle w:val="ListParagraph"/>
      </w:pPr>
      <w:r w:rsidRPr="005278DC">
        <w:t>Provide the total number of full time equivalent (FTE) staff devoted to research and development during the reporting period.</w:t>
      </w:r>
    </w:p>
    <w:p w14:paraId="16F92576" w14:textId="77777777" w:rsidR="005278DC" w:rsidRPr="005278DC" w:rsidRDefault="005278DC" w:rsidP="005A0AC9">
      <w:pPr>
        <w:pStyle w:val="ListParagraph"/>
      </w:pPr>
      <w:r w:rsidRPr="005278DC">
        <w:t>This includes both cash funded and in-kind FTE.</w:t>
      </w:r>
    </w:p>
    <w:p w14:paraId="6F1EEEEA" w14:textId="77777777" w:rsidR="005278DC" w:rsidRPr="005278DC" w:rsidRDefault="005278DC" w:rsidP="005A0AC9">
      <w:pPr>
        <w:pStyle w:val="ListParagraph"/>
      </w:pPr>
      <w:r w:rsidRPr="005278DC">
        <w:t>Staff types to be included under this measure include:</w:t>
      </w:r>
    </w:p>
    <w:p w14:paraId="10C0790D" w14:textId="77777777" w:rsidR="005278DC" w:rsidRPr="005278DC" w:rsidRDefault="005278DC" w:rsidP="005A0AC9">
      <w:pPr>
        <w:pStyle w:val="ListParagraph"/>
        <w:numPr>
          <w:ilvl w:val="1"/>
          <w:numId w:val="1"/>
        </w:numPr>
      </w:pPr>
      <w:r w:rsidRPr="005278DC">
        <w:t>Professional researcher staff (both academic and other research staff).</w:t>
      </w:r>
    </w:p>
    <w:p w14:paraId="42F0ACE2" w14:textId="77777777" w:rsidR="005278DC" w:rsidRPr="005278DC" w:rsidRDefault="005278DC" w:rsidP="005A0AC9">
      <w:pPr>
        <w:pStyle w:val="ListParagraph"/>
        <w:numPr>
          <w:ilvl w:val="1"/>
          <w:numId w:val="1"/>
        </w:numPr>
      </w:pPr>
      <w:r w:rsidRPr="005278DC">
        <w:lastRenderedPageBreak/>
        <w:t>Technical or other staff.</w:t>
      </w:r>
    </w:p>
    <w:p w14:paraId="262526AE" w14:textId="77777777" w:rsidR="005278DC" w:rsidRPr="005278DC" w:rsidRDefault="005278DC" w:rsidP="005A0AC9">
      <w:pPr>
        <w:pStyle w:val="ListParagraph"/>
        <w:numPr>
          <w:ilvl w:val="1"/>
          <w:numId w:val="1"/>
        </w:numPr>
      </w:pPr>
      <w:r w:rsidRPr="005278DC">
        <w:t>Postgraduate students.</w:t>
      </w:r>
    </w:p>
    <w:p w14:paraId="7A49AD1C" w14:textId="77777777" w:rsidR="005278DC" w:rsidRPr="005278DC" w:rsidRDefault="005278DC" w:rsidP="005A0AC9">
      <w:pPr>
        <w:pStyle w:val="ListParagraph"/>
      </w:pPr>
      <w:r w:rsidRPr="005278DC">
        <w:t xml:space="preserve">The </w:t>
      </w:r>
      <w:hyperlink r:id="rId16" w:history="1">
        <w:r w:rsidRPr="005278DC">
          <w:rPr>
            <w:rStyle w:val="Hyperlink"/>
          </w:rPr>
          <w:t>OECD</w:t>
        </w:r>
      </w:hyperlink>
      <w:r w:rsidRPr="005278DC">
        <w:t xml:space="preserve"> defines research and development as follows: </w:t>
      </w:r>
    </w:p>
    <w:p w14:paraId="77830B72" w14:textId="77777777" w:rsidR="005278DC" w:rsidRPr="005278DC" w:rsidRDefault="005278DC" w:rsidP="005A0AC9">
      <w:pPr>
        <w:pStyle w:val="ListParagraph"/>
        <w:numPr>
          <w:ilvl w:val="1"/>
          <w:numId w:val="1"/>
        </w:numPr>
      </w:pPr>
      <w:r w:rsidRPr="005278DC">
        <w:t xml:space="preserve">Research and development (R&amp;D) comprise creative work undertaken on a systematic basis </w:t>
      </w:r>
      <w:proofErr w:type="gramStart"/>
      <w:r w:rsidRPr="005278DC">
        <w:t>in order to</w:t>
      </w:r>
      <w:proofErr w:type="gramEnd"/>
      <w:r w:rsidRPr="005278DC">
        <w:t xml:space="preserve"> increase the stock of knowledge (including knowledge of man, culture and society) and the use of this knowledge to devise new applications.</w:t>
      </w:r>
    </w:p>
    <w:p w14:paraId="795B136A" w14:textId="77777777" w:rsidR="005278DC" w:rsidRPr="005278DC" w:rsidRDefault="005278DC" w:rsidP="005A0AC9">
      <w:pPr>
        <w:pStyle w:val="ListParagraph"/>
        <w:numPr>
          <w:ilvl w:val="1"/>
          <w:numId w:val="1"/>
        </w:numPr>
      </w:pPr>
      <w:r w:rsidRPr="005278DC">
        <w:t>R&amp;D covers three activities: basic research, applied research, and experimental development.</w:t>
      </w:r>
    </w:p>
    <w:p w14:paraId="3604C537" w14:textId="77777777" w:rsidR="005278DC" w:rsidRPr="005278DC" w:rsidRDefault="005278DC" w:rsidP="005A0AC9">
      <w:pPr>
        <w:pStyle w:val="ListParagraph"/>
        <w:numPr>
          <w:ilvl w:val="2"/>
          <w:numId w:val="1"/>
        </w:numPr>
      </w:pPr>
      <w:r w:rsidRPr="005278DC">
        <w:t xml:space="preserve">Basic research is experimental or theoretical work undertaken primarily to acquire new knowledge of the underlying foundation of phenomena and observable facts, without any </w:t>
      </w:r>
      <w:proofErr w:type="gramStart"/>
      <w:r w:rsidRPr="005278DC">
        <w:t>particular application</w:t>
      </w:r>
      <w:proofErr w:type="gramEnd"/>
      <w:r w:rsidRPr="005278DC">
        <w:t xml:space="preserve"> or use in view.</w:t>
      </w:r>
    </w:p>
    <w:p w14:paraId="700EA49F" w14:textId="77777777" w:rsidR="005278DC" w:rsidRPr="005278DC" w:rsidRDefault="005278DC" w:rsidP="005A0AC9">
      <w:pPr>
        <w:pStyle w:val="ListParagraph"/>
        <w:numPr>
          <w:ilvl w:val="2"/>
          <w:numId w:val="1"/>
        </w:numPr>
      </w:pPr>
      <w:r w:rsidRPr="005278DC">
        <w:t xml:space="preserve">Applied research is also original investigation undertaken </w:t>
      </w:r>
      <w:proofErr w:type="gramStart"/>
      <w:r w:rsidRPr="005278DC">
        <w:t>in order to</w:t>
      </w:r>
      <w:proofErr w:type="gramEnd"/>
      <w:r w:rsidRPr="005278DC">
        <w:t xml:space="preserve"> acquire new knowledge; it is, however, directed primarily towards a specific practical aim or objective.</w:t>
      </w:r>
    </w:p>
    <w:p w14:paraId="7CCE5933" w14:textId="77777777" w:rsidR="005278DC" w:rsidRPr="005278DC" w:rsidRDefault="005278DC" w:rsidP="005A0AC9">
      <w:pPr>
        <w:pStyle w:val="ListParagraph"/>
        <w:numPr>
          <w:ilvl w:val="2"/>
          <w:numId w:val="1"/>
        </w:numPr>
      </w:pPr>
      <w:r w:rsidRPr="005278DC">
        <w:t xml:space="preserve">Experimental development is systematic work, drawing on existing knowledge gained from research and/or practical experience, which is directed to producing new materials, </w:t>
      </w:r>
      <w:proofErr w:type="gramStart"/>
      <w:r w:rsidRPr="005278DC">
        <w:t>products</w:t>
      </w:r>
      <w:proofErr w:type="gramEnd"/>
      <w:r w:rsidRPr="005278DC">
        <w:t xml:space="preserve"> or devices, to installing new processes, systems and services, or to improving substantially those already produced or installed.</w:t>
      </w:r>
    </w:p>
    <w:p w14:paraId="1340FA08" w14:textId="77777777" w:rsidR="005278DC" w:rsidRPr="005278DC" w:rsidRDefault="005278DC" w:rsidP="005A0AC9">
      <w:pPr>
        <w:pStyle w:val="Heading3"/>
      </w:pPr>
      <w:bookmarkStart w:id="21" w:name="_Toc129010935"/>
      <w:bookmarkStart w:id="22" w:name="_Toc168390510"/>
      <w:r w:rsidRPr="005278DC">
        <w:t>2.2 – Science and Research Priorities</w:t>
      </w:r>
      <w:bookmarkEnd w:id="21"/>
      <w:bookmarkEnd w:id="22"/>
    </w:p>
    <w:p w14:paraId="3EC4CC2A" w14:textId="77777777" w:rsidR="005278DC" w:rsidRPr="005278DC" w:rsidRDefault="005278DC" w:rsidP="005278DC">
      <w:r w:rsidRPr="005278DC">
        <w:t>The government’s Science and Research Priorities identify areas of immediate and critical importance to the nation.</w:t>
      </w:r>
    </w:p>
    <w:p w14:paraId="1ED93722" w14:textId="77777777" w:rsidR="005278DC" w:rsidRPr="005278DC" w:rsidRDefault="005278DC" w:rsidP="005A0AC9">
      <w:pPr>
        <w:pStyle w:val="Heading4"/>
      </w:pPr>
      <w:r w:rsidRPr="005278DC">
        <w:t xml:space="preserve">2.2.1 – Food, 2.2.2 – Soil and Water, 2.2.3 – Transport, 2.2.4 – Cybersecurity, 2.2.5 – Energy, 2.2.6 – Resources, 2.2.7 – Advanced Manufacturing, 2.2.8 – Environmental Change, 2.2.9 – Health. </w:t>
      </w:r>
    </w:p>
    <w:p w14:paraId="0E24DEF5" w14:textId="77777777" w:rsidR="005278DC" w:rsidRPr="005278DC" w:rsidRDefault="005278DC" w:rsidP="005A0AC9">
      <w:pPr>
        <w:pStyle w:val="ListParagraph"/>
      </w:pPr>
      <w:r w:rsidRPr="005278DC">
        <w:t>Provide a yes or no response to whether the CRC has conducted research aligned with the specific challenges under each Science and Research Priority area within the reporting period.</w:t>
      </w:r>
    </w:p>
    <w:p w14:paraId="378A1B0C" w14:textId="77777777" w:rsidR="005278DC" w:rsidRPr="005278DC" w:rsidRDefault="005278DC" w:rsidP="005A0AC9">
      <w:pPr>
        <w:pStyle w:val="ListParagraph"/>
      </w:pPr>
      <w:r w:rsidRPr="005278DC">
        <w:t xml:space="preserve">Only provide a yes response if </w:t>
      </w:r>
      <w:r w:rsidRPr="005A0AC9">
        <w:rPr>
          <w:b/>
          <w:bCs/>
          <w:u w:val="single"/>
        </w:rPr>
        <w:t>a minimum of 5%</w:t>
      </w:r>
      <w:r w:rsidRPr="005278DC">
        <w:t xml:space="preserve"> of all CRC activities during the reporting period were conducted in relation to each challenge.</w:t>
      </w:r>
    </w:p>
    <w:p w14:paraId="483C5E1F" w14:textId="77777777" w:rsidR="005278DC" w:rsidRPr="005278DC" w:rsidRDefault="005278DC" w:rsidP="005A0AC9">
      <w:pPr>
        <w:pStyle w:val="ListParagraph"/>
      </w:pPr>
      <w:r w:rsidRPr="005278DC">
        <w:t xml:space="preserve">Further information in relation to the Science and Research Priorities is available at </w:t>
      </w:r>
      <w:hyperlink r:id="rId17" w:history="1">
        <w:r w:rsidRPr="005278DC">
          <w:rPr>
            <w:rStyle w:val="Hyperlink"/>
          </w:rPr>
          <w:t>www.industry.gov.au</w:t>
        </w:r>
      </w:hyperlink>
      <w:r w:rsidRPr="005278DC">
        <w:t>.</w:t>
      </w:r>
    </w:p>
    <w:p w14:paraId="4EF39F08" w14:textId="77777777" w:rsidR="005278DC" w:rsidRPr="005278DC" w:rsidRDefault="005278DC" w:rsidP="005A0AC9">
      <w:pPr>
        <w:pStyle w:val="Heading2"/>
      </w:pPr>
      <w:bookmarkStart w:id="23" w:name="_Toc129010936"/>
      <w:bookmarkStart w:id="24" w:name="_Toc168390511"/>
      <w:r w:rsidRPr="005278DC">
        <w:t>Section 3 – Intellectual Property</w:t>
      </w:r>
      <w:bookmarkEnd w:id="23"/>
      <w:bookmarkEnd w:id="24"/>
    </w:p>
    <w:p w14:paraId="7328D297" w14:textId="77777777" w:rsidR="005278DC" w:rsidRPr="005278DC" w:rsidRDefault="005278DC" w:rsidP="005278DC">
      <w:r w:rsidRPr="005278DC">
        <w:t xml:space="preserve">The intention of these questions is to capture IP activity related to the CRCs activities as specified in the Grant Agreement. Relevant IP activity may be undertaken by the CRC, its partners, or a spin-off entity. All data reported under section 3 must only relate to the CRCs activities as specified in the Grant Agreement. </w:t>
      </w:r>
    </w:p>
    <w:p w14:paraId="0023DF26" w14:textId="77777777" w:rsidR="005278DC" w:rsidRPr="005278DC" w:rsidRDefault="005278DC" w:rsidP="005A0AC9">
      <w:pPr>
        <w:pStyle w:val="Heading3"/>
      </w:pPr>
      <w:bookmarkStart w:id="25" w:name="_Toc129010937"/>
      <w:bookmarkStart w:id="26" w:name="_Toc168390512"/>
      <w:r w:rsidRPr="005278DC">
        <w:lastRenderedPageBreak/>
        <w:t>3.1 Patents and plant breeder’s rights</w:t>
      </w:r>
      <w:bookmarkEnd w:id="25"/>
      <w:bookmarkEnd w:id="26"/>
    </w:p>
    <w:p w14:paraId="7B3464AE" w14:textId="77777777" w:rsidR="005278DC" w:rsidRPr="005278DC" w:rsidRDefault="005278DC" w:rsidP="005A0AC9">
      <w:pPr>
        <w:pStyle w:val="Heading4"/>
      </w:pPr>
      <w:r w:rsidRPr="005278DC">
        <w:t xml:space="preserve">3.1.1 – Number of patents and plant breeder’s rights held/maintained during the reporting </w:t>
      </w:r>
      <w:proofErr w:type="gramStart"/>
      <w:r w:rsidRPr="005278DC">
        <w:t>period</w:t>
      </w:r>
      <w:proofErr w:type="gramEnd"/>
    </w:p>
    <w:p w14:paraId="24076A0A" w14:textId="77777777" w:rsidR="005278DC" w:rsidRPr="005278DC" w:rsidRDefault="005278DC" w:rsidP="00FA4EED">
      <w:pPr>
        <w:pStyle w:val="ListParagraph"/>
      </w:pPr>
      <w:r w:rsidRPr="005278DC">
        <w:t>Provide the total number of patents and plant breeder’s rights held/maintained during the reporting period, split by Australia* and elsewhere.</w:t>
      </w:r>
    </w:p>
    <w:p w14:paraId="4B7BC90A" w14:textId="77777777" w:rsidR="005278DC" w:rsidRPr="005278DC" w:rsidRDefault="005278DC" w:rsidP="00FA4EED">
      <w:pPr>
        <w:pStyle w:val="ListParagraph"/>
        <w:numPr>
          <w:ilvl w:val="1"/>
          <w:numId w:val="1"/>
        </w:numPr>
      </w:pPr>
      <w:r w:rsidRPr="005278DC">
        <w:t>*In Australia means with IP Australia.</w:t>
      </w:r>
    </w:p>
    <w:p w14:paraId="66DC6271" w14:textId="77777777" w:rsidR="005278DC" w:rsidRPr="005278DC" w:rsidRDefault="005278DC" w:rsidP="00FA4EED">
      <w:pPr>
        <w:pStyle w:val="ListParagraph"/>
      </w:pPr>
      <w:r w:rsidRPr="005278DC">
        <w:t>Include:</w:t>
      </w:r>
    </w:p>
    <w:p w14:paraId="2FB972C7" w14:textId="77777777" w:rsidR="005278DC" w:rsidRPr="005278DC" w:rsidRDefault="005278DC" w:rsidP="00FA4EED">
      <w:pPr>
        <w:pStyle w:val="ListParagraph"/>
        <w:numPr>
          <w:ilvl w:val="1"/>
          <w:numId w:val="1"/>
        </w:numPr>
      </w:pPr>
      <w:r w:rsidRPr="005278DC">
        <w:t xml:space="preserve">Pending and issued patents and plant breeder’s rights held or maintained during the reporting period. Count only once if the status changed from pending to </w:t>
      </w:r>
      <w:proofErr w:type="spellStart"/>
      <w:r w:rsidRPr="005278DC">
        <w:t>issued</w:t>
      </w:r>
      <w:proofErr w:type="spellEnd"/>
      <w:r w:rsidRPr="005278DC">
        <w:t xml:space="preserve"> during the reporting period.</w:t>
      </w:r>
    </w:p>
    <w:p w14:paraId="7874FB14" w14:textId="77777777" w:rsidR="005278DC" w:rsidRPr="005278DC" w:rsidRDefault="005278DC" w:rsidP="00FA4EED">
      <w:pPr>
        <w:pStyle w:val="ListParagraph"/>
        <w:numPr>
          <w:ilvl w:val="1"/>
          <w:numId w:val="1"/>
        </w:numPr>
      </w:pPr>
      <w:r w:rsidRPr="005278DC">
        <w:t>Patents and plant breeder’s rights accepted and allowed by patent offices, which were issued, held, or maintained during the reporting period.</w:t>
      </w:r>
    </w:p>
    <w:p w14:paraId="3AD136B6" w14:textId="77777777" w:rsidR="005278DC" w:rsidRPr="005278DC" w:rsidRDefault="005278DC" w:rsidP="00FA4EED">
      <w:pPr>
        <w:pStyle w:val="ListParagraph"/>
        <w:numPr>
          <w:ilvl w:val="1"/>
          <w:numId w:val="1"/>
        </w:numPr>
      </w:pPr>
      <w:r w:rsidRPr="005278DC">
        <w:t xml:space="preserve">Pending patents and plant breeder’s rights, provisional patents, PCT patents and national phase filings. </w:t>
      </w:r>
    </w:p>
    <w:p w14:paraId="072CB51E" w14:textId="77777777" w:rsidR="005278DC" w:rsidRPr="005278DC" w:rsidRDefault="005278DC" w:rsidP="00FA4EED">
      <w:pPr>
        <w:pStyle w:val="ListParagraph"/>
        <w:numPr>
          <w:ilvl w:val="1"/>
          <w:numId w:val="1"/>
        </w:numPr>
      </w:pPr>
      <w:r w:rsidRPr="005278DC">
        <w:t>All patents in a single patent family, including when filed in multiple jurisdictions.</w:t>
      </w:r>
    </w:p>
    <w:p w14:paraId="592D00EF" w14:textId="77777777" w:rsidR="005278DC" w:rsidRPr="005278DC" w:rsidRDefault="005278DC" w:rsidP="005A0AC9">
      <w:pPr>
        <w:pStyle w:val="Heading3"/>
      </w:pPr>
      <w:bookmarkStart w:id="27" w:name="_Toc129010938"/>
      <w:bookmarkStart w:id="28" w:name="_Toc168390513"/>
      <w:r w:rsidRPr="005278DC">
        <w:t>3.2 Other intellectual property</w:t>
      </w:r>
      <w:bookmarkEnd w:id="27"/>
      <w:bookmarkEnd w:id="28"/>
    </w:p>
    <w:p w14:paraId="2E89C424" w14:textId="77777777" w:rsidR="005278DC" w:rsidRPr="005278DC" w:rsidRDefault="005278DC" w:rsidP="005A0AC9">
      <w:pPr>
        <w:pStyle w:val="Heading4"/>
      </w:pPr>
      <w:r w:rsidRPr="005278DC">
        <w:t>3.2.1 – Other intellectual property</w:t>
      </w:r>
    </w:p>
    <w:p w14:paraId="76366175" w14:textId="77777777" w:rsidR="005278DC" w:rsidRPr="005278DC" w:rsidRDefault="005278DC" w:rsidP="00FA4EED">
      <w:pPr>
        <w:pStyle w:val="ListParagraph"/>
      </w:pPr>
      <w:r w:rsidRPr="005278DC">
        <w:t>Provide the total number of other IP held/maintained during the reporting period.</w:t>
      </w:r>
    </w:p>
    <w:p w14:paraId="1F45B12E" w14:textId="77777777" w:rsidR="005278DC" w:rsidRPr="005278DC" w:rsidRDefault="005278DC" w:rsidP="00FA4EED">
      <w:pPr>
        <w:pStyle w:val="ListParagraph"/>
      </w:pPr>
      <w:r w:rsidRPr="005278DC">
        <w:t>Include all types of non-patent registered IP rights such as registered designs and trademarks.</w:t>
      </w:r>
    </w:p>
    <w:p w14:paraId="4FAAE5EF" w14:textId="77777777" w:rsidR="005278DC" w:rsidRPr="005278DC" w:rsidRDefault="005278DC" w:rsidP="00FA4EED">
      <w:pPr>
        <w:pStyle w:val="ListParagraph"/>
      </w:pPr>
      <w:r w:rsidRPr="005278DC">
        <w:t>Exclude any pending IP applications from this reporting period or previously.</w:t>
      </w:r>
    </w:p>
    <w:p w14:paraId="6A43F2D0" w14:textId="77777777" w:rsidR="005278DC" w:rsidRPr="005A0AC9" w:rsidRDefault="005278DC" w:rsidP="005A0AC9">
      <w:pPr>
        <w:pStyle w:val="Heading3"/>
      </w:pPr>
      <w:bookmarkStart w:id="29" w:name="_Toc129010939"/>
      <w:bookmarkStart w:id="30" w:name="_Toc168390514"/>
      <w:r w:rsidRPr="005A0AC9">
        <w:t>3.3 Licences/Options/Assignments (LOAs)</w:t>
      </w:r>
      <w:bookmarkEnd w:id="29"/>
      <w:bookmarkEnd w:id="30"/>
    </w:p>
    <w:p w14:paraId="4BC71278" w14:textId="77777777" w:rsidR="005278DC" w:rsidRPr="005278DC" w:rsidRDefault="005278DC" w:rsidP="005278DC">
      <w:r w:rsidRPr="005278DC">
        <w:t>In this context, an end-user is a person, organisation, industry, or community capable of deploying the research outputs of a CRC, whether they are partners in the CRC or not.</w:t>
      </w:r>
    </w:p>
    <w:p w14:paraId="2F1C5791" w14:textId="77777777" w:rsidR="005278DC" w:rsidRPr="005278DC" w:rsidRDefault="005278DC" w:rsidP="005A0AC9">
      <w:pPr>
        <w:pStyle w:val="Heading4"/>
      </w:pPr>
      <w:r w:rsidRPr="005278DC">
        <w:t xml:space="preserve">3.3.1 – Number of new LOAs executed during the reporting </w:t>
      </w:r>
      <w:proofErr w:type="gramStart"/>
      <w:r w:rsidRPr="005278DC">
        <w:t>period</w:t>
      </w:r>
      <w:proofErr w:type="gramEnd"/>
    </w:p>
    <w:p w14:paraId="6D582493" w14:textId="77777777" w:rsidR="005278DC" w:rsidRPr="005278DC" w:rsidRDefault="005278DC" w:rsidP="00FA4EED">
      <w:pPr>
        <w:pStyle w:val="ListParagraph"/>
      </w:pPr>
      <w:r w:rsidRPr="005278DC">
        <w:t>Provide the total number of LOAs, both exclusive and non-exclusive, executed between the CRC and end-users during the reporting period.</w:t>
      </w:r>
    </w:p>
    <w:p w14:paraId="697FFF81" w14:textId="77777777" w:rsidR="005278DC" w:rsidRPr="005278DC" w:rsidRDefault="005278DC" w:rsidP="005A0AC9">
      <w:pPr>
        <w:pStyle w:val="Heading4"/>
      </w:pPr>
      <w:r w:rsidRPr="005278DC">
        <w:t xml:space="preserve">3.3.2 – Total number of LOAs active during the reporting period </w:t>
      </w:r>
    </w:p>
    <w:p w14:paraId="6E79EB7A" w14:textId="77777777" w:rsidR="005278DC" w:rsidRPr="005278DC" w:rsidRDefault="005278DC" w:rsidP="00FA4EED">
      <w:pPr>
        <w:pStyle w:val="ListParagraph"/>
      </w:pPr>
      <w:r w:rsidRPr="005278DC">
        <w:t>Provide the total number of LOAs on intellectual property active between the CRC and end-users during the reporting period.</w:t>
      </w:r>
    </w:p>
    <w:p w14:paraId="564B8B93" w14:textId="77777777" w:rsidR="005278DC" w:rsidRPr="005278DC" w:rsidRDefault="005278DC" w:rsidP="00FA4EED">
      <w:pPr>
        <w:pStyle w:val="ListParagraph"/>
      </w:pPr>
      <w:r w:rsidRPr="005278DC">
        <w:t>Active means:</w:t>
      </w:r>
    </w:p>
    <w:p w14:paraId="2B3661BE" w14:textId="77777777" w:rsidR="005278DC" w:rsidRPr="005278DC" w:rsidRDefault="005278DC" w:rsidP="00FA4EED">
      <w:pPr>
        <w:pStyle w:val="ListParagraph"/>
        <w:numPr>
          <w:ilvl w:val="1"/>
          <w:numId w:val="1"/>
        </w:numPr>
      </w:pPr>
      <w:r w:rsidRPr="005278DC">
        <w:t>LOAs that are legally enforceable licences and options that earned income in the reporting year, or</w:t>
      </w:r>
    </w:p>
    <w:p w14:paraId="6050799B" w14:textId="77777777" w:rsidR="005278DC" w:rsidRPr="005278DC" w:rsidRDefault="005278DC" w:rsidP="00FA4EED">
      <w:pPr>
        <w:pStyle w:val="ListParagraph"/>
        <w:numPr>
          <w:ilvl w:val="1"/>
          <w:numId w:val="1"/>
        </w:numPr>
      </w:pPr>
      <w:r w:rsidRPr="005278DC">
        <w:t>Are contracted to provide income in future years and for which there is a reasonable expectation that income will be paid, or</w:t>
      </w:r>
    </w:p>
    <w:p w14:paraId="0A56295F" w14:textId="77777777" w:rsidR="005278DC" w:rsidRPr="005278DC" w:rsidRDefault="005278DC" w:rsidP="00FA4EED">
      <w:pPr>
        <w:pStyle w:val="ListParagraph"/>
        <w:numPr>
          <w:ilvl w:val="1"/>
          <w:numId w:val="1"/>
        </w:numPr>
      </w:pPr>
      <w:r w:rsidRPr="005278DC">
        <w:lastRenderedPageBreak/>
        <w:t>When there is no financial consideration associated, that they reflect a continuing relationship between the parties.</w:t>
      </w:r>
    </w:p>
    <w:p w14:paraId="267DD0DE" w14:textId="77777777" w:rsidR="005278DC" w:rsidRPr="005278DC" w:rsidRDefault="005278DC" w:rsidP="00FA4EED">
      <w:pPr>
        <w:pStyle w:val="ListParagraph"/>
      </w:pPr>
      <w:r w:rsidRPr="005278DC">
        <w:t xml:space="preserve">Do not include: </w:t>
      </w:r>
    </w:p>
    <w:p w14:paraId="43C2A6B2" w14:textId="77777777" w:rsidR="005278DC" w:rsidRPr="005278DC" w:rsidRDefault="005278DC" w:rsidP="00FA4EED">
      <w:pPr>
        <w:pStyle w:val="ListParagraph"/>
        <w:numPr>
          <w:ilvl w:val="1"/>
          <w:numId w:val="1"/>
        </w:numPr>
      </w:pPr>
      <w:r w:rsidRPr="005278DC">
        <w:t>LOAs to spin-off companies.</w:t>
      </w:r>
    </w:p>
    <w:p w14:paraId="1D81D089" w14:textId="77777777" w:rsidR="005278DC" w:rsidRPr="005278DC" w:rsidRDefault="005278DC" w:rsidP="00FA4EED">
      <w:pPr>
        <w:pStyle w:val="ListParagraph"/>
        <w:numPr>
          <w:ilvl w:val="1"/>
          <w:numId w:val="1"/>
        </w:numPr>
      </w:pPr>
      <w:r w:rsidRPr="005278DC">
        <w:t>Material transfer agreements and direct sales.</w:t>
      </w:r>
    </w:p>
    <w:p w14:paraId="1829D164" w14:textId="77777777" w:rsidR="005278DC" w:rsidRPr="005278DC" w:rsidRDefault="005278DC" w:rsidP="005A0AC9">
      <w:pPr>
        <w:pStyle w:val="Heading4"/>
      </w:pPr>
      <w:r w:rsidRPr="005278DC">
        <w:t>3.3.3 – Income from all LOAs during the reporting period</w:t>
      </w:r>
    </w:p>
    <w:p w14:paraId="1752B6F5" w14:textId="77777777" w:rsidR="005278DC" w:rsidRPr="005278DC" w:rsidRDefault="005278DC" w:rsidP="00FA4EED">
      <w:pPr>
        <w:pStyle w:val="ListParagraph"/>
      </w:pPr>
      <w:r w:rsidRPr="005278DC">
        <w:t>Provide the total income from all LOAs between the CRC and end-users during the reporting period.</w:t>
      </w:r>
    </w:p>
    <w:p w14:paraId="5B418F5F" w14:textId="77777777" w:rsidR="005278DC" w:rsidRPr="005278DC" w:rsidRDefault="005278DC" w:rsidP="00FA4EED">
      <w:pPr>
        <w:pStyle w:val="ListParagraph"/>
      </w:pPr>
      <w:r w:rsidRPr="005278DC">
        <w:t>Provide in Australian dollars ($AUD).</w:t>
      </w:r>
    </w:p>
    <w:p w14:paraId="7D261C74" w14:textId="77777777" w:rsidR="005278DC" w:rsidRPr="005278DC" w:rsidRDefault="005278DC" w:rsidP="005A0AC9">
      <w:pPr>
        <w:pStyle w:val="Heading3"/>
      </w:pPr>
      <w:bookmarkStart w:id="31" w:name="_Toc129010940"/>
      <w:bookmarkStart w:id="32" w:name="_Toc168390515"/>
      <w:r w:rsidRPr="005278DC">
        <w:t>3.4 Material Transfer Agreements and Direct Sales</w:t>
      </w:r>
      <w:bookmarkEnd w:id="31"/>
      <w:bookmarkEnd w:id="32"/>
    </w:p>
    <w:p w14:paraId="3A1E9264" w14:textId="77777777" w:rsidR="005278DC" w:rsidRPr="005278DC" w:rsidRDefault="005278DC" w:rsidP="005A0AC9">
      <w:pPr>
        <w:pStyle w:val="Heading4"/>
      </w:pPr>
      <w:r w:rsidRPr="005278DC">
        <w:t xml:space="preserve">3.4.1 – Number of material transfer agreements executed during the reporting </w:t>
      </w:r>
      <w:proofErr w:type="gramStart"/>
      <w:r w:rsidRPr="005278DC">
        <w:t>period</w:t>
      </w:r>
      <w:proofErr w:type="gramEnd"/>
    </w:p>
    <w:p w14:paraId="41E2D0BB" w14:textId="77777777" w:rsidR="005278DC" w:rsidRPr="005278DC" w:rsidRDefault="005278DC" w:rsidP="00FA4EED">
      <w:pPr>
        <w:pStyle w:val="ListParagraph"/>
      </w:pPr>
      <w:r w:rsidRPr="005278DC">
        <w:t>Provide the total number of material transfer agreements executed during the reporting period.</w:t>
      </w:r>
    </w:p>
    <w:p w14:paraId="356E7DEF" w14:textId="77777777" w:rsidR="005278DC" w:rsidRPr="005278DC" w:rsidRDefault="005278DC" w:rsidP="00FA4EED">
      <w:pPr>
        <w:pStyle w:val="ListParagraph"/>
      </w:pPr>
      <w:r w:rsidRPr="005278DC">
        <w:t>A Material Transfer Agreement is a written agreement outlining the terms and conditions governing the transfer of research materials from the CRC to another entity for internal purposes only.</w:t>
      </w:r>
    </w:p>
    <w:p w14:paraId="6AE21828" w14:textId="77777777" w:rsidR="005278DC" w:rsidRPr="005278DC" w:rsidRDefault="005278DC" w:rsidP="00FA4EED">
      <w:pPr>
        <w:pStyle w:val="ListParagraph"/>
      </w:pPr>
      <w:r w:rsidRPr="005278DC">
        <w:t>Do not include material transfer agreements to spin-off companies.</w:t>
      </w:r>
    </w:p>
    <w:p w14:paraId="7EC5AAAB" w14:textId="77777777" w:rsidR="005278DC" w:rsidRPr="005278DC" w:rsidRDefault="005278DC" w:rsidP="005A0AC9">
      <w:pPr>
        <w:pStyle w:val="Heading4"/>
      </w:pPr>
      <w:r w:rsidRPr="005278DC">
        <w:t xml:space="preserve">3.4.2 – Gross contract value of material transfer agreements executed during the reporting </w:t>
      </w:r>
      <w:proofErr w:type="gramStart"/>
      <w:r w:rsidRPr="005278DC">
        <w:t>period</w:t>
      </w:r>
      <w:proofErr w:type="gramEnd"/>
    </w:p>
    <w:p w14:paraId="003150F2" w14:textId="77777777" w:rsidR="005278DC" w:rsidRPr="005278DC" w:rsidRDefault="005278DC" w:rsidP="00FA4EED">
      <w:pPr>
        <w:pStyle w:val="ListParagraph"/>
      </w:pPr>
      <w:r w:rsidRPr="005278DC">
        <w:t>Provide the gross contract value of all material transfer agreements executed during the reporting period in Australian dollars ($AUD).</w:t>
      </w:r>
    </w:p>
    <w:p w14:paraId="7EFAF9E6" w14:textId="77777777" w:rsidR="005278DC" w:rsidRPr="005278DC" w:rsidRDefault="005278DC" w:rsidP="00FA4EED">
      <w:pPr>
        <w:pStyle w:val="ListParagraph"/>
      </w:pPr>
      <w:r w:rsidRPr="005278DC">
        <w:t>Gross contract value is the full contracted value, regardless of whether any or all payments were made in the reporting period.</w:t>
      </w:r>
    </w:p>
    <w:p w14:paraId="7D51F047" w14:textId="77777777" w:rsidR="005278DC" w:rsidRPr="005278DC" w:rsidRDefault="005278DC" w:rsidP="00FA4EED">
      <w:pPr>
        <w:pStyle w:val="ListParagraph"/>
      </w:pPr>
      <w:r w:rsidRPr="005278DC">
        <w:t>Only include material transfer agreements executed in the reporting period.</w:t>
      </w:r>
    </w:p>
    <w:p w14:paraId="4B7BC875" w14:textId="77777777" w:rsidR="005278DC" w:rsidRPr="005278DC" w:rsidRDefault="005278DC" w:rsidP="00FA4EED">
      <w:pPr>
        <w:pStyle w:val="ListParagraph"/>
      </w:pPr>
      <w:r w:rsidRPr="005278DC">
        <w:t>Do not include the value of material transfer agreements to spin-off companies.</w:t>
      </w:r>
    </w:p>
    <w:p w14:paraId="66C6034C" w14:textId="77777777" w:rsidR="005278DC" w:rsidRPr="005278DC" w:rsidRDefault="005278DC" w:rsidP="005A0AC9">
      <w:pPr>
        <w:pStyle w:val="Heading4"/>
      </w:pPr>
      <w:r w:rsidRPr="005278DC">
        <w:t>3.4.3 – Number of direct sales during the reporting period</w:t>
      </w:r>
    </w:p>
    <w:p w14:paraId="55796FCC" w14:textId="77777777" w:rsidR="005278DC" w:rsidRPr="005278DC" w:rsidRDefault="005278DC" w:rsidP="00FA4EED">
      <w:pPr>
        <w:pStyle w:val="ListParagraph"/>
      </w:pPr>
      <w:r w:rsidRPr="005278DC">
        <w:t>Provide the total number of direct sales during the reporting period.</w:t>
      </w:r>
    </w:p>
    <w:p w14:paraId="2EC2C23F" w14:textId="77777777" w:rsidR="005278DC" w:rsidRPr="005278DC" w:rsidRDefault="005278DC" w:rsidP="00FA4EED">
      <w:pPr>
        <w:pStyle w:val="ListParagraph"/>
      </w:pPr>
      <w:r w:rsidRPr="005278DC">
        <w:t>Direct sales are the sale of physical products generated by the CRC (as opposed to the provision of research or expertise) based on IP relating to the CRCs Activities as specified in the Grant Agreement.</w:t>
      </w:r>
    </w:p>
    <w:p w14:paraId="00A2BC43" w14:textId="77777777" w:rsidR="005278DC" w:rsidRPr="005278DC" w:rsidRDefault="005278DC" w:rsidP="00FA4EED">
      <w:pPr>
        <w:pStyle w:val="ListParagraph"/>
      </w:pPr>
      <w:r w:rsidRPr="005278DC">
        <w:t>Do not include direct sales to spin-off companies.</w:t>
      </w:r>
    </w:p>
    <w:p w14:paraId="7E1D13DA" w14:textId="77777777" w:rsidR="005278DC" w:rsidRPr="005278DC" w:rsidRDefault="005278DC" w:rsidP="005A0AC9">
      <w:pPr>
        <w:pStyle w:val="Heading4"/>
      </w:pPr>
      <w:r w:rsidRPr="005278DC">
        <w:t>3.4.4 – Gross contract value of direct sales during the reporting period</w:t>
      </w:r>
    </w:p>
    <w:p w14:paraId="3C8F9745" w14:textId="77777777" w:rsidR="005278DC" w:rsidRPr="005278DC" w:rsidRDefault="005278DC" w:rsidP="00FA4EED">
      <w:pPr>
        <w:pStyle w:val="ListParagraph"/>
      </w:pPr>
      <w:r w:rsidRPr="005278DC">
        <w:t>Provide the gross contract value of all direct sales during the reporting period in Australian dollars ($AUD).</w:t>
      </w:r>
    </w:p>
    <w:p w14:paraId="6BAB07DB" w14:textId="77777777" w:rsidR="005278DC" w:rsidRPr="005278DC" w:rsidRDefault="005278DC" w:rsidP="00FA4EED">
      <w:pPr>
        <w:pStyle w:val="ListParagraph"/>
      </w:pPr>
      <w:r w:rsidRPr="005278DC">
        <w:lastRenderedPageBreak/>
        <w:t>Gross contract value is the full contracted value, regardless of whether any or all payments were made in the reporting period.</w:t>
      </w:r>
    </w:p>
    <w:p w14:paraId="1B595BF0" w14:textId="77777777" w:rsidR="005278DC" w:rsidRPr="005278DC" w:rsidRDefault="005278DC" w:rsidP="00FA4EED">
      <w:pPr>
        <w:pStyle w:val="ListParagraph"/>
      </w:pPr>
      <w:r w:rsidRPr="005278DC">
        <w:t>Only include direct sales made in the reporting period.</w:t>
      </w:r>
    </w:p>
    <w:p w14:paraId="4E28D7EF" w14:textId="77777777" w:rsidR="005278DC" w:rsidRPr="005278DC" w:rsidRDefault="005278DC" w:rsidP="00FA4EED">
      <w:pPr>
        <w:pStyle w:val="ListParagraph"/>
      </w:pPr>
      <w:r w:rsidRPr="005278DC">
        <w:t>Do not include the value of direct sales to spin-off companies.</w:t>
      </w:r>
    </w:p>
    <w:p w14:paraId="0FF0CC2F" w14:textId="77777777" w:rsidR="005278DC" w:rsidRPr="005A0AC9" w:rsidRDefault="005278DC" w:rsidP="005A0AC9">
      <w:pPr>
        <w:pStyle w:val="Heading3"/>
      </w:pPr>
      <w:bookmarkStart w:id="33" w:name="_Toc129010941"/>
      <w:bookmarkStart w:id="34" w:name="_Toc168390516"/>
      <w:r w:rsidRPr="005A0AC9">
        <w:t>3.5 Spin-off companies</w:t>
      </w:r>
      <w:bookmarkEnd w:id="33"/>
      <w:bookmarkEnd w:id="34"/>
    </w:p>
    <w:p w14:paraId="23D5F12E" w14:textId="77777777" w:rsidR="005278DC" w:rsidRPr="005278DC" w:rsidRDefault="005278DC" w:rsidP="005278DC">
      <w:r w:rsidRPr="005278DC">
        <w:t>A spin-off company is any new firm created by the CRC with the primary aim of commercialising or exploiting new technology or Intellectual Property created by the CRC.</w:t>
      </w:r>
    </w:p>
    <w:p w14:paraId="61923DD6" w14:textId="77777777" w:rsidR="005278DC" w:rsidRPr="005278DC" w:rsidRDefault="005278DC" w:rsidP="005278DC">
      <w:pPr>
        <w:pStyle w:val="Heading4"/>
      </w:pPr>
      <w:r w:rsidRPr="005278DC">
        <w:t xml:space="preserve">3.5.1 – Number of new spin-off companies created by the CRC during the reporting </w:t>
      </w:r>
      <w:proofErr w:type="gramStart"/>
      <w:r w:rsidRPr="005278DC">
        <w:t>period</w:t>
      </w:r>
      <w:proofErr w:type="gramEnd"/>
    </w:p>
    <w:p w14:paraId="425B2990" w14:textId="77777777" w:rsidR="005278DC" w:rsidRPr="005278DC" w:rsidRDefault="005278DC" w:rsidP="00FA4EED">
      <w:pPr>
        <w:pStyle w:val="ListParagraph"/>
      </w:pPr>
      <w:r w:rsidRPr="005278DC">
        <w:t>Provide the total number of new spin-off companies created by the CRC during the reporting period, regardless of whether they are still operational as at the end of the reporting period.</w:t>
      </w:r>
    </w:p>
    <w:p w14:paraId="3E564597" w14:textId="77777777" w:rsidR="005278DC" w:rsidRPr="005278DC" w:rsidRDefault="005278DC" w:rsidP="005A0AC9">
      <w:pPr>
        <w:pStyle w:val="Heading4"/>
      </w:pPr>
      <w:r w:rsidRPr="005278DC">
        <w:t xml:space="preserve">3.5.2 – Number of spin-off companies maintained during the reporting </w:t>
      </w:r>
      <w:proofErr w:type="gramStart"/>
      <w:r w:rsidRPr="005278DC">
        <w:t>period</w:t>
      </w:r>
      <w:proofErr w:type="gramEnd"/>
    </w:p>
    <w:p w14:paraId="0EB88840" w14:textId="77777777" w:rsidR="005278DC" w:rsidRPr="005278DC" w:rsidRDefault="005278DC" w:rsidP="00FA4EED">
      <w:pPr>
        <w:pStyle w:val="ListParagraph"/>
      </w:pPr>
      <w:r w:rsidRPr="005278DC">
        <w:t>Provide the total number of spin-off companies maintained during the reporting period, including those created during the reporting period, regardless of whether they are still operational as at the end of the reporting period.</w:t>
      </w:r>
    </w:p>
    <w:p w14:paraId="584FC349" w14:textId="77777777" w:rsidR="005278DC" w:rsidRPr="005278DC" w:rsidRDefault="005278DC" w:rsidP="005A0AC9">
      <w:pPr>
        <w:pStyle w:val="Heading4"/>
      </w:pPr>
      <w:r w:rsidRPr="005278DC">
        <w:t xml:space="preserve">3.5.3 – Income during the reporting period from all spin-off companies ever created by the </w:t>
      </w:r>
      <w:proofErr w:type="gramStart"/>
      <w:r w:rsidRPr="005278DC">
        <w:t>CRC</w:t>
      </w:r>
      <w:proofErr w:type="gramEnd"/>
    </w:p>
    <w:p w14:paraId="07039EAA" w14:textId="77777777" w:rsidR="005278DC" w:rsidRPr="005278DC" w:rsidRDefault="005278DC" w:rsidP="00FA4EED">
      <w:pPr>
        <w:pStyle w:val="ListParagraph"/>
      </w:pPr>
      <w:r w:rsidRPr="005278DC">
        <w:t>Provide the total income, including from royalties, contributions, sale of equity etc., during the reporting period from all spin-off companies ever created by the CRC, regardless of whether they are still operational as at the end of the reporting period.</w:t>
      </w:r>
    </w:p>
    <w:p w14:paraId="30EA9CC0" w14:textId="77777777" w:rsidR="005278DC" w:rsidRPr="005278DC" w:rsidRDefault="005278DC" w:rsidP="00FA4EED">
      <w:pPr>
        <w:pStyle w:val="ListParagraph"/>
      </w:pPr>
      <w:r w:rsidRPr="005278DC">
        <w:t>Provide in Australian dollars ($AUD).</w:t>
      </w:r>
    </w:p>
    <w:p w14:paraId="338C460C" w14:textId="77777777" w:rsidR="005278DC" w:rsidRPr="005278DC" w:rsidRDefault="005278DC" w:rsidP="005A0AC9">
      <w:pPr>
        <w:pStyle w:val="Heading3"/>
      </w:pPr>
      <w:bookmarkStart w:id="35" w:name="_Toc129010942"/>
      <w:bookmarkStart w:id="36" w:name="_Toc168390517"/>
      <w:r w:rsidRPr="005278DC">
        <w:t>3.6 Contracts and consultancies – other activities</w:t>
      </w:r>
      <w:bookmarkEnd w:id="35"/>
      <w:bookmarkEnd w:id="36"/>
    </w:p>
    <w:p w14:paraId="2767FB19" w14:textId="77777777" w:rsidR="005278DC" w:rsidRPr="005278DC" w:rsidRDefault="005278DC" w:rsidP="005A0AC9">
      <w:pPr>
        <w:pStyle w:val="Heading4"/>
      </w:pPr>
      <w:r w:rsidRPr="005278DC">
        <w:t>3.6.1 – Number of consultancies and contracts of other activities during the reporting period</w:t>
      </w:r>
    </w:p>
    <w:p w14:paraId="5B18C586" w14:textId="77777777" w:rsidR="005278DC" w:rsidRPr="005278DC" w:rsidRDefault="005278DC" w:rsidP="00FA4EED">
      <w:pPr>
        <w:pStyle w:val="ListParagraph"/>
      </w:pPr>
      <w:r w:rsidRPr="005278DC">
        <w:t>Provide the total number of consultancies and contracts of other activities during the reporting period.</w:t>
      </w:r>
    </w:p>
    <w:p w14:paraId="605E7E8B" w14:textId="77777777" w:rsidR="005278DC" w:rsidRPr="005278DC" w:rsidRDefault="005278DC" w:rsidP="00FA4EED">
      <w:pPr>
        <w:pStyle w:val="ListParagraph"/>
      </w:pPr>
      <w:r w:rsidRPr="005278DC">
        <w:t>Consultancies and contract agreements are agreements for the conduct of research on behalf of clients and for the provision of expert advice outside the activities specified in the Grant Agreement.</w:t>
      </w:r>
    </w:p>
    <w:p w14:paraId="242984AC" w14:textId="77777777" w:rsidR="005278DC" w:rsidRPr="005278DC" w:rsidRDefault="005278DC" w:rsidP="00FA4EED">
      <w:pPr>
        <w:pStyle w:val="ListParagraph"/>
      </w:pPr>
      <w:r w:rsidRPr="005278DC">
        <w:t>Do not include financial assistance arrangements or grants awarded.</w:t>
      </w:r>
    </w:p>
    <w:p w14:paraId="67D37CB8" w14:textId="77777777" w:rsidR="005278DC" w:rsidRPr="005278DC" w:rsidRDefault="005278DC" w:rsidP="005A0AC9">
      <w:pPr>
        <w:pStyle w:val="Heading4"/>
      </w:pPr>
      <w:r w:rsidRPr="005278DC">
        <w:t>3.6.2 – Gross contracted value from consultancies and contracts of other activities during the reporting period</w:t>
      </w:r>
    </w:p>
    <w:p w14:paraId="37648E90" w14:textId="77777777" w:rsidR="005278DC" w:rsidRPr="005278DC" w:rsidRDefault="005278DC" w:rsidP="00FA4EED">
      <w:pPr>
        <w:pStyle w:val="ListParagraph"/>
      </w:pPr>
      <w:r w:rsidRPr="005278DC">
        <w:t>Provide the gross contracted value of consultancies and contracts of other activities during the reporting period.</w:t>
      </w:r>
    </w:p>
    <w:p w14:paraId="27BDFD7C" w14:textId="77777777" w:rsidR="005278DC" w:rsidRPr="005278DC" w:rsidRDefault="005278DC" w:rsidP="00FA4EED">
      <w:pPr>
        <w:pStyle w:val="ListParagraph"/>
      </w:pPr>
      <w:r w:rsidRPr="005278DC">
        <w:lastRenderedPageBreak/>
        <w:t>Provide in Australian dollars ($AUD).</w:t>
      </w:r>
    </w:p>
    <w:p w14:paraId="3EB2495A" w14:textId="77777777" w:rsidR="005278DC" w:rsidRPr="005278DC" w:rsidRDefault="005278DC" w:rsidP="00FA4EED">
      <w:pPr>
        <w:pStyle w:val="ListParagraph"/>
      </w:pPr>
      <w:r w:rsidRPr="005278DC">
        <w:t>Do not include the value of financial assistance arrangements or grants awarded.</w:t>
      </w:r>
    </w:p>
    <w:p w14:paraId="58B4CA3A" w14:textId="77777777" w:rsidR="005278DC" w:rsidRPr="005278DC" w:rsidRDefault="005278DC" w:rsidP="005A0AC9">
      <w:pPr>
        <w:pStyle w:val="Heading2"/>
      </w:pPr>
      <w:bookmarkStart w:id="37" w:name="_Toc129010943"/>
      <w:bookmarkStart w:id="38" w:name="_Toc168390518"/>
      <w:r w:rsidRPr="005278DC">
        <w:t>Section 4 - Education</w:t>
      </w:r>
      <w:bookmarkEnd w:id="37"/>
      <w:bookmarkEnd w:id="38"/>
    </w:p>
    <w:p w14:paraId="2ABEE651" w14:textId="77777777" w:rsidR="005278DC" w:rsidRPr="005278DC" w:rsidRDefault="005278DC" w:rsidP="005A0AC9">
      <w:pPr>
        <w:pStyle w:val="Heading3"/>
      </w:pPr>
      <w:bookmarkStart w:id="39" w:name="_Toc129010944"/>
      <w:bookmarkStart w:id="40" w:name="_Toc168390519"/>
      <w:r w:rsidRPr="005278DC">
        <w:t xml:space="preserve">4.1 Doctorate by Research, </w:t>
      </w:r>
      <w:proofErr w:type="gramStart"/>
      <w:r w:rsidRPr="005278DC">
        <w:t>Masters</w:t>
      </w:r>
      <w:proofErr w:type="gramEnd"/>
      <w:r w:rsidRPr="005278DC">
        <w:t xml:space="preserve"> by Research, Honours, and other postgraduate students</w:t>
      </w:r>
      <w:bookmarkEnd w:id="39"/>
      <w:bookmarkEnd w:id="40"/>
    </w:p>
    <w:p w14:paraId="789683B2" w14:textId="77777777" w:rsidR="005278DC" w:rsidRPr="005278DC" w:rsidRDefault="005278DC" w:rsidP="005278DC">
      <w:r w:rsidRPr="005278DC">
        <w:t>All data reported under section 4 must only relate to the CRCs activities as specified in the Grant Agreement.</w:t>
      </w:r>
    </w:p>
    <w:p w14:paraId="41472E70" w14:textId="77777777" w:rsidR="005278DC" w:rsidRPr="005278DC" w:rsidRDefault="005278DC" w:rsidP="005A0AC9">
      <w:pPr>
        <w:pStyle w:val="Heading4"/>
      </w:pPr>
      <w:r w:rsidRPr="005278DC">
        <w:t>4.1.1 – Equivalent full-time student load (EFTSL) of students during the reporting period</w:t>
      </w:r>
    </w:p>
    <w:p w14:paraId="62CD5261" w14:textId="77777777" w:rsidR="005278DC" w:rsidRPr="005278DC" w:rsidRDefault="005278DC" w:rsidP="00FA4EED">
      <w:pPr>
        <w:pStyle w:val="ListParagraph"/>
      </w:pPr>
      <w:r w:rsidRPr="005278DC">
        <w:t xml:space="preserve">Provide the EFTSL of students during the reporting period by: </w:t>
      </w:r>
    </w:p>
    <w:p w14:paraId="79DE4F51" w14:textId="77777777" w:rsidR="005278DC" w:rsidRPr="005278DC" w:rsidRDefault="005278DC" w:rsidP="00FA4EED">
      <w:pPr>
        <w:pStyle w:val="ListParagraph"/>
        <w:numPr>
          <w:ilvl w:val="1"/>
          <w:numId w:val="1"/>
        </w:numPr>
      </w:pPr>
      <w:r w:rsidRPr="005278DC">
        <w:t>Doctorates by Research.</w:t>
      </w:r>
    </w:p>
    <w:p w14:paraId="6095CED5" w14:textId="77777777" w:rsidR="005278DC" w:rsidRPr="005278DC" w:rsidRDefault="005278DC" w:rsidP="00FA4EED">
      <w:pPr>
        <w:pStyle w:val="ListParagraph"/>
        <w:numPr>
          <w:ilvl w:val="1"/>
          <w:numId w:val="1"/>
        </w:numPr>
      </w:pPr>
      <w:proofErr w:type="gramStart"/>
      <w:r w:rsidRPr="005278DC">
        <w:t>Masters</w:t>
      </w:r>
      <w:proofErr w:type="gramEnd"/>
      <w:r w:rsidRPr="005278DC">
        <w:t xml:space="preserve"> by Research.</w:t>
      </w:r>
    </w:p>
    <w:p w14:paraId="6E2CBDAF" w14:textId="77777777" w:rsidR="005278DC" w:rsidRPr="005278DC" w:rsidRDefault="005278DC" w:rsidP="00FA4EED">
      <w:pPr>
        <w:pStyle w:val="ListParagraph"/>
        <w:numPr>
          <w:ilvl w:val="1"/>
          <w:numId w:val="1"/>
        </w:numPr>
      </w:pPr>
      <w:r w:rsidRPr="005278DC">
        <w:t>Honours.</w:t>
      </w:r>
    </w:p>
    <w:p w14:paraId="4575C987" w14:textId="77777777" w:rsidR="005278DC" w:rsidRPr="005278DC" w:rsidRDefault="005278DC" w:rsidP="00FA4EED">
      <w:pPr>
        <w:pStyle w:val="ListParagraph"/>
        <w:numPr>
          <w:ilvl w:val="1"/>
          <w:numId w:val="1"/>
        </w:numPr>
      </w:pPr>
      <w:r w:rsidRPr="005278DC">
        <w:t>Other postgraduate qualifications.</w:t>
      </w:r>
    </w:p>
    <w:p w14:paraId="52C109B2" w14:textId="77777777" w:rsidR="005278DC" w:rsidRPr="005278DC" w:rsidRDefault="005278DC" w:rsidP="00FA4EED">
      <w:pPr>
        <w:pStyle w:val="ListParagraph"/>
        <w:numPr>
          <w:ilvl w:val="2"/>
          <w:numId w:val="1"/>
        </w:numPr>
      </w:pPr>
      <w:r w:rsidRPr="005278DC">
        <w:t>Includes Higher Degree by Coursework, Graduate Diploma and Graduate Certificate students.</w:t>
      </w:r>
    </w:p>
    <w:p w14:paraId="529DE0B5" w14:textId="77777777" w:rsidR="005278DC" w:rsidRPr="005278DC" w:rsidRDefault="005278DC" w:rsidP="00FA4EED">
      <w:pPr>
        <w:pStyle w:val="ListParagraph"/>
      </w:pPr>
      <w:r w:rsidRPr="005278DC">
        <w:t>Equivalent full-time student load (EFTSL) or full-time equivalent (FTE) is a measure of study load, for a year, of a student undertaking a course of study on a full-time basis, as used by the Higher Education Information Management System (HEIMS).</w:t>
      </w:r>
    </w:p>
    <w:p w14:paraId="0DC260F0" w14:textId="77777777" w:rsidR="005278DC" w:rsidRPr="005278DC" w:rsidRDefault="005278DC" w:rsidP="00FA4EED">
      <w:pPr>
        <w:pStyle w:val="ListParagraph"/>
      </w:pPr>
      <w:r w:rsidRPr="005278DC">
        <w:t xml:space="preserve">Include Doctorate by Research and </w:t>
      </w:r>
      <w:proofErr w:type="gramStart"/>
      <w:r w:rsidRPr="005278DC">
        <w:t>Masters</w:t>
      </w:r>
      <w:proofErr w:type="gramEnd"/>
      <w:r w:rsidRPr="005278DC">
        <w:t xml:space="preserve"> by Research students where at least two-thirds of the student load is required as research work.</w:t>
      </w:r>
    </w:p>
    <w:p w14:paraId="750DA137" w14:textId="77777777" w:rsidR="005278DC" w:rsidRPr="005278DC" w:rsidRDefault="005278DC" w:rsidP="00FA4EED">
      <w:pPr>
        <w:pStyle w:val="ListParagraph"/>
      </w:pPr>
      <w:r w:rsidRPr="005278DC">
        <w:t>Include only students who work on CRC activities as specified in the Grant Agreement, and who are regarded as part of the CRC.</w:t>
      </w:r>
    </w:p>
    <w:p w14:paraId="26EEA681" w14:textId="77777777" w:rsidR="005278DC" w:rsidRPr="005278DC" w:rsidRDefault="005278DC" w:rsidP="005A0AC9">
      <w:pPr>
        <w:pStyle w:val="Heading4"/>
      </w:pPr>
      <w:r w:rsidRPr="005278DC">
        <w:t>4.1.2 – Number (headcount) of course completions during the reporting period</w:t>
      </w:r>
    </w:p>
    <w:p w14:paraId="2C766F84" w14:textId="77777777" w:rsidR="005278DC" w:rsidRPr="005278DC" w:rsidRDefault="005278DC" w:rsidP="00FA4EED">
      <w:pPr>
        <w:pStyle w:val="ListParagraph"/>
      </w:pPr>
      <w:r w:rsidRPr="005278DC">
        <w:t xml:space="preserve">Provide the total (headcount) number of course completions during the reporting period by: </w:t>
      </w:r>
    </w:p>
    <w:p w14:paraId="56A0EDD3" w14:textId="77777777" w:rsidR="005278DC" w:rsidRPr="005278DC" w:rsidRDefault="005278DC" w:rsidP="00FA4EED">
      <w:pPr>
        <w:pStyle w:val="ListParagraph"/>
        <w:numPr>
          <w:ilvl w:val="1"/>
          <w:numId w:val="1"/>
        </w:numPr>
      </w:pPr>
      <w:r w:rsidRPr="005278DC">
        <w:t>Doctorates by Research.</w:t>
      </w:r>
    </w:p>
    <w:p w14:paraId="76D08D71" w14:textId="77777777" w:rsidR="005278DC" w:rsidRPr="005278DC" w:rsidRDefault="005278DC" w:rsidP="00FA4EED">
      <w:pPr>
        <w:pStyle w:val="ListParagraph"/>
        <w:numPr>
          <w:ilvl w:val="1"/>
          <w:numId w:val="1"/>
        </w:numPr>
      </w:pPr>
      <w:proofErr w:type="gramStart"/>
      <w:r w:rsidRPr="005278DC">
        <w:t>Masters</w:t>
      </w:r>
      <w:proofErr w:type="gramEnd"/>
      <w:r w:rsidRPr="005278DC">
        <w:t xml:space="preserve"> by Research.</w:t>
      </w:r>
    </w:p>
    <w:p w14:paraId="39CF276E" w14:textId="77777777" w:rsidR="005278DC" w:rsidRPr="005278DC" w:rsidRDefault="005278DC" w:rsidP="00FA4EED">
      <w:pPr>
        <w:pStyle w:val="ListParagraph"/>
        <w:numPr>
          <w:ilvl w:val="1"/>
          <w:numId w:val="1"/>
        </w:numPr>
      </w:pPr>
      <w:r w:rsidRPr="005278DC">
        <w:t>Honours.</w:t>
      </w:r>
    </w:p>
    <w:p w14:paraId="5B2878B5" w14:textId="77777777" w:rsidR="005278DC" w:rsidRPr="005278DC" w:rsidRDefault="005278DC" w:rsidP="00FA4EED">
      <w:pPr>
        <w:pStyle w:val="ListParagraph"/>
        <w:numPr>
          <w:ilvl w:val="1"/>
          <w:numId w:val="1"/>
        </w:numPr>
      </w:pPr>
      <w:r w:rsidRPr="005278DC">
        <w:t>Other postgraduate qualifications.</w:t>
      </w:r>
    </w:p>
    <w:p w14:paraId="3AAB981D" w14:textId="77777777" w:rsidR="005278DC" w:rsidRPr="005278DC" w:rsidRDefault="005278DC" w:rsidP="00FA4EED">
      <w:pPr>
        <w:pStyle w:val="ListParagraph"/>
        <w:numPr>
          <w:ilvl w:val="2"/>
          <w:numId w:val="1"/>
        </w:numPr>
      </w:pPr>
      <w:r w:rsidRPr="005278DC">
        <w:t>Includes Higher Degree by Coursework, Graduate Diploma and Graduate Certificate students.</w:t>
      </w:r>
    </w:p>
    <w:p w14:paraId="63F75AA3" w14:textId="77777777" w:rsidR="005278DC" w:rsidRPr="005278DC" w:rsidRDefault="005278DC" w:rsidP="00FA4EED">
      <w:pPr>
        <w:pStyle w:val="ListParagraph"/>
      </w:pPr>
      <w:r w:rsidRPr="005278DC">
        <w:t>Course completions are the successful completion of all academic requirements of a course, which includes any required:</w:t>
      </w:r>
    </w:p>
    <w:p w14:paraId="235D11B5" w14:textId="77777777" w:rsidR="005278DC" w:rsidRPr="005278DC" w:rsidRDefault="005278DC" w:rsidP="00FA4EED">
      <w:pPr>
        <w:pStyle w:val="ListParagraph"/>
        <w:numPr>
          <w:ilvl w:val="1"/>
          <w:numId w:val="1"/>
        </w:numPr>
      </w:pPr>
      <w:r w:rsidRPr="005278DC">
        <w:t>Attendance.</w:t>
      </w:r>
    </w:p>
    <w:p w14:paraId="447D1536" w14:textId="77777777" w:rsidR="005278DC" w:rsidRPr="005278DC" w:rsidRDefault="005278DC" w:rsidP="00FA4EED">
      <w:pPr>
        <w:pStyle w:val="ListParagraph"/>
        <w:numPr>
          <w:ilvl w:val="1"/>
          <w:numId w:val="1"/>
        </w:numPr>
      </w:pPr>
      <w:r w:rsidRPr="005278DC">
        <w:lastRenderedPageBreak/>
        <w:t>Assignments.</w:t>
      </w:r>
    </w:p>
    <w:p w14:paraId="0DA384E6" w14:textId="77777777" w:rsidR="005278DC" w:rsidRPr="005278DC" w:rsidRDefault="005278DC" w:rsidP="00FA4EED">
      <w:pPr>
        <w:pStyle w:val="ListParagraph"/>
        <w:numPr>
          <w:ilvl w:val="1"/>
          <w:numId w:val="1"/>
        </w:numPr>
      </w:pPr>
      <w:r w:rsidRPr="005278DC">
        <w:t>Examinations.</w:t>
      </w:r>
    </w:p>
    <w:p w14:paraId="552E1B95" w14:textId="77777777" w:rsidR="005278DC" w:rsidRPr="005278DC" w:rsidRDefault="005278DC" w:rsidP="00FA4EED">
      <w:pPr>
        <w:pStyle w:val="ListParagraph"/>
        <w:numPr>
          <w:ilvl w:val="1"/>
          <w:numId w:val="1"/>
        </w:numPr>
      </w:pPr>
      <w:r w:rsidRPr="005278DC">
        <w:t>Assessments.</w:t>
      </w:r>
    </w:p>
    <w:p w14:paraId="64E50D86" w14:textId="77777777" w:rsidR="005278DC" w:rsidRPr="005278DC" w:rsidRDefault="005278DC" w:rsidP="00FA4EED">
      <w:pPr>
        <w:pStyle w:val="ListParagraph"/>
        <w:numPr>
          <w:ilvl w:val="1"/>
          <w:numId w:val="1"/>
        </w:numPr>
      </w:pPr>
      <w:r w:rsidRPr="005278DC">
        <w:t>Dissertations.</w:t>
      </w:r>
    </w:p>
    <w:p w14:paraId="4244CB2F" w14:textId="77777777" w:rsidR="005278DC" w:rsidRPr="005278DC" w:rsidRDefault="005278DC" w:rsidP="00FA4EED">
      <w:pPr>
        <w:pStyle w:val="ListParagraph"/>
        <w:numPr>
          <w:ilvl w:val="1"/>
          <w:numId w:val="1"/>
        </w:numPr>
      </w:pPr>
      <w:r w:rsidRPr="005278DC">
        <w:t>Practical experience.</w:t>
      </w:r>
    </w:p>
    <w:p w14:paraId="6433AD6D" w14:textId="77777777" w:rsidR="005278DC" w:rsidRPr="005278DC" w:rsidRDefault="005278DC" w:rsidP="00FA4EED">
      <w:pPr>
        <w:pStyle w:val="ListParagraph"/>
        <w:numPr>
          <w:ilvl w:val="1"/>
          <w:numId w:val="1"/>
        </w:numPr>
      </w:pPr>
      <w:r w:rsidRPr="005278DC">
        <w:t>Work experience in industry.</w:t>
      </w:r>
    </w:p>
    <w:p w14:paraId="2D912942" w14:textId="77777777" w:rsidR="005278DC" w:rsidRPr="005278DC" w:rsidRDefault="005278DC" w:rsidP="00FA4EED">
      <w:pPr>
        <w:pStyle w:val="ListParagraph"/>
      </w:pPr>
      <w:r w:rsidRPr="005278DC">
        <w:t xml:space="preserve">Include Doctorate by Research and </w:t>
      </w:r>
      <w:proofErr w:type="gramStart"/>
      <w:r w:rsidRPr="005278DC">
        <w:t>Masters</w:t>
      </w:r>
      <w:proofErr w:type="gramEnd"/>
      <w:r w:rsidRPr="005278DC">
        <w:t xml:space="preserve"> by Research students where at least two-thirds of the student load is required as research work.</w:t>
      </w:r>
    </w:p>
    <w:p w14:paraId="34E889B7" w14:textId="77777777" w:rsidR="005278DC" w:rsidRPr="005278DC" w:rsidRDefault="005278DC" w:rsidP="00FA4EED">
      <w:pPr>
        <w:pStyle w:val="ListParagraph"/>
      </w:pPr>
      <w:r w:rsidRPr="005278DC">
        <w:t>Include only students who worked on CRC activities as specified in the Grant Agreement, and who were regarded as part of the CRC.</w:t>
      </w:r>
    </w:p>
    <w:p w14:paraId="57F808EC" w14:textId="77777777" w:rsidR="005278DC" w:rsidRPr="005278DC" w:rsidRDefault="005278DC" w:rsidP="005A0AC9">
      <w:pPr>
        <w:pStyle w:val="Heading3"/>
      </w:pPr>
      <w:bookmarkStart w:id="41" w:name="_Toc129010945"/>
      <w:bookmarkStart w:id="42" w:name="_Toc168390520"/>
      <w:r w:rsidRPr="005278DC">
        <w:t xml:space="preserve">4.2 Graduate employment destination after </w:t>
      </w:r>
      <w:proofErr w:type="gramStart"/>
      <w:r w:rsidRPr="005278DC">
        <w:t>completing</w:t>
      </w:r>
      <w:bookmarkEnd w:id="41"/>
      <w:bookmarkEnd w:id="42"/>
      <w:proofErr w:type="gramEnd"/>
    </w:p>
    <w:p w14:paraId="617B1E99" w14:textId="77777777" w:rsidR="005278DC" w:rsidRPr="005278DC" w:rsidRDefault="005278DC" w:rsidP="005A0AC9">
      <w:pPr>
        <w:pStyle w:val="Heading4"/>
      </w:pPr>
      <w:r w:rsidRPr="005278DC">
        <w:t xml:space="preserve">4.2.1 – Number of students taking up employment with industry during the reporting </w:t>
      </w:r>
      <w:proofErr w:type="gramStart"/>
      <w:r w:rsidRPr="005278DC">
        <w:t>period</w:t>
      </w:r>
      <w:proofErr w:type="gramEnd"/>
      <w:r w:rsidRPr="005278DC">
        <w:t xml:space="preserve"> </w:t>
      </w:r>
    </w:p>
    <w:p w14:paraId="4B51BDC1" w14:textId="77777777" w:rsidR="005278DC" w:rsidRPr="005278DC" w:rsidRDefault="005278DC" w:rsidP="00FA4EED">
      <w:pPr>
        <w:pStyle w:val="ListParagraph"/>
      </w:pPr>
      <w:r w:rsidRPr="005278DC">
        <w:t xml:space="preserve">Provide the total number of students taking up employment with industry during the reporting period </w:t>
      </w:r>
      <w:proofErr w:type="gramStart"/>
      <w:r w:rsidRPr="00FA4EED">
        <w:rPr>
          <w:b/>
          <w:bCs/>
          <w:u w:val="single"/>
        </w:rPr>
        <w:t>as a result of</w:t>
      </w:r>
      <w:proofErr w:type="gramEnd"/>
      <w:r w:rsidRPr="00FA4EED">
        <w:rPr>
          <w:b/>
          <w:bCs/>
          <w:u w:val="single"/>
        </w:rPr>
        <w:t xml:space="preserve"> their involvement with the CRC</w:t>
      </w:r>
      <w:r w:rsidRPr="005278DC">
        <w:t xml:space="preserve">. </w:t>
      </w:r>
    </w:p>
    <w:p w14:paraId="19E97DB7" w14:textId="77777777" w:rsidR="005278DC" w:rsidRPr="005278DC" w:rsidRDefault="005278DC" w:rsidP="00FA4EED">
      <w:pPr>
        <w:pStyle w:val="ListParagraph"/>
      </w:pPr>
      <w:r w:rsidRPr="005278DC">
        <w:t xml:space="preserve">Provide these by: </w:t>
      </w:r>
    </w:p>
    <w:p w14:paraId="2D889ED6" w14:textId="77777777" w:rsidR="005278DC" w:rsidRPr="005278DC" w:rsidRDefault="005278DC" w:rsidP="00FA4EED">
      <w:pPr>
        <w:pStyle w:val="ListParagraph"/>
        <w:numPr>
          <w:ilvl w:val="1"/>
          <w:numId w:val="1"/>
        </w:numPr>
      </w:pPr>
      <w:r w:rsidRPr="005278DC">
        <w:t>Doctorates by Research.</w:t>
      </w:r>
    </w:p>
    <w:p w14:paraId="6D424AE9" w14:textId="77777777" w:rsidR="005278DC" w:rsidRPr="005278DC" w:rsidRDefault="005278DC" w:rsidP="00FA4EED">
      <w:pPr>
        <w:pStyle w:val="ListParagraph"/>
        <w:numPr>
          <w:ilvl w:val="1"/>
          <w:numId w:val="1"/>
        </w:numPr>
      </w:pPr>
      <w:proofErr w:type="gramStart"/>
      <w:r w:rsidRPr="005278DC">
        <w:t>Masters</w:t>
      </w:r>
      <w:proofErr w:type="gramEnd"/>
      <w:r w:rsidRPr="005278DC">
        <w:t xml:space="preserve"> by Research.</w:t>
      </w:r>
    </w:p>
    <w:p w14:paraId="2340BE50" w14:textId="77777777" w:rsidR="005278DC" w:rsidRPr="005278DC" w:rsidRDefault="005278DC" w:rsidP="00FA4EED">
      <w:pPr>
        <w:pStyle w:val="ListParagraph"/>
        <w:numPr>
          <w:ilvl w:val="1"/>
          <w:numId w:val="1"/>
        </w:numPr>
      </w:pPr>
      <w:r w:rsidRPr="005278DC">
        <w:t>Honours.</w:t>
      </w:r>
    </w:p>
    <w:p w14:paraId="05D1CBAC" w14:textId="77777777" w:rsidR="005278DC" w:rsidRPr="005278DC" w:rsidRDefault="005278DC" w:rsidP="00FA4EED">
      <w:pPr>
        <w:pStyle w:val="ListParagraph"/>
        <w:numPr>
          <w:ilvl w:val="1"/>
          <w:numId w:val="1"/>
        </w:numPr>
      </w:pPr>
      <w:r w:rsidRPr="005278DC">
        <w:t>Other postgraduate qualifications.</w:t>
      </w:r>
    </w:p>
    <w:p w14:paraId="5C7F3955" w14:textId="77777777" w:rsidR="005278DC" w:rsidRPr="005278DC" w:rsidRDefault="005278DC" w:rsidP="00FA4EED">
      <w:pPr>
        <w:pStyle w:val="ListParagraph"/>
        <w:numPr>
          <w:ilvl w:val="2"/>
          <w:numId w:val="1"/>
        </w:numPr>
      </w:pPr>
      <w:r w:rsidRPr="005278DC">
        <w:t>Includes Higher Degree by Coursework, Graduate Diploma and Graduate Certificate students.</w:t>
      </w:r>
    </w:p>
    <w:p w14:paraId="17C76665" w14:textId="77777777" w:rsidR="005278DC" w:rsidRPr="005278DC" w:rsidRDefault="005278DC" w:rsidP="00FA4EED">
      <w:pPr>
        <w:pStyle w:val="ListParagraph"/>
      </w:pPr>
      <w:r w:rsidRPr="005278DC">
        <w:t>Include only students who worked on CRC activities as specified in the Grant Agreement, and who were regarded as part of the CRC.</w:t>
      </w:r>
    </w:p>
    <w:p w14:paraId="57AFF579" w14:textId="77777777" w:rsidR="005278DC" w:rsidRPr="005278DC" w:rsidRDefault="005278DC" w:rsidP="00FA4EED">
      <w:pPr>
        <w:pStyle w:val="ListParagraph"/>
      </w:pPr>
      <w:r w:rsidRPr="005278DC">
        <w:t>Do not include students who did not complete their formal postgraduate qualification.</w:t>
      </w:r>
    </w:p>
    <w:p w14:paraId="1469196C" w14:textId="77777777" w:rsidR="005278DC" w:rsidRPr="005278DC" w:rsidRDefault="005278DC" w:rsidP="005A0AC9">
      <w:pPr>
        <w:pStyle w:val="Heading3"/>
      </w:pPr>
      <w:bookmarkStart w:id="43" w:name="_Toc129010946"/>
      <w:bookmarkStart w:id="44" w:name="_Toc168390521"/>
      <w:r w:rsidRPr="005278DC">
        <w:t>4.3 Other education activities</w:t>
      </w:r>
      <w:bookmarkEnd w:id="43"/>
      <w:bookmarkEnd w:id="44"/>
    </w:p>
    <w:p w14:paraId="1F00FE62" w14:textId="77777777" w:rsidR="005278DC" w:rsidRPr="005278DC" w:rsidRDefault="005278DC" w:rsidP="005A0AC9">
      <w:pPr>
        <w:pStyle w:val="Heading4"/>
      </w:pPr>
      <w:r w:rsidRPr="005278DC">
        <w:t xml:space="preserve">4.3.1 – Number (headcount) of students taking part in undergraduate education courses during the reporting </w:t>
      </w:r>
      <w:proofErr w:type="gramStart"/>
      <w:r w:rsidRPr="005278DC">
        <w:t>period</w:t>
      </w:r>
      <w:proofErr w:type="gramEnd"/>
    </w:p>
    <w:p w14:paraId="042BA748" w14:textId="77777777" w:rsidR="005278DC" w:rsidRPr="005278DC" w:rsidRDefault="005278DC" w:rsidP="00FA4EED">
      <w:pPr>
        <w:pStyle w:val="ListParagraph"/>
      </w:pPr>
      <w:r w:rsidRPr="005278DC">
        <w:t>Provide the total number (headcount) of students taking part in undergraduate education courses during the reporting period.</w:t>
      </w:r>
    </w:p>
    <w:p w14:paraId="19BD390B" w14:textId="77777777" w:rsidR="005278DC" w:rsidRPr="005278DC" w:rsidRDefault="005278DC" w:rsidP="00FA4EED">
      <w:pPr>
        <w:pStyle w:val="ListParagraph"/>
      </w:pPr>
      <w:r w:rsidRPr="005278DC">
        <w:t>Include only undergraduates in courses, lecture series or similar that involve the formal education of undergraduates and have either been developed or conducted by the CRC.</w:t>
      </w:r>
    </w:p>
    <w:p w14:paraId="0B422434" w14:textId="77777777" w:rsidR="005278DC" w:rsidRPr="005278DC" w:rsidRDefault="005278DC" w:rsidP="00FA4EED">
      <w:pPr>
        <w:pStyle w:val="ListParagraph"/>
      </w:pPr>
      <w:r w:rsidRPr="005278DC">
        <w:t>The students must earn credit towards their degree, or otherwise gain formal recognition from the university (e.g., tenure of a vacation studentship or completion of a research experience term), from their participation in the course.</w:t>
      </w:r>
    </w:p>
    <w:p w14:paraId="0373A421" w14:textId="77777777" w:rsidR="005278DC" w:rsidRPr="005278DC" w:rsidRDefault="005278DC" w:rsidP="00FA4EED">
      <w:pPr>
        <w:pStyle w:val="ListParagraph"/>
      </w:pPr>
      <w:r w:rsidRPr="005278DC">
        <w:lastRenderedPageBreak/>
        <w:t>Exclude students attending casual seminars that are not part of a formal course and ‘open days’ or similar which publicise the CRC itself.</w:t>
      </w:r>
    </w:p>
    <w:p w14:paraId="066C332D" w14:textId="77777777" w:rsidR="005278DC" w:rsidRPr="005278DC" w:rsidRDefault="005278DC" w:rsidP="005A0AC9">
      <w:pPr>
        <w:pStyle w:val="Heading4"/>
      </w:pPr>
      <w:r w:rsidRPr="005278DC">
        <w:t xml:space="preserve">4.3.2 – Number (headcount) of students engaged in formal education activities during the reporting </w:t>
      </w:r>
      <w:proofErr w:type="gramStart"/>
      <w:r w:rsidRPr="005278DC">
        <w:t>period</w:t>
      </w:r>
      <w:proofErr w:type="gramEnd"/>
    </w:p>
    <w:p w14:paraId="7FF3E6C3" w14:textId="77777777" w:rsidR="005278DC" w:rsidRPr="005278DC" w:rsidRDefault="005278DC" w:rsidP="00FA4EED">
      <w:pPr>
        <w:pStyle w:val="ListParagraph"/>
      </w:pPr>
      <w:r w:rsidRPr="005278DC">
        <w:t>Provide the total number (headcount) of students engaged in formal education activities including TAFE, VET or similar during the reporting period.</w:t>
      </w:r>
    </w:p>
    <w:p w14:paraId="4AE8C77E" w14:textId="77777777" w:rsidR="005278DC" w:rsidRPr="005278DC" w:rsidRDefault="005278DC" w:rsidP="00FA4EED">
      <w:pPr>
        <w:pStyle w:val="ListParagraph"/>
      </w:pPr>
      <w:r w:rsidRPr="005278DC">
        <w:t>Include only VET, TAFE courses, lecture series or similar that have either been developed or conducted by the CRC.</w:t>
      </w:r>
    </w:p>
    <w:p w14:paraId="5F3A01F7" w14:textId="77777777" w:rsidR="005278DC" w:rsidRPr="005278DC" w:rsidRDefault="005278DC" w:rsidP="00FA4EED">
      <w:pPr>
        <w:pStyle w:val="ListParagraph"/>
      </w:pPr>
      <w:r w:rsidRPr="005278DC">
        <w:t>The students must earn credit towards their course, or otherwise gain formal recognition from the VET institution (e.g., achievement of competency units) from their participation in the course.</w:t>
      </w:r>
    </w:p>
    <w:p w14:paraId="4F6A4EB9" w14:textId="77777777" w:rsidR="005278DC" w:rsidRPr="005278DC" w:rsidRDefault="005278DC" w:rsidP="00FA4EED">
      <w:pPr>
        <w:pStyle w:val="ListParagraph"/>
      </w:pPr>
      <w:r w:rsidRPr="005278DC">
        <w:t>Exclude students attending casual seminars that are not part of a formal course and ‘open days’ or similar which publicise the CRC itself.</w:t>
      </w:r>
    </w:p>
    <w:p w14:paraId="3C5B01EC" w14:textId="77777777" w:rsidR="005278DC" w:rsidRPr="005278DC" w:rsidRDefault="005278DC" w:rsidP="005A0AC9">
      <w:pPr>
        <w:pStyle w:val="Heading4"/>
      </w:pPr>
      <w:r w:rsidRPr="005278DC">
        <w:t xml:space="preserve">4.3.3 – Number of people from an end-user (headcount) taking part in structured professional training during the reporting </w:t>
      </w:r>
      <w:proofErr w:type="gramStart"/>
      <w:r w:rsidRPr="005278DC">
        <w:t>period</w:t>
      </w:r>
      <w:proofErr w:type="gramEnd"/>
    </w:p>
    <w:p w14:paraId="0A659819" w14:textId="77777777" w:rsidR="005278DC" w:rsidRPr="005278DC" w:rsidRDefault="005278DC" w:rsidP="00FA4EED">
      <w:pPr>
        <w:pStyle w:val="ListParagraph"/>
      </w:pPr>
      <w:r w:rsidRPr="005278DC">
        <w:t>Provide the total number of people from an end-user (headcount) taking part in structured professional training courses, regular seminar series, conferences or similar arising from the CRCs work and conducted with the aim of transferring know-how or practical information during the reporting period.</w:t>
      </w:r>
    </w:p>
    <w:p w14:paraId="7688B6FE" w14:textId="77777777" w:rsidR="005278DC" w:rsidRPr="005278DC" w:rsidRDefault="005278DC" w:rsidP="00FA4EED">
      <w:pPr>
        <w:pStyle w:val="ListParagraph"/>
      </w:pPr>
      <w:r w:rsidRPr="005278DC">
        <w:t>Do not include end-users attending casual seminars that are not part of a structured series, ‘open days’ or similar which publicise the CRC itself.</w:t>
      </w:r>
    </w:p>
    <w:p w14:paraId="75E12C26" w14:textId="77777777" w:rsidR="005278DC" w:rsidRPr="005A0AC9" w:rsidRDefault="005278DC" w:rsidP="005A0AC9">
      <w:pPr>
        <w:pStyle w:val="Heading4"/>
      </w:pPr>
      <w:r w:rsidRPr="005A0AC9">
        <w:t xml:space="preserve">4.3.4 – Number of people from an end-user (headcount) taking part in conferences, symposia, seminar series or workshops hosted by the CRC during the reporting </w:t>
      </w:r>
      <w:proofErr w:type="gramStart"/>
      <w:r w:rsidRPr="005A0AC9">
        <w:t>period</w:t>
      </w:r>
      <w:proofErr w:type="gramEnd"/>
    </w:p>
    <w:p w14:paraId="5A67B400" w14:textId="77777777" w:rsidR="005278DC" w:rsidRPr="005278DC" w:rsidRDefault="005278DC" w:rsidP="00FA4EED">
      <w:pPr>
        <w:pStyle w:val="ListParagraph"/>
      </w:pPr>
      <w:r w:rsidRPr="005278DC">
        <w:t>Provide the total number of people from an end-user (headcount) taking part in conferences, symposia, seminar series or workshops hosted by the CRC and with the aim of transferring know-how or practical information during the reporting period.</w:t>
      </w:r>
    </w:p>
    <w:p w14:paraId="57714A20" w14:textId="77777777" w:rsidR="005278DC" w:rsidRPr="005278DC" w:rsidRDefault="005278DC" w:rsidP="00FA4EED">
      <w:pPr>
        <w:pStyle w:val="ListParagraph"/>
      </w:pPr>
      <w:r w:rsidRPr="005278DC">
        <w:t>Do not include:</w:t>
      </w:r>
    </w:p>
    <w:p w14:paraId="30359D92" w14:textId="77777777" w:rsidR="005278DC" w:rsidRPr="005278DC" w:rsidRDefault="005278DC" w:rsidP="00FA4EED">
      <w:pPr>
        <w:pStyle w:val="ListParagraph"/>
        <w:numPr>
          <w:ilvl w:val="1"/>
          <w:numId w:val="1"/>
        </w:numPr>
      </w:pPr>
      <w:r w:rsidRPr="005278DC">
        <w:t>End-users attending conferences and activities not hosted by the CRC or its partners.</w:t>
      </w:r>
    </w:p>
    <w:p w14:paraId="13EAABC1" w14:textId="77777777" w:rsidR="005278DC" w:rsidRPr="005278DC" w:rsidRDefault="005278DC" w:rsidP="00FA4EED">
      <w:pPr>
        <w:pStyle w:val="ListParagraph"/>
        <w:numPr>
          <w:ilvl w:val="1"/>
          <w:numId w:val="1"/>
        </w:numPr>
      </w:pPr>
      <w:r w:rsidRPr="005278DC">
        <w:t>End-users attending activities with a duration of less than one day.</w:t>
      </w:r>
    </w:p>
    <w:p w14:paraId="2CCBCA0E" w14:textId="77777777" w:rsidR="005278DC" w:rsidRPr="005278DC" w:rsidRDefault="005278DC" w:rsidP="005A0AC9">
      <w:pPr>
        <w:pStyle w:val="Heading2"/>
      </w:pPr>
      <w:bookmarkStart w:id="45" w:name="_Toc129010947"/>
      <w:bookmarkStart w:id="46" w:name="_Toc168390522"/>
      <w:r w:rsidRPr="005278DC">
        <w:t>Section 5 – Collaboration</w:t>
      </w:r>
      <w:bookmarkEnd w:id="45"/>
      <w:bookmarkEnd w:id="46"/>
    </w:p>
    <w:p w14:paraId="211344BE" w14:textId="77777777" w:rsidR="005278DC" w:rsidRPr="005278DC" w:rsidRDefault="005278DC" w:rsidP="005A0AC9">
      <w:pPr>
        <w:pStyle w:val="Heading3"/>
      </w:pPr>
      <w:bookmarkStart w:id="47" w:name="_Toc129010948"/>
      <w:bookmarkStart w:id="48" w:name="_Toc168390523"/>
      <w:r w:rsidRPr="005278DC">
        <w:t>5.1 Domestic Collaboration</w:t>
      </w:r>
      <w:bookmarkEnd w:id="47"/>
      <w:bookmarkEnd w:id="48"/>
    </w:p>
    <w:p w14:paraId="7B40F5B3" w14:textId="77777777" w:rsidR="005278DC" w:rsidRPr="005278DC" w:rsidRDefault="005278DC" w:rsidP="00FA4EED">
      <w:pPr>
        <w:pStyle w:val="ListParagraph"/>
      </w:pPr>
      <w:r w:rsidRPr="005278DC">
        <w:t>Provide the following information for all domestic organisations the CRC collaborated with during the reporting period:</w:t>
      </w:r>
    </w:p>
    <w:p w14:paraId="061EDB94" w14:textId="77777777" w:rsidR="005278DC" w:rsidRPr="005278DC" w:rsidRDefault="005278DC" w:rsidP="00FA4EED">
      <w:pPr>
        <w:pStyle w:val="ListParagraph"/>
        <w:numPr>
          <w:ilvl w:val="1"/>
          <w:numId w:val="1"/>
        </w:numPr>
      </w:pPr>
      <w:r w:rsidRPr="005278DC">
        <w:t>Organisation legal entity name (as per the ABR).</w:t>
      </w:r>
    </w:p>
    <w:p w14:paraId="68DA6081" w14:textId="77777777" w:rsidR="005278DC" w:rsidRPr="005278DC" w:rsidRDefault="005278DC" w:rsidP="00FA4EED">
      <w:pPr>
        <w:pStyle w:val="ListParagraph"/>
        <w:numPr>
          <w:ilvl w:val="1"/>
          <w:numId w:val="1"/>
        </w:numPr>
      </w:pPr>
      <w:r w:rsidRPr="005278DC">
        <w:t>ABN.</w:t>
      </w:r>
    </w:p>
    <w:p w14:paraId="1CB5275B" w14:textId="77777777" w:rsidR="005278DC" w:rsidRPr="005278DC" w:rsidRDefault="005278DC" w:rsidP="00FA4EED">
      <w:pPr>
        <w:pStyle w:val="ListParagraph"/>
        <w:numPr>
          <w:ilvl w:val="1"/>
          <w:numId w:val="1"/>
        </w:numPr>
      </w:pPr>
      <w:r w:rsidRPr="005278DC">
        <w:lastRenderedPageBreak/>
        <w:t>State (headquarters).</w:t>
      </w:r>
    </w:p>
    <w:p w14:paraId="6CB39683" w14:textId="77777777" w:rsidR="005278DC" w:rsidRPr="005278DC" w:rsidRDefault="005278DC" w:rsidP="00FA4EED">
      <w:pPr>
        <w:pStyle w:val="ListParagraph"/>
        <w:numPr>
          <w:ilvl w:val="1"/>
          <w:numId w:val="1"/>
        </w:numPr>
      </w:pPr>
      <w:r w:rsidRPr="005278DC">
        <w:t>Collaborator type (choose from drop down).</w:t>
      </w:r>
    </w:p>
    <w:p w14:paraId="40A2123B" w14:textId="77777777" w:rsidR="005278DC" w:rsidRPr="005278DC" w:rsidRDefault="005278DC" w:rsidP="00FA4EED">
      <w:pPr>
        <w:pStyle w:val="ListParagraph"/>
        <w:numPr>
          <w:ilvl w:val="1"/>
          <w:numId w:val="1"/>
        </w:numPr>
      </w:pPr>
      <w:r w:rsidRPr="005278DC">
        <w:t>Sector (choose from drop down).</w:t>
      </w:r>
    </w:p>
    <w:p w14:paraId="24A237FA" w14:textId="77777777" w:rsidR="005278DC" w:rsidRPr="005278DC" w:rsidRDefault="005278DC" w:rsidP="00FA4EED">
      <w:pPr>
        <w:pStyle w:val="ListParagraph"/>
        <w:numPr>
          <w:ilvl w:val="1"/>
          <w:numId w:val="1"/>
        </w:numPr>
      </w:pPr>
      <w:r w:rsidRPr="005278DC">
        <w:t>Size (choose from drop down).</w:t>
      </w:r>
    </w:p>
    <w:p w14:paraId="7E4A43CA" w14:textId="77777777" w:rsidR="005278DC" w:rsidRPr="005278DC" w:rsidRDefault="005278DC" w:rsidP="00FA4EED">
      <w:pPr>
        <w:pStyle w:val="ListParagraph"/>
        <w:numPr>
          <w:ilvl w:val="2"/>
          <w:numId w:val="1"/>
        </w:numPr>
      </w:pPr>
      <w:r w:rsidRPr="005278DC">
        <w:t>Large – 200+ employees.</w:t>
      </w:r>
    </w:p>
    <w:p w14:paraId="021791A6" w14:textId="77777777" w:rsidR="005278DC" w:rsidRPr="005278DC" w:rsidRDefault="005278DC" w:rsidP="00FA4EED">
      <w:pPr>
        <w:pStyle w:val="ListParagraph"/>
        <w:numPr>
          <w:ilvl w:val="2"/>
          <w:numId w:val="1"/>
        </w:numPr>
      </w:pPr>
      <w:r w:rsidRPr="005278DC">
        <w:t>Medium – 20-199 employees.</w:t>
      </w:r>
    </w:p>
    <w:p w14:paraId="5D3B4B1E" w14:textId="77777777" w:rsidR="005278DC" w:rsidRPr="005278DC" w:rsidRDefault="005278DC" w:rsidP="00FA4EED">
      <w:pPr>
        <w:pStyle w:val="ListParagraph"/>
        <w:numPr>
          <w:ilvl w:val="2"/>
          <w:numId w:val="1"/>
        </w:numPr>
      </w:pPr>
      <w:r w:rsidRPr="005278DC">
        <w:t>Small – 0-19 employees.</w:t>
      </w:r>
    </w:p>
    <w:p w14:paraId="46BDB87C" w14:textId="77777777" w:rsidR="005278DC" w:rsidRPr="005278DC" w:rsidRDefault="005278DC" w:rsidP="00FA4EED">
      <w:pPr>
        <w:pStyle w:val="ListParagraph"/>
        <w:numPr>
          <w:ilvl w:val="1"/>
          <w:numId w:val="1"/>
        </w:numPr>
      </w:pPr>
      <w:r w:rsidRPr="005278DC">
        <w:t>Indigenous owned (y/n).</w:t>
      </w:r>
    </w:p>
    <w:p w14:paraId="775B3DD1" w14:textId="77777777" w:rsidR="005278DC" w:rsidRPr="005278DC" w:rsidRDefault="005278DC" w:rsidP="00FA4EED">
      <w:pPr>
        <w:pStyle w:val="ListParagraph"/>
        <w:numPr>
          <w:ilvl w:val="2"/>
          <w:numId w:val="1"/>
        </w:numPr>
      </w:pPr>
      <w:r w:rsidRPr="005278DC">
        <w:t>At least 51% of the organisation’s members or proprietors are Aboriginal or Torres Strait Islander people as defined by the Corporations (Aboriginal and Torres Strait Islander) Act 2006 (CATSI Act).</w:t>
      </w:r>
    </w:p>
    <w:p w14:paraId="22E9BF69" w14:textId="77777777" w:rsidR="005278DC" w:rsidRPr="005278DC" w:rsidRDefault="005278DC" w:rsidP="00FA4EED">
      <w:pPr>
        <w:pStyle w:val="ListParagraph"/>
        <w:numPr>
          <w:ilvl w:val="1"/>
          <w:numId w:val="1"/>
        </w:numPr>
      </w:pPr>
      <w:r w:rsidRPr="005278DC">
        <w:t>Indigenous controlled (y/n).</w:t>
      </w:r>
    </w:p>
    <w:p w14:paraId="7C60ED5E" w14:textId="77777777" w:rsidR="005278DC" w:rsidRPr="005278DC" w:rsidRDefault="005278DC" w:rsidP="00FA4EED">
      <w:pPr>
        <w:pStyle w:val="ListParagraph"/>
        <w:numPr>
          <w:ilvl w:val="2"/>
          <w:numId w:val="1"/>
        </w:numPr>
      </w:pPr>
      <w:r w:rsidRPr="005278DC">
        <w:t>At least 51% of the organisation’s board or management committee are Aboriginal or Torres Strait Islander people as defined by the Corporations (Aboriginal and Torres Strait Islander) Act 2006 (CATSI Act).</w:t>
      </w:r>
    </w:p>
    <w:p w14:paraId="2D7F3845" w14:textId="77777777" w:rsidR="005278DC" w:rsidRPr="005278DC" w:rsidRDefault="005278DC" w:rsidP="00FA4EED">
      <w:pPr>
        <w:pStyle w:val="ListParagraph"/>
        <w:numPr>
          <w:ilvl w:val="1"/>
          <w:numId w:val="1"/>
        </w:numPr>
      </w:pPr>
      <w:r w:rsidRPr="005278DC">
        <w:t>Description (any further information on the collaboration).</w:t>
      </w:r>
    </w:p>
    <w:p w14:paraId="049E7222" w14:textId="77777777" w:rsidR="005278DC" w:rsidRPr="005278DC" w:rsidRDefault="005278DC" w:rsidP="00FA4EED">
      <w:pPr>
        <w:pStyle w:val="ListParagraph"/>
      </w:pPr>
      <w:r w:rsidRPr="005278DC">
        <w:t>Include all partner and non-partner domestic organisations collaborating with the CRC during the reporting period including industry, end-users, and research organisations.</w:t>
      </w:r>
    </w:p>
    <w:p w14:paraId="4D8D2545" w14:textId="77777777" w:rsidR="005278DC" w:rsidRPr="005278DC" w:rsidRDefault="005278DC" w:rsidP="00FA4EED">
      <w:pPr>
        <w:pStyle w:val="ListParagraph"/>
        <w:numPr>
          <w:ilvl w:val="1"/>
          <w:numId w:val="1"/>
        </w:numPr>
      </w:pPr>
      <w:r w:rsidRPr="005278DC">
        <w:t xml:space="preserve">Collaboration means active joint participation between organisations, which involves sharing of both knowledge and risk. </w:t>
      </w:r>
    </w:p>
    <w:p w14:paraId="3ADB9445" w14:textId="77777777" w:rsidR="005278DC" w:rsidRPr="005278DC" w:rsidRDefault="005278DC" w:rsidP="00FA4EED">
      <w:pPr>
        <w:pStyle w:val="ListParagraph"/>
      </w:pPr>
      <w:r w:rsidRPr="005278DC">
        <w:t xml:space="preserve">Do not include: </w:t>
      </w:r>
    </w:p>
    <w:p w14:paraId="14D3EA7E" w14:textId="77777777" w:rsidR="005278DC" w:rsidRPr="005278DC" w:rsidRDefault="005278DC" w:rsidP="00FA4EED">
      <w:pPr>
        <w:pStyle w:val="ListParagraph"/>
        <w:numPr>
          <w:ilvl w:val="1"/>
          <w:numId w:val="1"/>
        </w:numPr>
      </w:pPr>
      <w:r w:rsidRPr="005278DC">
        <w:t>Fee for service arrangements.</w:t>
      </w:r>
    </w:p>
    <w:p w14:paraId="20D7ABEE" w14:textId="77777777" w:rsidR="005278DC" w:rsidRPr="005278DC" w:rsidRDefault="005278DC" w:rsidP="00FA4EED">
      <w:pPr>
        <w:pStyle w:val="ListParagraph"/>
        <w:numPr>
          <w:ilvl w:val="1"/>
          <w:numId w:val="1"/>
        </w:numPr>
      </w:pPr>
      <w:r w:rsidRPr="005278DC">
        <w:t xml:space="preserve">International organisations reported at Section 5.2. </w:t>
      </w:r>
    </w:p>
    <w:p w14:paraId="0CEBA03B" w14:textId="77777777" w:rsidR="005278DC" w:rsidRPr="005278DC" w:rsidRDefault="005278DC" w:rsidP="00FA4EED">
      <w:pPr>
        <w:pStyle w:val="ListParagraph"/>
        <w:numPr>
          <w:ilvl w:val="1"/>
          <w:numId w:val="1"/>
        </w:numPr>
      </w:pPr>
      <w:r w:rsidRPr="005278DC">
        <w:t xml:space="preserve">Entities not related to the CRCs activities as specified in the Grant Agreement (e.g., exclude entities related to the financial management of the CRC including banks that only manage the CRCs accounts). </w:t>
      </w:r>
    </w:p>
    <w:p w14:paraId="466EB7F2" w14:textId="77777777" w:rsidR="005278DC" w:rsidRPr="005A0AC9" w:rsidRDefault="005278DC" w:rsidP="005A0AC9">
      <w:pPr>
        <w:pStyle w:val="Heading3"/>
      </w:pPr>
      <w:bookmarkStart w:id="49" w:name="_Toc129010949"/>
      <w:bookmarkStart w:id="50" w:name="_Toc168390524"/>
      <w:r w:rsidRPr="005A0AC9">
        <w:t>5.2 International Collaboration</w:t>
      </w:r>
      <w:bookmarkEnd w:id="49"/>
      <w:bookmarkEnd w:id="50"/>
    </w:p>
    <w:p w14:paraId="2093A7D1" w14:textId="77777777" w:rsidR="005278DC" w:rsidRPr="005278DC" w:rsidRDefault="005278DC" w:rsidP="00FA4EED">
      <w:pPr>
        <w:pStyle w:val="ListParagraph"/>
      </w:pPr>
      <w:r w:rsidRPr="005278DC">
        <w:t>Provide the following information for all international organisations the CRC collaborated with during the reporting period:</w:t>
      </w:r>
    </w:p>
    <w:p w14:paraId="5B99BBCA" w14:textId="77777777" w:rsidR="005278DC" w:rsidRPr="005278DC" w:rsidRDefault="005278DC" w:rsidP="00FA4EED">
      <w:pPr>
        <w:pStyle w:val="ListParagraph"/>
        <w:numPr>
          <w:ilvl w:val="1"/>
          <w:numId w:val="1"/>
        </w:numPr>
      </w:pPr>
      <w:r w:rsidRPr="005278DC">
        <w:t>Organisation name.</w:t>
      </w:r>
    </w:p>
    <w:p w14:paraId="33C61D6F" w14:textId="77777777" w:rsidR="005278DC" w:rsidRPr="005278DC" w:rsidRDefault="005278DC" w:rsidP="00FA4EED">
      <w:pPr>
        <w:pStyle w:val="ListParagraph"/>
        <w:numPr>
          <w:ilvl w:val="1"/>
          <w:numId w:val="1"/>
        </w:numPr>
      </w:pPr>
      <w:r w:rsidRPr="005278DC">
        <w:t>Collaborator type (choose from drop down).</w:t>
      </w:r>
    </w:p>
    <w:p w14:paraId="5263F820" w14:textId="77777777" w:rsidR="005278DC" w:rsidRPr="005278DC" w:rsidRDefault="005278DC" w:rsidP="00FA4EED">
      <w:pPr>
        <w:pStyle w:val="ListParagraph"/>
        <w:numPr>
          <w:ilvl w:val="1"/>
          <w:numId w:val="1"/>
        </w:numPr>
      </w:pPr>
      <w:r w:rsidRPr="005278DC">
        <w:t>Sector (choose from drop down).</w:t>
      </w:r>
    </w:p>
    <w:p w14:paraId="6032C46E" w14:textId="77777777" w:rsidR="005278DC" w:rsidRPr="005278DC" w:rsidRDefault="005278DC" w:rsidP="00FA4EED">
      <w:pPr>
        <w:pStyle w:val="ListParagraph"/>
        <w:numPr>
          <w:ilvl w:val="1"/>
          <w:numId w:val="1"/>
        </w:numPr>
      </w:pPr>
      <w:r w:rsidRPr="005278DC">
        <w:t>Size (choose from drop down).</w:t>
      </w:r>
    </w:p>
    <w:p w14:paraId="16A6A3E1" w14:textId="77777777" w:rsidR="005278DC" w:rsidRPr="005278DC" w:rsidRDefault="005278DC" w:rsidP="00FA4EED">
      <w:pPr>
        <w:pStyle w:val="ListParagraph"/>
        <w:numPr>
          <w:ilvl w:val="2"/>
          <w:numId w:val="1"/>
        </w:numPr>
      </w:pPr>
      <w:r w:rsidRPr="005278DC">
        <w:t>Large – 200+ employees.</w:t>
      </w:r>
    </w:p>
    <w:p w14:paraId="11E9A224" w14:textId="77777777" w:rsidR="005278DC" w:rsidRPr="005278DC" w:rsidRDefault="005278DC" w:rsidP="00FA4EED">
      <w:pPr>
        <w:pStyle w:val="ListParagraph"/>
        <w:numPr>
          <w:ilvl w:val="2"/>
          <w:numId w:val="1"/>
        </w:numPr>
      </w:pPr>
      <w:r w:rsidRPr="005278DC">
        <w:t>Medium – 20-199 employees.</w:t>
      </w:r>
    </w:p>
    <w:p w14:paraId="4AFE09C8" w14:textId="77777777" w:rsidR="005278DC" w:rsidRPr="005278DC" w:rsidRDefault="005278DC" w:rsidP="00FA4EED">
      <w:pPr>
        <w:pStyle w:val="ListParagraph"/>
        <w:numPr>
          <w:ilvl w:val="2"/>
          <w:numId w:val="1"/>
        </w:numPr>
      </w:pPr>
      <w:r w:rsidRPr="005278DC">
        <w:t>Small – 0-19 employees.</w:t>
      </w:r>
    </w:p>
    <w:p w14:paraId="0ECA1B2C" w14:textId="77777777" w:rsidR="005278DC" w:rsidRPr="005278DC" w:rsidRDefault="005278DC" w:rsidP="00FA4EED">
      <w:pPr>
        <w:pStyle w:val="ListParagraph"/>
        <w:numPr>
          <w:ilvl w:val="1"/>
          <w:numId w:val="1"/>
        </w:numPr>
      </w:pPr>
      <w:r w:rsidRPr="005278DC">
        <w:t>Country (choose from drop down).</w:t>
      </w:r>
    </w:p>
    <w:p w14:paraId="7A810E78" w14:textId="77777777" w:rsidR="005278DC" w:rsidRPr="005278DC" w:rsidRDefault="005278DC" w:rsidP="00FA4EED">
      <w:pPr>
        <w:pStyle w:val="ListParagraph"/>
        <w:numPr>
          <w:ilvl w:val="2"/>
          <w:numId w:val="1"/>
        </w:numPr>
      </w:pPr>
      <w:r w:rsidRPr="005278DC">
        <w:t>Note, this includes separate economies (e.g., Hong Kong, Taiwan) and supranational groupings (e.g., the European Union).</w:t>
      </w:r>
    </w:p>
    <w:p w14:paraId="4415073B" w14:textId="77777777" w:rsidR="005278DC" w:rsidRPr="005278DC" w:rsidRDefault="005278DC" w:rsidP="00FA4EED">
      <w:pPr>
        <w:pStyle w:val="ListParagraph"/>
        <w:numPr>
          <w:ilvl w:val="1"/>
          <w:numId w:val="1"/>
        </w:numPr>
      </w:pPr>
      <w:r w:rsidRPr="005278DC">
        <w:t>Description (any further information on the collaboration).</w:t>
      </w:r>
    </w:p>
    <w:p w14:paraId="75C3432A" w14:textId="77777777" w:rsidR="005278DC" w:rsidRPr="005278DC" w:rsidRDefault="005278DC" w:rsidP="00FA4EED">
      <w:pPr>
        <w:pStyle w:val="ListParagraph"/>
      </w:pPr>
      <w:r w:rsidRPr="005278DC">
        <w:lastRenderedPageBreak/>
        <w:t>Include all partner and non-partner international organisations collaborating with the CRC during the reporting period including industry, end-users, and research organisations.</w:t>
      </w:r>
    </w:p>
    <w:p w14:paraId="5EF48F34" w14:textId="77777777" w:rsidR="005278DC" w:rsidRPr="005278DC" w:rsidRDefault="005278DC" w:rsidP="00FA4EED">
      <w:pPr>
        <w:pStyle w:val="ListParagraph"/>
        <w:numPr>
          <w:ilvl w:val="1"/>
          <w:numId w:val="1"/>
        </w:numPr>
      </w:pPr>
      <w:r w:rsidRPr="005278DC">
        <w:t xml:space="preserve">Collaboration means active joint participation between organisations, which involves sharing of both knowledge and risk. </w:t>
      </w:r>
    </w:p>
    <w:p w14:paraId="67269BEC" w14:textId="77777777" w:rsidR="005278DC" w:rsidRPr="005278DC" w:rsidRDefault="005278DC" w:rsidP="00FA4EED">
      <w:pPr>
        <w:pStyle w:val="ListParagraph"/>
      </w:pPr>
      <w:r w:rsidRPr="005278DC">
        <w:t xml:space="preserve">Do not include: </w:t>
      </w:r>
    </w:p>
    <w:p w14:paraId="4F38AB5D" w14:textId="77777777" w:rsidR="005278DC" w:rsidRPr="005278DC" w:rsidRDefault="005278DC" w:rsidP="00FA4EED">
      <w:pPr>
        <w:pStyle w:val="ListParagraph"/>
        <w:numPr>
          <w:ilvl w:val="1"/>
          <w:numId w:val="1"/>
        </w:numPr>
      </w:pPr>
      <w:r w:rsidRPr="005278DC">
        <w:t>Fee for service arrangements.</w:t>
      </w:r>
    </w:p>
    <w:p w14:paraId="4C12E793" w14:textId="77777777" w:rsidR="005278DC" w:rsidRPr="005278DC" w:rsidRDefault="005278DC" w:rsidP="00FA4EED">
      <w:pPr>
        <w:pStyle w:val="ListParagraph"/>
        <w:numPr>
          <w:ilvl w:val="1"/>
          <w:numId w:val="1"/>
        </w:numPr>
      </w:pPr>
      <w:r w:rsidRPr="005278DC">
        <w:t>Domestic organisations reported at Section 5.1.</w:t>
      </w:r>
    </w:p>
    <w:p w14:paraId="0C4AD59C" w14:textId="77777777" w:rsidR="005278DC" w:rsidRPr="005278DC" w:rsidRDefault="005278DC" w:rsidP="00FA4EED">
      <w:pPr>
        <w:pStyle w:val="ListParagraph"/>
        <w:numPr>
          <w:ilvl w:val="1"/>
          <w:numId w:val="1"/>
        </w:numPr>
      </w:pPr>
      <w:r w:rsidRPr="005278DC">
        <w:t>Entities not related to the CRCs activities as specified in the Grant Agreement (e.g., exclude entities related to the financial management of the CRC including banks that only manage the CRCs accounts).</w:t>
      </w:r>
    </w:p>
    <w:p w14:paraId="2DF18808" w14:textId="77777777" w:rsidR="005278DC" w:rsidRPr="005278DC" w:rsidRDefault="005278DC" w:rsidP="005A0AC9">
      <w:pPr>
        <w:pStyle w:val="Heading2"/>
      </w:pPr>
      <w:bookmarkStart w:id="51" w:name="_Toc129010950"/>
      <w:bookmarkStart w:id="52" w:name="_Toc168390525"/>
      <w:r w:rsidRPr="005278DC">
        <w:t>Section 6 – Other</w:t>
      </w:r>
      <w:bookmarkEnd w:id="51"/>
      <w:bookmarkEnd w:id="52"/>
    </w:p>
    <w:p w14:paraId="25FC63E3" w14:textId="77777777" w:rsidR="005278DC" w:rsidRPr="005A0AC9" w:rsidRDefault="005278DC" w:rsidP="005A0AC9">
      <w:pPr>
        <w:pStyle w:val="Heading3"/>
      </w:pPr>
      <w:bookmarkStart w:id="53" w:name="_Toc129010951"/>
      <w:bookmarkStart w:id="54" w:name="_Toc168390526"/>
      <w:r w:rsidRPr="005A0AC9">
        <w:t>6.1 Other financial assistance/grants</w:t>
      </w:r>
      <w:bookmarkEnd w:id="53"/>
      <w:bookmarkEnd w:id="54"/>
      <w:r w:rsidRPr="005A0AC9">
        <w:t xml:space="preserve"> </w:t>
      </w:r>
    </w:p>
    <w:p w14:paraId="5E90D228" w14:textId="77777777" w:rsidR="005278DC" w:rsidRPr="005278DC" w:rsidRDefault="005278DC" w:rsidP="005A0AC9">
      <w:pPr>
        <w:pStyle w:val="Heading4"/>
      </w:pPr>
      <w:r w:rsidRPr="005278DC">
        <w:t xml:space="preserve">6.1.1 – Number and value of other government funded financial assistance arrangements or grants awarded to the CRC during the reporting </w:t>
      </w:r>
      <w:proofErr w:type="gramStart"/>
      <w:r w:rsidRPr="005278DC">
        <w:t>period</w:t>
      </w:r>
      <w:proofErr w:type="gramEnd"/>
    </w:p>
    <w:p w14:paraId="74DB2870" w14:textId="77777777" w:rsidR="005278DC" w:rsidRPr="005278DC" w:rsidRDefault="005278DC" w:rsidP="00FA4EED">
      <w:pPr>
        <w:pStyle w:val="ListParagraph"/>
      </w:pPr>
      <w:r w:rsidRPr="005278DC">
        <w:t>(6.1.1.1) Provide the total number of other government-funded financial assistance arrangements or grants awarded to the CRC during the reporting period.</w:t>
      </w:r>
    </w:p>
    <w:p w14:paraId="16AB3DB6" w14:textId="77777777" w:rsidR="005278DC" w:rsidRPr="005278DC" w:rsidRDefault="005278DC" w:rsidP="00FA4EED">
      <w:pPr>
        <w:pStyle w:val="ListParagraph"/>
      </w:pPr>
      <w:r w:rsidRPr="005278DC">
        <w:t xml:space="preserve">(6.1.1.2) Provide the total value of other government-funded financial assistance arrangements or grants awarded to the CRC during the reporting period. </w:t>
      </w:r>
    </w:p>
    <w:p w14:paraId="426B2DAF" w14:textId="77777777" w:rsidR="005278DC" w:rsidRPr="005278DC" w:rsidRDefault="005278DC" w:rsidP="00FA4EED">
      <w:pPr>
        <w:pStyle w:val="ListParagraph"/>
        <w:numPr>
          <w:ilvl w:val="1"/>
          <w:numId w:val="1"/>
        </w:numPr>
      </w:pPr>
      <w:r w:rsidRPr="005278DC">
        <w:t>Provide in Australian dollars ($AUD).</w:t>
      </w:r>
    </w:p>
    <w:p w14:paraId="24C45FC1" w14:textId="77777777" w:rsidR="005278DC" w:rsidRPr="005278DC" w:rsidRDefault="005278DC" w:rsidP="00FA4EED">
      <w:pPr>
        <w:pStyle w:val="ListParagraph"/>
      </w:pPr>
      <w:r w:rsidRPr="005278DC">
        <w:t>Include both Commonwealth and State and Territory government sources or agencies.</w:t>
      </w:r>
    </w:p>
    <w:p w14:paraId="1C9A260A" w14:textId="77777777" w:rsidR="005278DC" w:rsidRPr="005278DC" w:rsidRDefault="005278DC" w:rsidP="00FA4EED">
      <w:pPr>
        <w:pStyle w:val="ListParagraph"/>
      </w:pPr>
      <w:r w:rsidRPr="005278DC">
        <w:t>Do not include:</w:t>
      </w:r>
    </w:p>
    <w:p w14:paraId="60B20694" w14:textId="77777777" w:rsidR="005278DC" w:rsidRPr="005278DC" w:rsidRDefault="005278DC" w:rsidP="00FA4EED">
      <w:pPr>
        <w:pStyle w:val="ListParagraph"/>
        <w:numPr>
          <w:ilvl w:val="1"/>
          <w:numId w:val="1"/>
        </w:numPr>
      </w:pPr>
      <w:r w:rsidRPr="005278DC">
        <w:t>CRC Program funds.</w:t>
      </w:r>
    </w:p>
    <w:p w14:paraId="28B33768" w14:textId="77777777" w:rsidR="005278DC" w:rsidRPr="005278DC" w:rsidRDefault="005278DC" w:rsidP="00FA4EED">
      <w:pPr>
        <w:pStyle w:val="ListParagraph"/>
        <w:numPr>
          <w:ilvl w:val="1"/>
          <w:numId w:val="1"/>
        </w:numPr>
      </w:pPr>
      <w:r w:rsidRPr="005278DC">
        <w:t>Partner contributions.</w:t>
      </w:r>
    </w:p>
    <w:p w14:paraId="7E6149E0" w14:textId="77777777" w:rsidR="005278DC" w:rsidRPr="005278DC" w:rsidRDefault="005278DC" w:rsidP="00FA4EED">
      <w:pPr>
        <w:pStyle w:val="ListParagraph"/>
        <w:numPr>
          <w:ilvl w:val="1"/>
          <w:numId w:val="1"/>
        </w:numPr>
      </w:pPr>
      <w:r w:rsidRPr="005278DC">
        <w:t>R&amp;D Tax Concession/Credit.</w:t>
      </w:r>
    </w:p>
    <w:p w14:paraId="755BFFF2" w14:textId="77777777" w:rsidR="005278DC" w:rsidRPr="005278DC" w:rsidRDefault="005278DC" w:rsidP="005A0AC9">
      <w:pPr>
        <w:pStyle w:val="Heading4"/>
      </w:pPr>
      <w:r w:rsidRPr="005278DC">
        <w:t xml:space="preserve">6.1.2 – Number and value of other industry-funded financial assistance given to the CRC during the reporting </w:t>
      </w:r>
      <w:proofErr w:type="gramStart"/>
      <w:r w:rsidRPr="005278DC">
        <w:t>period</w:t>
      </w:r>
      <w:proofErr w:type="gramEnd"/>
    </w:p>
    <w:p w14:paraId="6576E491" w14:textId="77777777" w:rsidR="005278DC" w:rsidRPr="005278DC" w:rsidRDefault="005278DC" w:rsidP="00FA4EED">
      <w:pPr>
        <w:pStyle w:val="ListParagraph"/>
      </w:pPr>
      <w:r w:rsidRPr="005278DC">
        <w:t>(6.1.2.1) Provide the total number of other industry-funded financial assistance given to the CRC during the reporting period.</w:t>
      </w:r>
    </w:p>
    <w:p w14:paraId="1D2B800B" w14:textId="77777777" w:rsidR="005278DC" w:rsidRPr="005278DC" w:rsidRDefault="005278DC" w:rsidP="00FA4EED">
      <w:pPr>
        <w:pStyle w:val="ListParagraph"/>
      </w:pPr>
      <w:r w:rsidRPr="005278DC">
        <w:t xml:space="preserve">(6.1.2.2) Provide the total value of other industry-funded financial assistance given to the CRC during the reporting period. </w:t>
      </w:r>
    </w:p>
    <w:p w14:paraId="28DBF905" w14:textId="77777777" w:rsidR="005278DC" w:rsidRPr="005278DC" w:rsidRDefault="005278DC" w:rsidP="00FA4EED">
      <w:pPr>
        <w:pStyle w:val="ListParagraph"/>
        <w:numPr>
          <w:ilvl w:val="1"/>
          <w:numId w:val="1"/>
        </w:numPr>
      </w:pPr>
      <w:r w:rsidRPr="005278DC">
        <w:t>Provide in Australian dollars ($AUD).</w:t>
      </w:r>
    </w:p>
    <w:p w14:paraId="19ECF22F" w14:textId="77777777" w:rsidR="005278DC" w:rsidRPr="005278DC" w:rsidRDefault="005278DC" w:rsidP="00FA4EED">
      <w:pPr>
        <w:pStyle w:val="ListParagraph"/>
        <w:numPr>
          <w:ilvl w:val="1"/>
          <w:numId w:val="1"/>
        </w:numPr>
      </w:pPr>
      <w:r w:rsidRPr="005278DC">
        <w:t>Do not include partner contributions.</w:t>
      </w:r>
    </w:p>
    <w:p w14:paraId="3213C5D9" w14:textId="77777777" w:rsidR="005278DC" w:rsidRPr="005278DC" w:rsidRDefault="005278DC" w:rsidP="005A0AC9">
      <w:pPr>
        <w:pStyle w:val="Heading4"/>
      </w:pPr>
      <w:r w:rsidRPr="005278DC">
        <w:lastRenderedPageBreak/>
        <w:t xml:space="preserve">6.1.3 – Number and value of other research sector funded financial assistance given to the CRC during the reporting </w:t>
      </w:r>
      <w:proofErr w:type="gramStart"/>
      <w:r w:rsidRPr="005278DC">
        <w:t>period</w:t>
      </w:r>
      <w:proofErr w:type="gramEnd"/>
    </w:p>
    <w:p w14:paraId="3B99E854" w14:textId="77777777" w:rsidR="005278DC" w:rsidRPr="005278DC" w:rsidRDefault="005278DC" w:rsidP="00FA4EED">
      <w:pPr>
        <w:pStyle w:val="ListParagraph"/>
      </w:pPr>
      <w:r w:rsidRPr="005278DC">
        <w:t>(6.1.3.1) Provide the total number of other research sector-funded financial assistance given to the CRC during the reporting period.</w:t>
      </w:r>
    </w:p>
    <w:p w14:paraId="1A72B7D5" w14:textId="77777777" w:rsidR="005278DC" w:rsidRPr="005278DC" w:rsidRDefault="005278DC" w:rsidP="00FA4EED">
      <w:pPr>
        <w:pStyle w:val="ListParagraph"/>
      </w:pPr>
      <w:r w:rsidRPr="005278DC">
        <w:t xml:space="preserve">(6.1.3.2) Provide the total value of other research sector-funded financial assistance given to the CRC during the reporting period. </w:t>
      </w:r>
    </w:p>
    <w:p w14:paraId="3E032DA3" w14:textId="77777777" w:rsidR="005278DC" w:rsidRPr="005278DC" w:rsidRDefault="005278DC" w:rsidP="00FA4EED">
      <w:pPr>
        <w:pStyle w:val="ListParagraph"/>
        <w:numPr>
          <w:ilvl w:val="1"/>
          <w:numId w:val="1"/>
        </w:numPr>
      </w:pPr>
      <w:r w:rsidRPr="005278DC">
        <w:t>Provide in Australian dollars ($AUD).</w:t>
      </w:r>
    </w:p>
    <w:p w14:paraId="1AFA9617" w14:textId="77777777" w:rsidR="005278DC" w:rsidRPr="005278DC" w:rsidRDefault="005278DC" w:rsidP="00FA4EED">
      <w:pPr>
        <w:pStyle w:val="ListParagraph"/>
        <w:numPr>
          <w:ilvl w:val="1"/>
          <w:numId w:val="1"/>
        </w:numPr>
      </w:pPr>
      <w:r w:rsidRPr="005278DC">
        <w:t>Do not include partner contributions.</w:t>
      </w:r>
    </w:p>
    <w:p w14:paraId="1A5CBBF6" w14:textId="77777777" w:rsidR="005278DC" w:rsidRPr="005278DC" w:rsidRDefault="005278DC" w:rsidP="005A0AC9">
      <w:pPr>
        <w:pStyle w:val="Heading4"/>
      </w:pPr>
      <w:r w:rsidRPr="005278DC">
        <w:t xml:space="preserve">6.1.4 – Number and value of other private not-for-profit sector funded financial assistance given to the CRC during the reporting </w:t>
      </w:r>
      <w:proofErr w:type="gramStart"/>
      <w:r w:rsidRPr="005278DC">
        <w:t>period</w:t>
      </w:r>
      <w:proofErr w:type="gramEnd"/>
    </w:p>
    <w:p w14:paraId="72A38A68" w14:textId="77777777" w:rsidR="005278DC" w:rsidRPr="005278DC" w:rsidRDefault="005278DC" w:rsidP="00FA4EED">
      <w:pPr>
        <w:pStyle w:val="ListParagraph"/>
      </w:pPr>
      <w:r w:rsidRPr="005278DC">
        <w:t>(6.1.3.1) Provide the total number of other private not-for-profit sector-funded financial assistance given to the CRC during the reporting period.</w:t>
      </w:r>
    </w:p>
    <w:p w14:paraId="0701A0E9" w14:textId="77777777" w:rsidR="005278DC" w:rsidRPr="005278DC" w:rsidRDefault="005278DC" w:rsidP="00FA4EED">
      <w:pPr>
        <w:pStyle w:val="ListParagraph"/>
      </w:pPr>
      <w:r w:rsidRPr="005278DC">
        <w:t>(6.1.3.2) Provide the total value of other private not-for-profit sector-funded financial assistance given to the CRC during the reporting period.</w:t>
      </w:r>
    </w:p>
    <w:p w14:paraId="6486B820" w14:textId="77777777" w:rsidR="005278DC" w:rsidRPr="005278DC" w:rsidRDefault="005278DC" w:rsidP="00FA4EED">
      <w:pPr>
        <w:pStyle w:val="ListParagraph"/>
        <w:numPr>
          <w:ilvl w:val="1"/>
          <w:numId w:val="1"/>
        </w:numPr>
      </w:pPr>
      <w:r w:rsidRPr="005278DC">
        <w:t>Provide in Australian dollars ($AUD).</w:t>
      </w:r>
    </w:p>
    <w:p w14:paraId="1F528748" w14:textId="77777777" w:rsidR="005278DC" w:rsidRDefault="005278DC" w:rsidP="00FA4EED">
      <w:pPr>
        <w:pStyle w:val="ListParagraph"/>
        <w:numPr>
          <w:ilvl w:val="1"/>
          <w:numId w:val="1"/>
        </w:numPr>
      </w:pPr>
      <w:r w:rsidRPr="005278DC">
        <w:t>Do not include partner contributions.</w:t>
      </w:r>
    </w:p>
    <w:bookmarkEnd w:id="7"/>
    <w:bookmarkEnd w:id="6"/>
    <w:sectPr w:rsidR="005278DC" w:rsidSect="004A7856">
      <w:headerReference w:type="default" r:id="rId18"/>
      <w:footerReference w:type="default" r:id="rId19"/>
      <w:headerReference w:type="first" r:id="rId20"/>
      <w:footerReference w:type="first" r:id="rId21"/>
      <w:pgSz w:w="11906" w:h="16838"/>
      <w:pgMar w:top="1276" w:right="1440" w:bottom="1440" w:left="1440"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24744" w14:textId="77777777" w:rsidR="00AD7672" w:rsidRDefault="00AD7672" w:rsidP="00B251DB">
      <w:pPr>
        <w:spacing w:after="0"/>
      </w:pPr>
      <w:r>
        <w:separator/>
      </w:r>
    </w:p>
  </w:endnote>
  <w:endnote w:type="continuationSeparator" w:id="0">
    <w:p w14:paraId="69312846" w14:textId="77777777" w:rsidR="00AD7672" w:rsidRDefault="00AD7672" w:rsidP="00B25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ptos SemiBold">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D2A4" w14:textId="4506E18F" w:rsidR="0035140F" w:rsidRDefault="00FE2694" w:rsidP="0035140F">
    <w:pPr>
      <w:pStyle w:val="Footer"/>
    </w:pPr>
    <w:sdt>
      <w:sdtPr>
        <w:rPr>
          <w:color w:val="0E2444" w:themeColor="accent1"/>
        </w:rPr>
        <w:alias w:val="Title"/>
        <w:tag w:val=""/>
        <w:id w:val="-1005120900"/>
        <w:placeholder>
          <w:docPart w:val="C2017DEF82F64F9DB5705BECFF1C3359"/>
        </w:placeholder>
        <w:dataBinding w:prefixMappings="xmlns:ns0='http://purl.org/dc/elements/1.1/' xmlns:ns1='http://schemas.openxmlformats.org/package/2006/metadata/core-properties' " w:xpath="/ns1:coreProperties[1]/ns0:title[1]" w:storeItemID="{6C3C8BC8-F283-45AE-878A-BAB7291924A1}"/>
        <w:text/>
      </w:sdtPr>
      <w:sdtEndPr/>
      <w:sdtContent>
        <w:r w:rsidR="00507590">
          <w:rPr>
            <w:color w:val="0E2444" w:themeColor="accent1"/>
          </w:rPr>
          <w:t>CRC Grants – Annual Management Data Questionnaire (MDQ) Reporting Instructions</w:t>
        </w:r>
      </w:sdtContent>
    </w:sdt>
    <w:r w:rsidR="00BD0F8A">
      <w:tab/>
    </w:r>
  </w:p>
  <w:p w14:paraId="4A93AB47" w14:textId="77D452C1" w:rsidR="00D27B99" w:rsidRPr="00DC06D4" w:rsidRDefault="00DC06D4" w:rsidP="00E3494D">
    <w:pPr>
      <w:pStyle w:val="Footer"/>
      <w:tabs>
        <w:tab w:val="clear" w:pos="4513"/>
      </w:tabs>
      <w:rPr>
        <w:color w:val="0E2444" w:themeColor="accent1"/>
      </w:rPr>
    </w:pPr>
    <w:r w:rsidRPr="005D281C">
      <w:rPr>
        <w:b/>
        <w:bCs/>
        <w:color w:val="0F4F82" w:themeColor="accent4"/>
      </w:rPr>
      <w:t xml:space="preserve">| </w:t>
    </w:r>
    <w:r w:rsidRPr="005D281C">
      <w:rPr>
        <w:b/>
        <w:bCs/>
        <w:color w:val="0E2444" w:themeColor="accent1"/>
      </w:rPr>
      <w:t>business.</w:t>
    </w:r>
    <w:r w:rsidRPr="005D281C">
      <w:rPr>
        <w:b/>
        <w:bCs/>
        <w:noProof/>
        <w:color w:val="0E2444" w:themeColor="accent1"/>
      </w:rPr>
      <w:t xml:space="preserve"> </w:t>
    </w:r>
    <w:r w:rsidRPr="005D281C">
      <w:rPr>
        <w:color w:val="0E2444" w:themeColor="accent1"/>
      </w:rPr>
      <w:t>gov.au/</w:t>
    </w:r>
    <w:proofErr w:type="spellStart"/>
    <w:r w:rsidRPr="005D281C">
      <w:rPr>
        <w:color w:val="0E2444" w:themeColor="accent1"/>
      </w:rPr>
      <w:t>crc</w:t>
    </w:r>
    <w:proofErr w:type="spellEnd"/>
    <w:r w:rsidR="00BD0F8A">
      <w:tab/>
    </w:r>
    <w:sdt>
      <w:sdtPr>
        <w:id w:val="-1044901746"/>
        <w:docPartObj>
          <w:docPartGallery w:val="Page Numbers (Bottom of Page)"/>
          <w:docPartUnique/>
        </w:docPartObj>
      </w:sdtPr>
      <w:sdtEndPr>
        <w:rPr>
          <w:noProof/>
        </w:rPr>
      </w:sdtEndPr>
      <w:sdtContent>
        <w:sdt>
          <w:sdtPr>
            <w:id w:val="-1215879574"/>
            <w:docPartObj>
              <w:docPartGallery w:val="Page Numbers (Bottom of Page)"/>
              <w:docPartUnique/>
            </w:docPartObj>
          </w:sdtPr>
          <w:sdtEndPr>
            <w:rPr>
              <w:noProof/>
            </w:rPr>
          </w:sdtEndPr>
          <w:sdtContent>
            <w:r w:rsidR="005A0AC9" w:rsidRPr="00A53BD7">
              <w:t xml:space="preserve">Page </w:t>
            </w:r>
            <w:r w:rsidR="005A0AC9" w:rsidRPr="00A53BD7">
              <w:fldChar w:fldCharType="begin"/>
            </w:r>
            <w:r w:rsidR="005A0AC9" w:rsidRPr="00A53BD7">
              <w:instrText xml:space="preserve"> PAGE  \* Arabic  \* MERGEFORMAT </w:instrText>
            </w:r>
            <w:r w:rsidR="005A0AC9" w:rsidRPr="00A53BD7">
              <w:fldChar w:fldCharType="separate"/>
            </w:r>
            <w:r w:rsidR="005A0AC9">
              <w:t>2</w:t>
            </w:r>
            <w:r w:rsidR="005A0AC9" w:rsidRPr="00A53BD7">
              <w:fldChar w:fldCharType="end"/>
            </w:r>
            <w:r w:rsidR="005A0AC9" w:rsidRPr="00A53BD7">
              <w:t xml:space="preserve"> of </w:t>
            </w:r>
            <w:fldSimple w:instr=" NUMPAGES  \* Arabic  \* MERGEFORMAT ">
              <w:r w:rsidR="005A0AC9">
                <w:t>41</w:t>
              </w:r>
            </w:fldSimple>
          </w:sdtContent>
        </w:sdt>
      </w:sdtContent>
    </w:sdt>
  </w:p>
  <w:p w14:paraId="1E1EAA7F" w14:textId="7AAF7051" w:rsidR="00BD0F8A" w:rsidRPr="00960D98" w:rsidRDefault="00FA4EED" w:rsidP="0035140F">
    <w:pPr>
      <w:pStyle w:val="Footer"/>
      <w:jc w:val="center"/>
      <w:rPr>
        <w:b/>
        <w:color w:val="CC0000"/>
        <w:sz w:val="24"/>
        <w:szCs w:val="24"/>
      </w:rPr>
    </w:pPr>
    <w:r>
      <w:rPr>
        <w:b/>
        <w:color w:val="CC0000"/>
        <w:sz w:val="24"/>
        <w:szCs w:val="24"/>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0038" w14:textId="30764488" w:rsidR="004A7856" w:rsidRDefault="00FE2694" w:rsidP="004A7856">
    <w:pPr>
      <w:pStyle w:val="Footer"/>
    </w:pPr>
    <w:sdt>
      <w:sdtPr>
        <w:rPr>
          <w:color w:val="0E2444" w:themeColor="accent1"/>
        </w:rPr>
        <w:alias w:val="Title"/>
        <w:tag w:val=""/>
        <w:id w:val="2090884714"/>
        <w:dataBinding w:prefixMappings="xmlns:ns0='http://purl.org/dc/elements/1.1/' xmlns:ns1='http://schemas.openxmlformats.org/package/2006/metadata/core-properties' " w:xpath="/ns1:coreProperties[1]/ns0:title[1]" w:storeItemID="{6C3C8BC8-F283-45AE-878A-BAB7291924A1}"/>
        <w:text/>
      </w:sdtPr>
      <w:sdtEndPr/>
      <w:sdtContent>
        <w:r w:rsidR="00507590">
          <w:rPr>
            <w:color w:val="0E2444" w:themeColor="accent1"/>
          </w:rPr>
          <w:t>CRC Grants – Annual Management Data Questionnaire (MDQ) Reporting Instructions</w:t>
        </w:r>
      </w:sdtContent>
    </w:sdt>
    <w:r w:rsidR="004A7856">
      <w:tab/>
    </w:r>
  </w:p>
  <w:p w14:paraId="24BC48AD" w14:textId="3F0714CA" w:rsidR="004A7856" w:rsidRPr="00DC06D4" w:rsidRDefault="00DC06D4" w:rsidP="00FA4EED">
    <w:pPr>
      <w:pStyle w:val="Footer"/>
      <w:tabs>
        <w:tab w:val="clear" w:pos="4513"/>
      </w:tabs>
      <w:rPr>
        <w:color w:val="0E2444" w:themeColor="accent1"/>
      </w:rPr>
    </w:pPr>
    <w:r w:rsidRPr="005D281C">
      <w:rPr>
        <w:b/>
        <w:bCs/>
        <w:color w:val="0F4F82" w:themeColor="accent4"/>
      </w:rPr>
      <w:t xml:space="preserve">| </w:t>
    </w:r>
    <w:r w:rsidRPr="005D281C">
      <w:rPr>
        <w:b/>
        <w:bCs/>
        <w:color w:val="0E2444" w:themeColor="accent1"/>
      </w:rPr>
      <w:t>business.</w:t>
    </w:r>
    <w:r w:rsidRPr="005D281C">
      <w:rPr>
        <w:b/>
        <w:bCs/>
        <w:noProof/>
        <w:color w:val="0E2444" w:themeColor="accent1"/>
      </w:rPr>
      <w:t xml:space="preserve"> </w:t>
    </w:r>
    <w:r w:rsidRPr="005D281C">
      <w:rPr>
        <w:color w:val="0E2444" w:themeColor="accent1"/>
      </w:rPr>
      <w:t>gov.au/</w:t>
    </w:r>
    <w:proofErr w:type="spellStart"/>
    <w:r w:rsidRPr="005D281C">
      <w:rPr>
        <w:color w:val="0E2444" w:themeColor="accent1"/>
      </w:rPr>
      <w:t>crc</w:t>
    </w:r>
    <w:proofErr w:type="spellEnd"/>
    <w:r w:rsidR="004A7856">
      <w:tab/>
    </w:r>
    <w:sdt>
      <w:sdtPr>
        <w:id w:val="1655647692"/>
        <w:docPartObj>
          <w:docPartGallery w:val="Page Numbers (Bottom of Page)"/>
          <w:docPartUnique/>
        </w:docPartObj>
      </w:sdtPr>
      <w:sdtEndPr>
        <w:rPr>
          <w:noProof/>
        </w:rPr>
      </w:sdtEndPr>
      <w:sdtContent>
        <w:sdt>
          <w:sdtPr>
            <w:id w:val="1558515043"/>
            <w:docPartObj>
              <w:docPartGallery w:val="Page Numbers (Bottom of Page)"/>
              <w:docPartUnique/>
            </w:docPartObj>
          </w:sdtPr>
          <w:sdtEndPr>
            <w:rPr>
              <w:noProof/>
            </w:rPr>
          </w:sdtEndPr>
          <w:sdtContent>
            <w:sdt>
              <w:sdtPr>
                <w:id w:val="-327370459"/>
                <w:docPartObj>
                  <w:docPartGallery w:val="Page Numbers (Bottom of Page)"/>
                  <w:docPartUnique/>
                </w:docPartObj>
              </w:sdtPr>
              <w:sdtEndPr>
                <w:rPr>
                  <w:noProof/>
                </w:rPr>
              </w:sdtEndPr>
              <w:sdtContent>
                <w:r w:rsidR="00FA4EED" w:rsidRPr="00A53BD7">
                  <w:t xml:space="preserve">Page </w:t>
                </w:r>
                <w:r w:rsidR="00FA4EED" w:rsidRPr="00A53BD7">
                  <w:fldChar w:fldCharType="begin"/>
                </w:r>
                <w:r w:rsidR="00FA4EED" w:rsidRPr="00A53BD7">
                  <w:instrText xml:space="preserve"> PAGE  \* Arabic  \* MERGEFORMAT </w:instrText>
                </w:r>
                <w:r w:rsidR="00FA4EED" w:rsidRPr="00A53BD7">
                  <w:fldChar w:fldCharType="separate"/>
                </w:r>
                <w:r w:rsidR="00FA4EED">
                  <w:t>2</w:t>
                </w:r>
                <w:r w:rsidR="00FA4EED" w:rsidRPr="00A53BD7">
                  <w:fldChar w:fldCharType="end"/>
                </w:r>
                <w:r w:rsidR="00FA4EED" w:rsidRPr="00A53BD7">
                  <w:t xml:space="preserve"> of </w:t>
                </w:r>
                <w:fldSimple w:instr=" NUMPAGES  \* Arabic  \* MERGEFORMAT ">
                  <w:r w:rsidR="00FA4EED">
                    <w:t>14</w:t>
                  </w:r>
                </w:fldSimple>
              </w:sdtContent>
            </w:sdt>
          </w:sdtContent>
        </w:sdt>
      </w:sdtContent>
    </w:sdt>
  </w:p>
  <w:p w14:paraId="663CD0A3" w14:textId="0567662E" w:rsidR="004A7856" w:rsidRPr="004A7856" w:rsidRDefault="00D709C4" w:rsidP="004A7856">
    <w:pPr>
      <w:pStyle w:val="Footer"/>
      <w:jc w:val="center"/>
      <w:rPr>
        <w:b/>
        <w:color w:val="CC0000"/>
        <w:sz w:val="24"/>
        <w:szCs w:val="24"/>
      </w:rPr>
    </w:pPr>
    <w:r>
      <w:rPr>
        <w:b/>
        <w:color w:val="CC0000"/>
        <w:sz w:val="24"/>
        <w:szCs w:val="24"/>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4BB90" w14:textId="77777777" w:rsidR="00AD7672" w:rsidRDefault="00AD7672" w:rsidP="00B251DB">
      <w:pPr>
        <w:spacing w:after="0"/>
      </w:pPr>
      <w:r>
        <w:separator/>
      </w:r>
    </w:p>
  </w:footnote>
  <w:footnote w:type="continuationSeparator" w:id="0">
    <w:p w14:paraId="727B0A49" w14:textId="77777777" w:rsidR="00AD7672" w:rsidRDefault="00AD7672" w:rsidP="00B251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CB69" w14:textId="565FCC1F" w:rsidR="003A0E7F" w:rsidRPr="00960D98" w:rsidRDefault="00D709C4" w:rsidP="00960D98">
    <w:pPr>
      <w:pStyle w:val="Footer"/>
      <w:jc w:val="center"/>
      <w:rPr>
        <w:b/>
        <w:color w:val="CC0000"/>
        <w:sz w:val="24"/>
        <w:szCs w:val="24"/>
      </w:rPr>
    </w:pPr>
    <w:r>
      <w:rPr>
        <w:b/>
        <w:color w:val="CC0000"/>
        <w:sz w:val="24"/>
        <w:szCs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A7D7" w14:textId="67A33A6C" w:rsidR="009830D1" w:rsidRDefault="009830D1">
    <w:pPr>
      <w:pStyle w:val="Header"/>
    </w:pPr>
    <w:r w:rsidRPr="009830D1">
      <w:rPr>
        <w:noProof/>
      </w:rPr>
      <mc:AlternateContent>
        <mc:Choice Requires="wps">
          <w:drawing>
            <wp:anchor distT="0" distB="0" distL="114300" distR="114300" simplePos="0" relativeHeight="251659264" behindDoc="0" locked="0" layoutInCell="1" allowOverlap="1" wp14:anchorId="467F6076" wp14:editId="002C70C6">
              <wp:simplePos x="0" y="0"/>
              <wp:positionH relativeFrom="column">
                <wp:posOffset>-904875</wp:posOffset>
              </wp:positionH>
              <wp:positionV relativeFrom="paragraph">
                <wp:posOffset>-530860</wp:posOffset>
              </wp:positionV>
              <wp:extent cx="1962150" cy="283208"/>
              <wp:effectExtent l="0" t="0" r="0" b="3175"/>
              <wp:wrapNone/>
              <wp:docPr id="7"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62150" cy="283208"/>
                      </a:xfrm>
                      <a:custGeom>
                        <a:avLst/>
                        <a:gdLst>
                          <a:gd name="connsiteX0" fmla="*/ 0 w 2332168"/>
                          <a:gd name="connsiteY0" fmla="*/ 0 h 336570"/>
                          <a:gd name="connsiteX1" fmla="*/ 2332168 w 2332168"/>
                          <a:gd name="connsiteY1" fmla="*/ 0 h 336570"/>
                          <a:gd name="connsiteX2" fmla="*/ 2332168 w 2332168"/>
                          <a:gd name="connsiteY2" fmla="*/ 336570 h 336570"/>
                          <a:gd name="connsiteX3" fmla="*/ 0 w 2332168"/>
                          <a:gd name="connsiteY3" fmla="*/ 336570 h 336570"/>
                          <a:gd name="connsiteX4" fmla="*/ 0 w 2332168"/>
                          <a:gd name="connsiteY4" fmla="*/ 0 h 336570"/>
                          <a:gd name="connsiteX0" fmla="*/ 0 w 2332168"/>
                          <a:gd name="connsiteY0" fmla="*/ 0 h 336570"/>
                          <a:gd name="connsiteX1" fmla="*/ 2332168 w 2332168"/>
                          <a:gd name="connsiteY1" fmla="*/ 0 h 336570"/>
                          <a:gd name="connsiteX2" fmla="*/ 2266641 w 2332168"/>
                          <a:gd name="connsiteY2" fmla="*/ 196581 h 336570"/>
                          <a:gd name="connsiteX3" fmla="*/ 0 w 2332168"/>
                          <a:gd name="connsiteY3" fmla="*/ 336570 h 336570"/>
                          <a:gd name="connsiteX4" fmla="*/ 0 w 2332168"/>
                          <a:gd name="connsiteY4" fmla="*/ 0 h 3365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32168" h="336570">
                            <a:moveTo>
                              <a:pt x="0" y="0"/>
                            </a:moveTo>
                            <a:lnTo>
                              <a:pt x="2332168" y="0"/>
                            </a:lnTo>
                            <a:lnTo>
                              <a:pt x="2266641" y="196581"/>
                            </a:lnTo>
                            <a:lnTo>
                              <a:pt x="0" y="336570"/>
                            </a:lnTo>
                            <a:lnTo>
                              <a:pt x="0" y="0"/>
                            </a:lnTo>
                            <a:close/>
                          </a:path>
                        </a:pathLst>
                      </a:custGeom>
                      <a:solidFill>
                        <a:schemeClr val="accent4"/>
                      </a:solidFill>
                      <a:ln>
                        <a:noFill/>
                      </a:ln>
                    </wps:spPr>
                    <wps:style>
                      <a:lnRef idx="0">
                        <a:scrgbClr r="0" g="0" b="0"/>
                      </a:lnRef>
                      <a:fillRef idx="0">
                        <a:scrgbClr r="0" g="0" b="0"/>
                      </a:fillRef>
                      <a:effectRef idx="0">
                        <a:scrgbClr r="0" g="0" b="0"/>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4675A71" id="Rectangle 12" o:spid="_x0000_s1026" alt="&quot;&quot;" style="position:absolute;margin-left:-71.25pt;margin-top:-41.8pt;width:154.5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2168,33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" path="m,l2332168,r-65527,196581l,336570,,xe" fillcolor="#0f4f82 [3207]" stroked="f">
              <v:path arrowok="t" o:connecttype="custom" o:connectlocs="0,0;1962150,0;1907019,165414;0,283208;0,0"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83E0F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0CCF4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347E20"/>
    <w:multiLevelType w:val="hybridMultilevel"/>
    <w:tmpl w:val="ADAAF8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D816AE"/>
    <w:multiLevelType w:val="hybridMultilevel"/>
    <w:tmpl w:val="6D443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70787A"/>
    <w:multiLevelType w:val="hybridMultilevel"/>
    <w:tmpl w:val="78282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9A2EAA"/>
    <w:multiLevelType w:val="hybridMultilevel"/>
    <w:tmpl w:val="D138DB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2A5BE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94D74F4"/>
    <w:multiLevelType w:val="hybridMultilevel"/>
    <w:tmpl w:val="D6283F8E"/>
    <w:lvl w:ilvl="0" w:tplc="6A00F20A">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DC5775"/>
    <w:multiLevelType w:val="hybridMultilevel"/>
    <w:tmpl w:val="007C0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3804A0"/>
    <w:multiLevelType w:val="hybridMultilevel"/>
    <w:tmpl w:val="1ECAB55C"/>
    <w:lvl w:ilvl="0" w:tplc="157C78E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4D0348"/>
    <w:multiLevelType w:val="hybridMultilevel"/>
    <w:tmpl w:val="0A304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D44A0"/>
    <w:multiLevelType w:val="hybridMultilevel"/>
    <w:tmpl w:val="DD3E39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F078C0"/>
    <w:multiLevelType w:val="hybridMultilevel"/>
    <w:tmpl w:val="6A641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E990CF7"/>
    <w:multiLevelType w:val="hybridMultilevel"/>
    <w:tmpl w:val="26CE14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8A6C3F"/>
    <w:multiLevelType w:val="hybridMultilevel"/>
    <w:tmpl w:val="1310A4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826923"/>
    <w:multiLevelType w:val="hybridMultilevel"/>
    <w:tmpl w:val="495A7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243EC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7856E7"/>
    <w:multiLevelType w:val="hybridMultilevel"/>
    <w:tmpl w:val="26AC02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0916D7"/>
    <w:multiLevelType w:val="hybridMultilevel"/>
    <w:tmpl w:val="561AB8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7F4B1A"/>
    <w:multiLevelType w:val="hybridMultilevel"/>
    <w:tmpl w:val="13BEC9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52E10FD"/>
    <w:multiLevelType w:val="hybridMultilevel"/>
    <w:tmpl w:val="66D46394"/>
    <w:lvl w:ilvl="0" w:tplc="E2F097D6">
      <w:numFmt w:val="bullet"/>
      <w:pStyle w:val="ListParagraph"/>
      <w:lvlText w:val=""/>
      <w:lvlJc w:val="left"/>
      <w:pPr>
        <w:ind w:left="567" w:hanging="567"/>
      </w:pPr>
      <w:rPr>
        <w:rFonts w:ascii="Symbol" w:eastAsiaTheme="minorHAnsi" w:hAnsi="Symbol" w:cstheme="minorBidi" w:hint="default"/>
      </w:rPr>
    </w:lvl>
    <w:lvl w:ilvl="1" w:tplc="6606920E">
      <w:numFmt w:val="bullet"/>
      <w:lvlText w:val="-"/>
      <w:lvlJc w:val="left"/>
      <w:pPr>
        <w:ind w:left="1134" w:hanging="567"/>
      </w:pPr>
      <w:rPr>
        <w:rFonts w:ascii="Calibri" w:eastAsiaTheme="minorHAnsi" w:hAnsi="Calibri" w:hint="default"/>
      </w:rPr>
    </w:lvl>
    <w:lvl w:ilvl="2" w:tplc="75C69B6E">
      <w:start w:val="1"/>
      <w:numFmt w:val="bullet"/>
      <w:lvlText w:val=""/>
      <w:lvlJc w:val="left"/>
      <w:pPr>
        <w:ind w:left="1701" w:hanging="567"/>
      </w:pPr>
      <w:rPr>
        <w:rFonts w:ascii="Wingdings" w:hAnsi="Wingdings" w:hint="default"/>
      </w:rPr>
    </w:lvl>
    <w:lvl w:ilvl="3" w:tplc="B84A8EA2">
      <w:start w:val="1"/>
      <w:numFmt w:val="bullet"/>
      <w:lvlText w:val=""/>
      <w:lvlJc w:val="left"/>
      <w:pPr>
        <w:ind w:left="2268" w:hanging="567"/>
      </w:pPr>
      <w:rPr>
        <w:rFonts w:ascii="Symbol" w:hAnsi="Symbol" w:hint="default"/>
      </w:rPr>
    </w:lvl>
    <w:lvl w:ilvl="4" w:tplc="9E469228">
      <w:start w:val="1"/>
      <w:numFmt w:val="bullet"/>
      <w:lvlText w:val="o"/>
      <w:lvlJc w:val="left"/>
      <w:pPr>
        <w:ind w:left="2835" w:hanging="567"/>
      </w:pPr>
      <w:rPr>
        <w:rFonts w:ascii="Courier New" w:hAnsi="Courier New" w:hint="default"/>
      </w:rPr>
    </w:lvl>
    <w:lvl w:ilvl="5" w:tplc="406CF0B6">
      <w:start w:val="1"/>
      <w:numFmt w:val="bullet"/>
      <w:lvlText w:val=""/>
      <w:lvlJc w:val="left"/>
      <w:pPr>
        <w:ind w:left="3402" w:hanging="567"/>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5E78A8"/>
    <w:multiLevelType w:val="hybridMultilevel"/>
    <w:tmpl w:val="CF22F768"/>
    <w:lvl w:ilvl="0" w:tplc="0D524BF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A7C0F28"/>
    <w:multiLevelType w:val="hybridMultilevel"/>
    <w:tmpl w:val="2256A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4848E9"/>
    <w:multiLevelType w:val="hybridMultilevel"/>
    <w:tmpl w:val="6D4696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5074E5"/>
    <w:multiLevelType w:val="hybridMultilevel"/>
    <w:tmpl w:val="15CA3E48"/>
    <w:lvl w:ilvl="0" w:tplc="93BAD356">
      <w:start w:val="1"/>
      <w:numFmt w:val="decimal"/>
      <w:lvlText w:val="%1."/>
      <w:lvlJc w:val="left"/>
      <w:pPr>
        <w:ind w:left="567" w:hanging="567"/>
      </w:pPr>
      <w:rPr>
        <w:rFonts w:hint="default"/>
      </w:rPr>
    </w:lvl>
    <w:lvl w:ilvl="1" w:tplc="D2E408C2">
      <w:start w:val="1"/>
      <w:numFmt w:val="lowerLetter"/>
      <w:lvlText w:val="%2."/>
      <w:lvlJc w:val="left"/>
      <w:pPr>
        <w:ind w:left="1134" w:hanging="567"/>
      </w:pPr>
      <w:rPr>
        <w:rFonts w:hint="default"/>
      </w:rPr>
    </w:lvl>
    <w:lvl w:ilvl="2" w:tplc="528088D0">
      <w:start w:val="1"/>
      <w:numFmt w:val="lowerRoman"/>
      <w:lvlText w:val="%3."/>
      <w:lvlJc w:val="right"/>
      <w:pPr>
        <w:ind w:left="1701" w:hanging="567"/>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72E1DA5"/>
    <w:multiLevelType w:val="hybridMultilevel"/>
    <w:tmpl w:val="0D26EB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450310"/>
    <w:multiLevelType w:val="hybridMultilevel"/>
    <w:tmpl w:val="55609B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E91DD4"/>
    <w:multiLevelType w:val="hybridMultilevel"/>
    <w:tmpl w:val="1DF8F2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0406B6"/>
    <w:multiLevelType w:val="hybridMultilevel"/>
    <w:tmpl w:val="65AE5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DA7A90"/>
    <w:multiLevelType w:val="hybridMultilevel"/>
    <w:tmpl w:val="B05E7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737968"/>
    <w:multiLevelType w:val="hybridMultilevel"/>
    <w:tmpl w:val="EB747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2605387">
    <w:abstractNumId w:val="20"/>
  </w:num>
  <w:num w:numId="2" w16cid:durableId="648444589">
    <w:abstractNumId w:val="24"/>
  </w:num>
  <w:num w:numId="3" w16cid:durableId="1474374502">
    <w:abstractNumId w:val="6"/>
  </w:num>
  <w:num w:numId="4" w16cid:durableId="660547498">
    <w:abstractNumId w:val="1"/>
  </w:num>
  <w:num w:numId="5" w16cid:durableId="1405948882">
    <w:abstractNumId w:val="0"/>
  </w:num>
  <w:num w:numId="6" w16cid:durableId="1770931210">
    <w:abstractNumId w:val="7"/>
  </w:num>
  <w:num w:numId="7" w16cid:durableId="1514956900">
    <w:abstractNumId w:val="12"/>
  </w:num>
  <w:num w:numId="8" w16cid:durableId="1928151220">
    <w:abstractNumId w:val="21"/>
  </w:num>
  <w:num w:numId="9" w16cid:durableId="1919442051">
    <w:abstractNumId w:val="19"/>
  </w:num>
  <w:num w:numId="10" w16cid:durableId="1899172467">
    <w:abstractNumId w:val="22"/>
  </w:num>
  <w:num w:numId="11" w16cid:durableId="99105915">
    <w:abstractNumId w:val="25"/>
  </w:num>
  <w:num w:numId="12" w16cid:durableId="1868710800">
    <w:abstractNumId w:val="11"/>
  </w:num>
  <w:num w:numId="13" w16cid:durableId="1086152865">
    <w:abstractNumId w:val="14"/>
  </w:num>
  <w:num w:numId="14" w16cid:durableId="1136412618">
    <w:abstractNumId w:val="15"/>
  </w:num>
  <w:num w:numId="15" w16cid:durableId="1376391534">
    <w:abstractNumId w:val="17"/>
  </w:num>
  <w:num w:numId="16" w16cid:durableId="1841120121">
    <w:abstractNumId w:val="3"/>
  </w:num>
  <w:num w:numId="17" w16cid:durableId="1009524385">
    <w:abstractNumId w:val="18"/>
  </w:num>
  <w:num w:numId="18" w16cid:durableId="889338984">
    <w:abstractNumId w:val="4"/>
  </w:num>
  <w:num w:numId="19" w16cid:durableId="666981848">
    <w:abstractNumId w:val="8"/>
  </w:num>
  <w:num w:numId="20" w16cid:durableId="189145883">
    <w:abstractNumId w:val="10"/>
  </w:num>
  <w:num w:numId="21" w16cid:durableId="194468918">
    <w:abstractNumId w:val="30"/>
  </w:num>
  <w:num w:numId="22" w16cid:durableId="1085493113">
    <w:abstractNumId w:val="2"/>
  </w:num>
  <w:num w:numId="23" w16cid:durableId="368263929">
    <w:abstractNumId w:val="27"/>
  </w:num>
  <w:num w:numId="24" w16cid:durableId="348070024">
    <w:abstractNumId w:val="13"/>
  </w:num>
  <w:num w:numId="25" w16cid:durableId="1035731881">
    <w:abstractNumId w:val="29"/>
  </w:num>
  <w:num w:numId="26" w16cid:durableId="728310929">
    <w:abstractNumId w:val="26"/>
  </w:num>
  <w:num w:numId="27" w16cid:durableId="1984920356">
    <w:abstractNumId w:val="5"/>
  </w:num>
  <w:num w:numId="28" w16cid:durableId="1903787932">
    <w:abstractNumId w:val="23"/>
  </w:num>
  <w:num w:numId="29" w16cid:durableId="207302369">
    <w:abstractNumId w:val="16"/>
  </w:num>
  <w:num w:numId="30" w16cid:durableId="721639552">
    <w:abstractNumId w:val="28"/>
  </w:num>
  <w:num w:numId="31" w16cid:durableId="1377967973">
    <w:abstractNumId w:val="9"/>
  </w:num>
  <w:num w:numId="32" w16cid:durableId="2087921639">
    <w:abstractNumId w:val="20"/>
  </w:num>
  <w:num w:numId="33" w16cid:durableId="1318534068">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672"/>
    <w:rsid w:val="00003766"/>
    <w:rsid w:val="00032995"/>
    <w:rsid w:val="00034867"/>
    <w:rsid w:val="00043F36"/>
    <w:rsid w:val="000552B3"/>
    <w:rsid w:val="0007067B"/>
    <w:rsid w:val="000772E4"/>
    <w:rsid w:val="0008167B"/>
    <w:rsid w:val="00081D07"/>
    <w:rsid w:val="00090DDB"/>
    <w:rsid w:val="000A75CB"/>
    <w:rsid w:val="000B6C60"/>
    <w:rsid w:val="000C3494"/>
    <w:rsid w:val="000D6BE3"/>
    <w:rsid w:val="000E0F53"/>
    <w:rsid w:val="000E599A"/>
    <w:rsid w:val="000E5C60"/>
    <w:rsid w:val="000F2564"/>
    <w:rsid w:val="00153C15"/>
    <w:rsid w:val="00171757"/>
    <w:rsid w:val="0018753C"/>
    <w:rsid w:val="001A38CC"/>
    <w:rsid w:val="001B314C"/>
    <w:rsid w:val="001D216A"/>
    <w:rsid w:val="001D2E82"/>
    <w:rsid w:val="001D51DA"/>
    <w:rsid w:val="001F5AB1"/>
    <w:rsid w:val="00205DF3"/>
    <w:rsid w:val="0022083E"/>
    <w:rsid w:val="00222D0B"/>
    <w:rsid w:val="00241D3D"/>
    <w:rsid w:val="00254DA8"/>
    <w:rsid w:val="00266F7C"/>
    <w:rsid w:val="00272B04"/>
    <w:rsid w:val="00274C94"/>
    <w:rsid w:val="00282ED3"/>
    <w:rsid w:val="002A101F"/>
    <w:rsid w:val="002B3A3A"/>
    <w:rsid w:val="002B5C69"/>
    <w:rsid w:val="002D230B"/>
    <w:rsid w:val="002F60C0"/>
    <w:rsid w:val="0030627F"/>
    <w:rsid w:val="0031048E"/>
    <w:rsid w:val="0031654A"/>
    <w:rsid w:val="00330C0B"/>
    <w:rsid w:val="0035140F"/>
    <w:rsid w:val="00393784"/>
    <w:rsid w:val="003A0E7F"/>
    <w:rsid w:val="003D38ED"/>
    <w:rsid w:val="003D747D"/>
    <w:rsid w:val="00406032"/>
    <w:rsid w:val="00423B2E"/>
    <w:rsid w:val="00423D13"/>
    <w:rsid w:val="0043720A"/>
    <w:rsid w:val="004632E9"/>
    <w:rsid w:val="0046678C"/>
    <w:rsid w:val="00480F14"/>
    <w:rsid w:val="0048236F"/>
    <w:rsid w:val="004A7856"/>
    <w:rsid w:val="004B4254"/>
    <w:rsid w:val="004D3B0F"/>
    <w:rsid w:val="004E23A9"/>
    <w:rsid w:val="004E5181"/>
    <w:rsid w:val="004E75D2"/>
    <w:rsid w:val="004F5BB1"/>
    <w:rsid w:val="00507590"/>
    <w:rsid w:val="00512647"/>
    <w:rsid w:val="00516B0E"/>
    <w:rsid w:val="00527381"/>
    <w:rsid w:val="005278DC"/>
    <w:rsid w:val="005419C2"/>
    <w:rsid w:val="005706FD"/>
    <w:rsid w:val="00572521"/>
    <w:rsid w:val="0057695E"/>
    <w:rsid w:val="005777BC"/>
    <w:rsid w:val="00584B74"/>
    <w:rsid w:val="005A0AC9"/>
    <w:rsid w:val="005A1B5C"/>
    <w:rsid w:val="005D27F7"/>
    <w:rsid w:val="005E5F5F"/>
    <w:rsid w:val="00603DDF"/>
    <w:rsid w:val="00607188"/>
    <w:rsid w:val="006337C7"/>
    <w:rsid w:val="00671D1D"/>
    <w:rsid w:val="00671FC8"/>
    <w:rsid w:val="0068286F"/>
    <w:rsid w:val="00695B12"/>
    <w:rsid w:val="00697567"/>
    <w:rsid w:val="00697C73"/>
    <w:rsid w:val="006C461F"/>
    <w:rsid w:val="006C4C9C"/>
    <w:rsid w:val="006D2221"/>
    <w:rsid w:val="006E1636"/>
    <w:rsid w:val="006E1E6A"/>
    <w:rsid w:val="006E4001"/>
    <w:rsid w:val="006F58A5"/>
    <w:rsid w:val="00703734"/>
    <w:rsid w:val="00711349"/>
    <w:rsid w:val="00723C5D"/>
    <w:rsid w:val="0073362E"/>
    <w:rsid w:val="007833EE"/>
    <w:rsid w:val="007B553F"/>
    <w:rsid w:val="00806473"/>
    <w:rsid w:val="00826293"/>
    <w:rsid w:val="0084705E"/>
    <w:rsid w:val="00853A7A"/>
    <w:rsid w:val="00864875"/>
    <w:rsid w:val="008653E9"/>
    <w:rsid w:val="00872DFF"/>
    <w:rsid w:val="00892B6E"/>
    <w:rsid w:val="008B7B1E"/>
    <w:rsid w:val="008C3B21"/>
    <w:rsid w:val="008D244C"/>
    <w:rsid w:val="008E24EB"/>
    <w:rsid w:val="008E3C31"/>
    <w:rsid w:val="008E5E4B"/>
    <w:rsid w:val="008F2820"/>
    <w:rsid w:val="009059E9"/>
    <w:rsid w:val="0091556D"/>
    <w:rsid w:val="00917329"/>
    <w:rsid w:val="00922DE1"/>
    <w:rsid w:val="00960D98"/>
    <w:rsid w:val="009830D1"/>
    <w:rsid w:val="009A549D"/>
    <w:rsid w:val="009A64AF"/>
    <w:rsid w:val="009C60B9"/>
    <w:rsid w:val="009E39E6"/>
    <w:rsid w:val="00A52F3D"/>
    <w:rsid w:val="00A61699"/>
    <w:rsid w:val="00A6365B"/>
    <w:rsid w:val="00A70EC2"/>
    <w:rsid w:val="00A731BB"/>
    <w:rsid w:val="00AA740C"/>
    <w:rsid w:val="00AD22BA"/>
    <w:rsid w:val="00AD7672"/>
    <w:rsid w:val="00AE1721"/>
    <w:rsid w:val="00B15C01"/>
    <w:rsid w:val="00B17B99"/>
    <w:rsid w:val="00B251DB"/>
    <w:rsid w:val="00B26C25"/>
    <w:rsid w:val="00B35C0C"/>
    <w:rsid w:val="00B40A60"/>
    <w:rsid w:val="00B45B98"/>
    <w:rsid w:val="00B62EDE"/>
    <w:rsid w:val="00BB350F"/>
    <w:rsid w:val="00BD0F8A"/>
    <w:rsid w:val="00BE1CB4"/>
    <w:rsid w:val="00BE53C7"/>
    <w:rsid w:val="00BE6EEA"/>
    <w:rsid w:val="00C43D48"/>
    <w:rsid w:val="00C50A9A"/>
    <w:rsid w:val="00C65E4E"/>
    <w:rsid w:val="00CB2DE1"/>
    <w:rsid w:val="00CB7499"/>
    <w:rsid w:val="00CE4789"/>
    <w:rsid w:val="00CE6BBD"/>
    <w:rsid w:val="00CE7F17"/>
    <w:rsid w:val="00D220CF"/>
    <w:rsid w:val="00D27B99"/>
    <w:rsid w:val="00D64BFA"/>
    <w:rsid w:val="00D709C4"/>
    <w:rsid w:val="00D841E9"/>
    <w:rsid w:val="00D9122B"/>
    <w:rsid w:val="00D964F0"/>
    <w:rsid w:val="00DC06D4"/>
    <w:rsid w:val="00DE04A8"/>
    <w:rsid w:val="00DE1060"/>
    <w:rsid w:val="00E01D7D"/>
    <w:rsid w:val="00E04DA0"/>
    <w:rsid w:val="00E11B00"/>
    <w:rsid w:val="00E3027E"/>
    <w:rsid w:val="00E3494D"/>
    <w:rsid w:val="00E37443"/>
    <w:rsid w:val="00E51EC5"/>
    <w:rsid w:val="00E95372"/>
    <w:rsid w:val="00EA0739"/>
    <w:rsid w:val="00EB2A69"/>
    <w:rsid w:val="00EE1F4B"/>
    <w:rsid w:val="00F1441E"/>
    <w:rsid w:val="00F16FE0"/>
    <w:rsid w:val="00F22BB9"/>
    <w:rsid w:val="00F32757"/>
    <w:rsid w:val="00F3409A"/>
    <w:rsid w:val="00F50FA6"/>
    <w:rsid w:val="00F62B4E"/>
    <w:rsid w:val="00F669E4"/>
    <w:rsid w:val="00F66A4B"/>
    <w:rsid w:val="00FA4EED"/>
    <w:rsid w:val="00FE2694"/>
    <w:rsid w:val="00FE4569"/>
    <w:rsid w:val="00FE7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D6C2F"/>
  <w15:chartTrackingRefBased/>
  <w15:docId w15:val="{D05312F8-47C8-417A-8936-20FD905A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766"/>
    <w:pPr>
      <w:spacing w:before="120" w:after="120" w:line="240" w:lineRule="auto"/>
    </w:pPr>
    <w:rPr>
      <w:sz w:val="20"/>
    </w:rPr>
  </w:style>
  <w:style w:type="paragraph" w:styleId="Heading1">
    <w:name w:val="heading 1"/>
    <w:basedOn w:val="Normal"/>
    <w:next w:val="Normal"/>
    <w:link w:val="Heading1Char"/>
    <w:uiPriority w:val="9"/>
    <w:qFormat/>
    <w:rsid w:val="00917329"/>
    <w:pPr>
      <w:keepNext/>
      <w:keepLines/>
      <w:contextualSpacing/>
      <w:outlineLvl w:val="0"/>
    </w:pPr>
    <w:rPr>
      <w:rFonts w:asciiTheme="majorHAnsi" w:eastAsiaTheme="majorEastAsia" w:hAnsiTheme="majorHAnsi" w:cstheme="majorBidi"/>
      <w:color w:val="0E2444" w:themeColor="accent1"/>
      <w:sz w:val="72"/>
      <w:szCs w:val="32"/>
    </w:rPr>
  </w:style>
  <w:style w:type="paragraph" w:styleId="Heading2">
    <w:name w:val="heading 2"/>
    <w:basedOn w:val="Normal"/>
    <w:next w:val="Normal"/>
    <w:link w:val="Heading2Char"/>
    <w:uiPriority w:val="9"/>
    <w:unhideWhenUsed/>
    <w:qFormat/>
    <w:rsid w:val="00DC06D4"/>
    <w:pPr>
      <w:keepNext/>
      <w:keepLines/>
      <w:spacing w:before="360"/>
      <w:outlineLvl w:val="1"/>
    </w:pPr>
    <w:rPr>
      <w:rFonts w:asciiTheme="majorHAnsi" w:eastAsiaTheme="majorEastAsia" w:hAnsiTheme="majorHAnsi" w:cstheme="majorBidi"/>
      <w:color w:val="0F4F82" w:themeColor="accent4"/>
      <w:sz w:val="48"/>
      <w:szCs w:val="48"/>
    </w:rPr>
  </w:style>
  <w:style w:type="paragraph" w:styleId="Heading3">
    <w:name w:val="heading 3"/>
    <w:basedOn w:val="Normal"/>
    <w:next w:val="Normal"/>
    <w:link w:val="Heading3Char"/>
    <w:uiPriority w:val="9"/>
    <w:unhideWhenUsed/>
    <w:qFormat/>
    <w:rsid w:val="00DC06D4"/>
    <w:pPr>
      <w:keepNext/>
      <w:keepLines/>
      <w:spacing w:before="240"/>
      <w:outlineLvl w:val="2"/>
    </w:pPr>
    <w:rPr>
      <w:rFonts w:asciiTheme="majorHAnsi" w:eastAsiaTheme="majorEastAsia" w:hAnsiTheme="majorHAnsi" w:cstheme="majorBidi"/>
      <w:color w:val="0F4F82" w:themeColor="accent4"/>
      <w:sz w:val="40"/>
      <w:szCs w:val="40"/>
    </w:rPr>
  </w:style>
  <w:style w:type="paragraph" w:styleId="Heading4">
    <w:name w:val="heading 4"/>
    <w:basedOn w:val="Normal"/>
    <w:next w:val="Normal"/>
    <w:link w:val="Heading4Char"/>
    <w:uiPriority w:val="9"/>
    <w:unhideWhenUsed/>
    <w:qFormat/>
    <w:rsid w:val="00DC06D4"/>
    <w:pPr>
      <w:keepNext/>
      <w:keepLines/>
      <w:spacing w:before="240"/>
      <w:outlineLvl w:val="3"/>
    </w:pPr>
    <w:rPr>
      <w:rFonts w:asciiTheme="majorHAnsi" w:eastAsiaTheme="majorEastAsia" w:hAnsiTheme="majorHAnsi" w:cstheme="majorBidi"/>
      <w:iCs/>
      <w:color w:val="0F4F82" w:themeColor="accent4"/>
      <w:sz w:val="32"/>
      <w:szCs w:val="28"/>
    </w:rPr>
  </w:style>
  <w:style w:type="paragraph" w:styleId="Heading5">
    <w:name w:val="heading 5"/>
    <w:basedOn w:val="Normal"/>
    <w:next w:val="Normal"/>
    <w:link w:val="Heading5Char"/>
    <w:uiPriority w:val="9"/>
    <w:unhideWhenUsed/>
    <w:qFormat/>
    <w:rsid w:val="00DC06D4"/>
    <w:pPr>
      <w:keepNext/>
      <w:keepLines/>
      <w:spacing w:before="240"/>
      <w:outlineLvl w:val="4"/>
    </w:pPr>
    <w:rPr>
      <w:rFonts w:asciiTheme="majorHAnsi" w:eastAsiaTheme="majorEastAsia" w:hAnsiTheme="majorHAnsi" w:cstheme="majorBidi"/>
      <w:color w:val="0F4F82" w:themeColor="accent4"/>
      <w:sz w:val="26"/>
      <w:szCs w:val="26"/>
    </w:rPr>
  </w:style>
  <w:style w:type="paragraph" w:styleId="Heading6">
    <w:name w:val="heading 6"/>
    <w:basedOn w:val="Normal"/>
    <w:next w:val="Normal"/>
    <w:link w:val="Heading6Char"/>
    <w:uiPriority w:val="9"/>
    <w:unhideWhenUsed/>
    <w:qFormat/>
    <w:rsid w:val="00C50A9A"/>
    <w:pPr>
      <w:keepNext/>
      <w:keepLines/>
      <w:spacing w:before="240"/>
      <w:outlineLvl w:val="5"/>
    </w:pPr>
    <w:rPr>
      <w:rFonts w:asciiTheme="majorHAnsi" w:eastAsiaTheme="majorEastAsia" w:hAnsiTheme="majorHAnsi" w:cstheme="majorBidi"/>
      <w:color w:val="000000" w:themeColor="text1"/>
      <w:sz w:val="24"/>
    </w:rPr>
  </w:style>
  <w:style w:type="paragraph" w:styleId="Heading7">
    <w:name w:val="heading 7"/>
    <w:basedOn w:val="Normal"/>
    <w:next w:val="Normal"/>
    <w:link w:val="Heading7Char"/>
    <w:uiPriority w:val="9"/>
    <w:unhideWhenUsed/>
    <w:qFormat/>
    <w:rsid w:val="00C50A9A"/>
    <w:pPr>
      <w:keepNext/>
      <w:keepLines/>
      <w:spacing w:before="240"/>
      <w:outlineLvl w:val="6"/>
    </w:pPr>
    <w:rPr>
      <w:rFonts w:asciiTheme="majorHAnsi" w:eastAsiaTheme="majorEastAsia" w:hAnsiTheme="majorHAnsi" w:cstheme="majorBidi"/>
      <w:b/>
      <w:iCs/>
      <w:color w:val="0E2444" w:themeColor="accent1"/>
      <w:sz w:val="22"/>
    </w:rPr>
  </w:style>
  <w:style w:type="paragraph" w:styleId="Heading8">
    <w:name w:val="heading 8"/>
    <w:basedOn w:val="Normal"/>
    <w:next w:val="Normal"/>
    <w:link w:val="Heading8Char"/>
    <w:uiPriority w:val="9"/>
    <w:unhideWhenUsed/>
    <w:qFormat/>
    <w:rsid w:val="00C50A9A"/>
    <w:pPr>
      <w:keepNext/>
      <w:keepLines/>
      <w:spacing w:before="24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917329"/>
    <w:rPr>
      <w:rFonts w:asciiTheme="majorHAnsi" w:eastAsiaTheme="majorEastAsia" w:hAnsiTheme="majorHAnsi" w:cstheme="majorBidi"/>
      <w:color w:val="0E2444" w:themeColor="accent1"/>
      <w:sz w:val="72"/>
      <w:szCs w:val="32"/>
    </w:rPr>
  </w:style>
  <w:style w:type="table" w:customStyle="1" w:styleId="Verticaltable">
    <w:name w:val="Vertical table"/>
    <w:basedOn w:val="TableNormal"/>
    <w:uiPriority w:val="99"/>
    <w:rsid w:val="00DC06D4"/>
    <w:pPr>
      <w:spacing w:after="0" w:line="240" w:lineRule="auto"/>
    </w:pPr>
    <w:tblPr>
      <w:tblBorders>
        <w:top w:val="single" w:sz="4" w:space="0" w:color="0F4F82" w:themeColor="accent4"/>
        <w:left w:val="single" w:sz="4" w:space="0" w:color="0F4F82" w:themeColor="accent4"/>
        <w:bottom w:val="single" w:sz="4" w:space="0" w:color="0F4F82" w:themeColor="accent4"/>
        <w:right w:val="single" w:sz="4" w:space="0" w:color="0F4F82" w:themeColor="accent4"/>
        <w:insideH w:val="single" w:sz="4" w:space="0" w:color="0F4F82" w:themeColor="accent4"/>
        <w:insideV w:val="single" w:sz="4" w:space="0" w:color="0F4F82" w:themeColor="accent4"/>
      </w:tblBorders>
    </w:tblPr>
    <w:tblStylePr w:type="lastRow">
      <w:rPr>
        <w:b w:val="0"/>
      </w:rPr>
    </w:tblStylePr>
    <w:tblStylePr w:type="firstCol">
      <w:rPr>
        <w:b/>
        <w:color w:val="FFFFFF" w:themeColor="background1"/>
      </w:rPr>
      <w:tblPr/>
      <w:tcPr>
        <w:shd w:val="clear" w:color="auto" w:fill="0F4F82" w:themeFill="accent4"/>
      </w:tcPr>
    </w:tblStylePr>
  </w:style>
  <w:style w:type="character" w:styleId="FollowedHyperlink">
    <w:name w:val="FollowedHyperlink"/>
    <w:basedOn w:val="DefaultParagraphFont"/>
    <w:uiPriority w:val="99"/>
    <w:semiHidden/>
    <w:unhideWhenUsed/>
    <w:rsid w:val="00872DFF"/>
    <w:rPr>
      <w:color w:val="954F72" w:themeColor="followedHyperlink"/>
      <w:u w:val="single"/>
    </w:rPr>
  </w:style>
  <w:style w:type="paragraph" w:styleId="Subtitle">
    <w:name w:val="Subtitle"/>
    <w:basedOn w:val="Normal"/>
    <w:next w:val="Normal"/>
    <w:link w:val="SubtitleChar"/>
    <w:uiPriority w:val="11"/>
    <w:qFormat/>
    <w:rsid w:val="00DC06D4"/>
    <w:pPr>
      <w:numPr>
        <w:ilvl w:val="1"/>
      </w:numPr>
    </w:pPr>
    <w:rPr>
      <w:rFonts w:eastAsiaTheme="minorEastAsia"/>
      <w:color w:val="0F4F82" w:themeColor="accent4"/>
      <w:sz w:val="40"/>
    </w:rPr>
  </w:style>
  <w:style w:type="character" w:customStyle="1" w:styleId="SubtitleChar">
    <w:name w:val="Subtitle Char"/>
    <w:basedOn w:val="DefaultParagraphFont"/>
    <w:link w:val="Subtitle"/>
    <w:uiPriority w:val="11"/>
    <w:rsid w:val="00DC06D4"/>
    <w:rPr>
      <w:rFonts w:eastAsiaTheme="minorEastAsia"/>
      <w:color w:val="0F4F82" w:themeColor="accent4"/>
      <w:sz w:val="40"/>
    </w:rPr>
  </w:style>
  <w:style w:type="character" w:customStyle="1" w:styleId="Heading2Char">
    <w:name w:val="Heading 2 Char"/>
    <w:basedOn w:val="DefaultParagraphFont"/>
    <w:link w:val="Heading2"/>
    <w:uiPriority w:val="9"/>
    <w:rsid w:val="00DC06D4"/>
    <w:rPr>
      <w:rFonts w:asciiTheme="majorHAnsi" w:eastAsiaTheme="majorEastAsia" w:hAnsiTheme="majorHAnsi" w:cstheme="majorBidi"/>
      <w:color w:val="0F4F82" w:themeColor="accent4"/>
      <w:sz w:val="48"/>
      <w:szCs w:val="48"/>
    </w:rPr>
  </w:style>
  <w:style w:type="character" w:customStyle="1" w:styleId="Heading3Char">
    <w:name w:val="Heading 3 Char"/>
    <w:basedOn w:val="DefaultParagraphFont"/>
    <w:link w:val="Heading3"/>
    <w:uiPriority w:val="9"/>
    <w:rsid w:val="00DC06D4"/>
    <w:rPr>
      <w:rFonts w:asciiTheme="majorHAnsi" w:eastAsiaTheme="majorEastAsia" w:hAnsiTheme="majorHAnsi" w:cstheme="majorBidi"/>
      <w:color w:val="0F4F82" w:themeColor="accent4"/>
      <w:sz w:val="40"/>
      <w:szCs w:val="40"/>
    </w:rPr>
  </w:style>
  <w:style w:type="character" w:customStyle="1" w:styleId="Heading4Char">
    <w:name w:val="Heading 4 Char"/>
    <w:basedOn w:val="DefaultParagraphFont"/>
    <w:link w:val="Heading4"/>
    <w:uiPriority w:val="9"/>
    <w:rsid w:val="00DC06D4"/>
    <w:rPr>
      <w:rFonts w:asciiTheme="majorHAnsi" w:eastAsiaTheme="majorEastAsia" w:hAnsiTheme="majorHAnsi" w:cstheme="majorBidi"/>
      <w:iCs/>
      <w:color w:val="0F4F82" w:themeColor="accent4"/>
      <w:sz w:val="32"/>
      <w:szCs w:val="28"/>
    </w:rPr>
  </w:style>
  <w:style w:type="character" w:customStyle="1" w:styleId="Heading5Char">
    <w:name w:val="Heading 5 Char"/>
    <w:basedOn w:val="DefaultParagraphFont"/>
    <w:link w:val="Heading5"/>
    <w:uiPriority w:val="9"/>
    <w:rsid w:val="00DC06D4"/>
    <w:rPr>
      <w:rFonts w:asciiTheme="majorHAnsi" w:eastAsiaTheme="majorEastAsia" w:hAnsiTheme="majorHAnsi" w:cstheme="majorBidi"/>
      <w:color w:val="0F4F82" w:themeColor="accent4"/>
      <w:sz w:val="26"/>
      <w:szCs w:val="26"/>
    </w:rPr>
  </w:style>
  <w:style w:type="paragraph" w:styleId="Quote">
    <w:name w:val="Quote"/>
    <w:basedOn w:val="Normal"/>
    <w:next w:val="Normal"/>
    <w:link w:val="QuoteChar"/>
    <w:uiPriority w:val="29"/>
    <w:qFormat/>
    <w:rsid w:val="00A70EC2"/>
    <w:pPr>
      <w:pBdr>
        <w:top w:val="single" w:sz="4" w:space="6" w:color="095258" w:themeColor="text2"/>
        <w:bottom w:val="single" w:sz="4" w:space="6" w:color="095258" w:themeColor="text2"/>
      </w:pBdr>
      <w:spacing w:before="240" w:after="240"/>
      <w:ind w:right="2835"/>
    </w:pPr>
    <w:rPr>
      <w:iCs/>
      <w:color w:val="000000" w:themeColor="text1"/>
      <w:sz w:val="22"/>
      <w:szCs w:val="24"/>
    </w:rPr>
  </w:style>
  <w:style w:type="character" w:customStyle="1" w:styleId="QuoteChar">
    <w:name w:val="Quote Char"/>
    <w:basedOn w:val="DefaultParagraphFont"/>
    <w:link w:val="Quote"/>
    <w:uiPriority w:val="29"/>
    <w:rsid w:val="00A70EC2"/>
    <w:rPr>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Normal"/>
    <w:uiPriority w:val="34"/>
    <w:qFormat/>
    <w:rsid w:val="00090DDB"/>
    <w:pPr>
      <w:numPr>
        <w:numId w:val="1"/>
      </w:numPr>
      <w:spacing w:before="0"/>
    </w:pPr>
  </w:style>
  <w:style w:type="character" w:styleId="Hyperlink">
    <w:name w:val="Hyperlink"/>
    <w:basedOn w:val="DefaultParagraphFont"/>
    <w:uiPriority w:val="99"/>
    <w:unhideWhenUsed/>
    <w:rsid w:val="0031654A"/>
    <w:rPr>
      <w:color w:val="0F4F82" w:themeColor="accent4"/>
      <w:u w:val="single"/>
    </w:rPr>
  </w:style>
  <w:style w:type="table" w:styleId="TableGrid">
    <w:name w:val="Table Grid"/>
    <w:aliases w:val="DISR plain Table 1"/>
    <w:basedOn w:val="TableNormal"/>
    <w:uiPriority w:val="39"/>
    <w:rsid w:val="00577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5777BC"/>
    <w:rPr>
      <w:b/>
      <w:iCs/>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2"/>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43720A"/>
    <w:pPr>
      <w:spacing w:after="100"/>
    </w:pPr>
  </w:style>
  <w:style w:type="paragraph" w:styleId="TOC3">
    <w:name w:val="toc 3"/>
    <w:basedOn w:val="Normal"/>
    <w:next w:val="Normal"/>
    <w:autoRedefine/>
    <w:uiPriority w:val="39"/>
    <w:unhideWhenUsed/>
    <w:rsid w:val="0043720A"/>
    <w:pPr>
      <w:spacing w:after="100"/>
      <w:ind w:left="221"/>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993533" w:themeColor="accent2"/>
        <w:left w:val="single" w:sz="4" w:space="0" w:color="993533" w:themeColor="accent2"/>
        <w:bottom w:val="single" w:sz="4" w:space="0" w:color="993533" w:themeColor="accent2"/>
        <w:right w:val="single" w:sz="4" w:space="0" w:color="993533" w:themeColor="accent2"/>
      </w:tblBorders>
    </w:tblPr>
    <w:tblStylePr w:type="firstRow">
      <w:rPr>
        <w:b/>
        <w:bCs/>
        <w:color w:val="FFFFFF" w:themeColor="background1"/>
      </w:rPr>
      <w:tblPr/>
      <w:tcPr>
        <w:shd w:val="clear" w:color="auto" w:fill="993533" w:themeFill="accent2"/>
      </w:tcPr>
    </w:tblStylePr>
    <w:tblStylePr w:type="lastRow">
      <w:rPr>
        <w:b/>
        <w:bCs/>
      </w:rPr>
      <w:tblPr/>
      <w:tcPr>
        <w:tcBorders>
          <w:top w:val="double" w:sz="4" w:space="0" w:color="9935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3533" w:themeColor="accent2"/>
          <w:right w:val="single" w:sz="4" w:space="0" w:color="993533" w:themeColor="accent2"/>
        </w:tcBorders>
      </w:tcPr>
    </w:tblStylePr>
    <w:tblStylePr w:type="band1Horz">
      <w:tblPr/>
      <w:tcPr>
        <w:tcBorders>
          <w:top w:val="single" w:sz="4" w:space="0" w:color="993533" w:themeColor="accent2"/>
          <w:bottom w:val="single" w:sz="4" w:space="0" w:color="9935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3533" w:themeColor="accent2"/>
          <w:left w:val="nil"/>
        </w:tcBorders>
      </w:tcPr>
    </w:tblStylePr>
    <w:tblStylePr w:type="swCell">
      <w:tblPr/>
      <w:tcPr>
        <w:tcBorders>
          <w:top w:val="double" w:sz="4" w:space="0" w:color="993533"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40C0C6" w:themeColor="accent3"/>
        <w:left w:val="single" w:sz="4" w:space="0" w:color="40C0C6" w:themeColor="accent3"/>
        <w:bottom w:val="single" w:sz="4" w:space="0" w:color="40C0C6" w:themeColor="accent3"/>
        <w:right w:val="single" w:sz="4" w:space="0" w:color="40C0C6" w:themeColor="accent3"/>
      </w:tblBorders>
    </w:tblPr>
    <w:tblStylePr w:type="firstRow">
      <w:rPr>
        <w:b/>
        <w:bCs/>
        <w:color w:val="FFFFFF" w:themeColor="background1"/>
      </w:rPr>
      <w:tblPr/>
      <w:tcPr>
        <w:shd w:val="clear" w:color="auto" w:fill="40C0C6" w:themeFill="accent3"/>
      </w:tcPr>
    </w:tblStylePr>
    <w:tblStylePr w:type="lastRow">
      <w:rPr>
        <w:b/>
        <w:bCs/>
      </w:rPr>
      <w:tblPr/>
      <w:tcPr>
        <w:tcBorders>
          <w:top w:val="double" w:sz="4" w:space="0" w:color="40C0C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C0C6" w:themeColor="accent3"/>
          <w:right w:val="single" w:sz="4" w:space="0" w:color="40C0C6" w:themeColor="accent3"/>
        </w:tcBorders>
      </w:tcPr>
    </w:tblStylePr>
    <w:tblStylePr w:type="band1Horz">
      <w:tblPr/>
      <w:tcPr>
        <w:tcBorders>
          <w:top w:val="single" w:sz="4" w:space="0" w:color="40C0C6" w:themeColor="accent3"/>
          <w:bottom w:val="single" w:sz="4" w:space="0" w:color="40C0C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C0C6" w:themeColor="accent3"/>
          <w:left w:val="nil"/>
        </w:tcBorders>
      </w:tcPr>
    </w:tblStylePr>
    <w:tblStylePr w:type="swCell">
      <w:tblPr/>
      <w:tcPr>
        <w:tcBorders>
          <w:top w:val="double" w:sz="4" w:space="0" w:color="40C0C6" w:themeColor="accent3"/>
          <w:right w:val="nil"/>
        </w:tcBorders>
      </w:tcPr>
    </w:tblStylePr>
  </w:style>
  <w:style w:type="paragraph" w:styleId="IntenseQuote">
    <w:name w:val="Intense Quote"/>
    <w:basedOn w:val="Normal"/>
    <w:next w:val="Normal"/>
    <w:link w:val="IntenseQuoteChar"/>
    <w:uiPriority w:val="30"/>
    <w:qFormat/>
    <w:rsid w:val="00A70EC2"/>
    <w:pPr>
      <w:pBdr>
        <w:top w:val="single" w:sz="4" w:space="6" w:color="095258" w:themeColor="text2"/>
        <w:bottom w:val="single" w:sz="4" w:space="6" w:color="095258" w:themeColor="text2"/>
      </w:pBdr>
      <w:spacing w:before="360" w:after="360"/>
      <w:ind w:right="2835"/>
      <w:jc w:val="center"/>
    </w:pPr>
    <w:rPr>
      <w:b/>
      <w:iCs/>
      <w:sz w:val="24"/>
    </w:rPr>
  </w:style>
  <w:style w:type="character" w:customStyle="1" w:styleId="IntenseQuoteChar">
    <w:name w:val="Intense Quote Char"/>
    <w:basedOn w:val="DefaultParagraphFont"/>
    <w:link w:val="IntenseQuote"/>
    <w:uiPriority w:val="30"/>
    <w:rsid w:val="00A70EC2"/>
    <w:rPr>
      <w:b/>
      <w:iCs/>
      <w:sz w:val="24"/>
    </w:rPr>
  </w:style>
  <w:style w:type="paragraph" w:customStyle="1" w:styleId="Calloutbox">
    <w:name w:val="Call out box"/>
    <w:basedOn w:val="Normal"/>
    <w:qFormat/>
    <w:rsid w:val="008E24EB"/>
    <w:pPr>
      <w:pBdr>
        <w:top w:val="single" w:sz="4" w:space="6" w:color="D8F2F3" w:themeColor="accent3" w:themeTint="33"/>
        <w:left w:val="single" w:sz="4" w:space="4" w:color="D8F2F3" w:themeColor="accent3" w:themeTint="33"/>
        <w:bottom w:val="single" w:sz="4" w:space="6" w:color="D8F2F3" w:themeColor="accent3" w:themeTint="33"/>
        <w:right w:val="single" w:sz="4" w:space="4" w:color="D8F2F3" w:themeColor="accent3" w:themeTint="33"/>
      </w:pBdr>
      <w:shd w:val="clear" w:color="auto" w:fill="D8F2F3" w:themeFill="accent3" w:themeFillTint="33"/>
    </w:pPr>
  </w:style>
  <w:style w:type="character" w:customStyle="1" w:styleId="Heading6Char">
    <w:name w:val="Heading 6 Char"/>
    <w:basedOn w:val="DefaultParagraphFont"/>
    <w:link w:val="Heading6"/>
    <w:uiPriority w:val="9"/>
    <w:rsid w:val="00C50A9A"/>
    <w:rPr>
      <w:rFonts w:asciiTheme="majorHAnsi" w:eastAsiaTheme="majorEastAsia" w:hAnsiTheme="majorHAnsi" w:cstheme="majorBidi"/>
      <w:color w:val="000000" w:themeColor="text1"/>
      <w:sz w:val="24"/>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D17675" w:themeColor="accent2" w:themeTint="99"/>
        <w:left w:val="single" w:sz="4" w:space="0" w:color="D17675" w:themeColor="accent2" w:themeTint="99"/>
        <w:bottom w:val="single" w:sz="4" w:space="0" w:color="D17675" w:themeColor="accent2" w:themeTint="99"/>
        <w:right w:val="single" w:sz="4" w:space="0" w:color="D17675" w:themeColor="accent2" w:themeTint="99"/>
        <w:insideH w:val="single" w:sz="4" w:space="0" w:color="D17675" w:themeColor="accent2" w:themeTint="99"/>
        <w:insideV w:val="single" w:sz="4" w:space="0" w:color="D17675" w:themeColor="accent2" w:themeTint="99"/>
      </w:tblBorders>
    </w:tblPr>
    <w:tblStylePr w:type="firstRow">
      <w:rPr>
        <w:b/>
        <w:bCs/>
        <w:color w:val="FFFFFF" w:themeColor="background1"/>
      </w:rPr>
      <w:tblPr/>
      <w:tcPr>
        <w:tcBorders>
          <w:top w:val="single" w:sz="4" w:space="0" w:color="993533" w:themeColor="accent2"/>
          <w:left w:val="single" w:sz="4" w:space="0" w:color="993533" w:themeColor="accent2"/>
          <w:bottom w:val="single" w:sz="4" w:space="0" w:color="993533" w:themeColor="accent2"/>
          <w:right w:val="single" w:sz="4" w:space="0" w:color="993533" w:themeColor="accent2"/>
          <w:insideH w:val="nil"/>
          <w:insideV w:val="nil"/>
        </w:tcBorders>
        <w:shd w:val="clear" w:color="auto" w:fill="993533" w:themeFill="accent2"/>
      </w:tcPr>
    </w:tblStylePr>
    <w:tblStylePr w:type="lastRow">
      <w:rPr>
        <w:b/>
        <w:bCs/>
      </w:rPr>
      <w:tblPr/>
      <w:tcPr>
        <w:tcBorders>
          <w:top w:val="double" w:sz="4" w:space="0" w:color="993533" w:themeColor="accent2"/>
        </w:tcBorders>
      </w:tcPr>
    </w:tblStylePr>
    <w:tblStylePr w:type="firstCol">
      <w:rPr>
        <w:b/>
        <w:bCs/>
      </w:rPr>
    </w:tblStylePr>
    <w:tblStylePr w:type="lastCol">
      <w:rPr>
        <w:b/>
        <w:bCs/>
      </w:rPr>
    </w:tblStylePr>
    <w:tblStylePr w:type="band1Vert">
      <w:tblPr/>
      <w:tcPr>
        <w:shd w:val="clear" w:color="auto" w:fill="EFD1D1" w:themeFill="accent2" w:themeFillTint="33"/>
      </w:tcPr>
    </w:tblStylePr>
    <w:tblStylePr w:type="band1Horz">
      <w:tblPr/>
      <w:tcPr>
        <w:shd w:val="clear" w:color="auto" w:fill="EFD1D1"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E0A4A3" w:themeColor="accent2" w:themeTint="66"/>
        <w:left w:val="single" w:sz="4" w:space="0" w:color="E0A4A3" w:themeColor="accent2" w:themeTint="66"/>
        <w:bottom w:val="single" w:sz="4" w:space="0" w:color="E0A4A3" w:themeColor="accent2" w:themeTint="66"/>
        <w:right w:val="single" w:sz="4" w:space="0" w:color="E0A4A3" w:themeColor="accent2" w:themeTint="66"/>
        <w:insideH w:val="single" w:sz="4" w:space="0" w:color="E0A4A3" w:themeColor="accent2" w:themeTint="66"/>
        <w:insideV w:val="single" w:sz="4" w:space="0" w:color="E0A4A3" w:themeColor="accent2" w:themeTint="66"/>
      </w:tblBorders>
    </w:tblPr>
    <w:tblStylePr w:type="firstRow">
      <w:rPr>
        <w:b/>
        <w:bCs/>
      </w:rPr>
      <w:tblPr/>
      <w:tcPr>
        <w:tcBorders>
          <w:bottom w:val="single" w:sz="12" w:space="0" w:color="D17675" w:themeColor="accent2" w:themeTint="99"/>
        </w:tcBorders>
      </w:tcPr>
    </w:tblStylePr>
    <w:tblStylePr w:type="lastRow">
      <w:rPr>
        <w:b/>
        <w:bCs/>
      </w:rPr>
      <w:tblPr/>
      <w:tcPr>
        <w:tcBorders>
          <w:top w:val="double" w:sz="2" w:space="0" w:color="D17675"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CE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E244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E244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E244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E2444" w:themeFill="accent1"/>
      </w:tcPr>
    </w:tblStylePr>
    <w:tblStylePr w:type="band1Vert">
      <w:tblPr/>
      <w:tcPr>
        <w:shd w:val="clear" w:color="auto" w:fill="709EE1" w:themeFill="accent1" w:themeFillTint="66"/>
      </w:tcPr>
    </w:tblStylePr>
    <w:tblStylePr w:type="band1Horz">
      <w:tblPr/>
      <w:tcPr>
        <w:shd w:val="clear" w:color="auto" w:fill="709EE1" w:themeFill="accent1" w:themeFillTint="66"/>
      </w:tcPr>
    </w:tblStylePr>
  </w:style>
  <w:style w:type="table" w:styleId="GridTable4-Accent1">
    <w:name w:val="Grid Table 4 Accent 1"/>
    <w:basedOn w:val="TableNormal"/>
    <w:uiPriority w:val="49"/>
    <w:rsid w:val="00F32757"/>
    <w:pPr>
      <w:spacing w:after="0" w:line="240" w:lineRule="auto"/>
    </w:pPr>
    <w:tblPr>
      <w:tblStyleRowBandSize w:val="1"/>
      <w:tblStyleColBandSize w:val="1"/>
      <w:tblBorders>
        <w:top w:val="single" w:sz="4" w:space="0" w:color="2B6ED1" w:themeColor="accent1" w:themeTint="99"/>
        <w:left w:val="single" w:sz="4" w:space="0" w:color="2B6ED1" w:themeColor="accent1" w:themeTint="99"/>
        <w:bottom w:val="single" w:sz="4" w:space="0" w:color="2B6ED1" w:themeColor="accent1" w:themeTint="99"/>
        <w:right w:val="single" w:sz="4" w:space="0" w:color="2B6ED1" w:themeColor="accent1" w:themeTint="99"/>
        <w:insideH w:val="single" w:sz="4" w:space="0" w:color="2B6ED1" w:themeColor="accent1" w:themeTint="99"/>
        <w:insideV w:val="single" w:sz="4" w:space="0" w:color="2B6ED1" w:themeColor="accent1" w:themeTint="99"/>
      </w:tblBorders>
    </w:tblPr>
    <w:tblStylePr w:type="firstRow">
      <w:rPr>
        <w:b/>
        <w:bCs/>
        <w:color w:val="FFFFFF" w:themeColor="background1"/>
      </w:rPr>
      <w:tblPr/>
      <w:tcPr>
        <w:shd w:val="clear" w:color="auto" w:fill="0A1A32" w:themeFill="accent1" w:themeFillShade="BF"/>
      </w:tcPr>
    </w:tblStylePr>
    <w:tblStylePr w:type="lastRow">
      <w:rPr>
        <w:b/>
        <w:bCs/>
      </w:rPr>
      <w:tblPr/>
      <w:tcPr>
        <w:tcBorders>
          <w:top w:val="double" w:sz="4" w:space="0" w:color="0E2444" w:themeColor="accent1"/>
        </w:tcBorders>
      </w:tcPr>
    </w:tblStylePr>
    <w:tblStylePr w:type="firstCol">
      <w:rPr>
        <w:b/>
        <w:bCs/>
      </w:rPr>
    </w:tblStylePr>
    <w:tblStylePr w:type="lastCol">
      <w:rPr>
        <w:b/>
        <w:bCs/>
      </w:rPr>
    </w:tblStylePr>
    <w:tblStylePr w:type="band1Vert">
      <w:tblPr/>
      <w:tcPr>
        <w:shd w:val="clear" w:color="auto" w:fill="B7CEF0" w:themeFill="accent1" w:themeFillTint="33"/>
      </w:tcPr>
    </w:tblStylePr>
    <w:tblStylePr w:type="band1Horz">
      <w:tblPr/>
      <w:tcPr>
        <w:shd w:val="clear" w:color="auto" w:fill="B7CEF0"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EFFDB9" w:themeColor="accent5" w:themeTint="99"/>
        <w:left w:val="single" w:sz="4" w:space="0" w:color="EFFDB9" w:themeColor="accent5" w:themeTint="99"/>
        <w:bottom w:val="single" w:sz="4" w:space="0" w:color="EFFDB9" w:themeColor="accent5" w:themeTint="99"/>
        <w:right w:val="single" w:sz="4" w:space="0" w:color="EFFDB9" w:themeColor="accent5" w:themeTint="99"/>
        <w:insideH w:val="single" w:sz="4" w:space="0" w:color="EFFDB9" w:themeColor="accent5" w:themeTint="99"/>
        <w:insideV w:val="single" w:sz="4" w:space="0" w:color="EFFDB9" w:themeColor="accent5" w:themeTint="99"/>
      </w:tblBorders>
    </w:tblPr>
    <w:tblStylePr w:type="firstRow">
      <w:rPr>
        <w:b/>
        <w:bCs/>
        <w:color w:val="FFFFFF" w:themeColor="background1"/>
      </w:rPr>
      <w:tblPr/>
      <w:tcPr>
        <w:tcBorders>
          <w:top w:val="single" w:sz="4" w:space="0" w:color="E5FD8C" w:themeColor="accent5"/>
          <w:left w:val="single" w:sz="4" w:space="0" w:color="E5FD8C" w:themeColor="accent5"/>
          <w:bottom w:val="single" w:sz="4" w:space="0" w:color="E5FD8C" w:themeColor="accent5"/>
          <w:right w:val="single" w:sz="4" w:space="0" w:color="E5FD8C" w:themeColor="accent5"/>
          <w:insideH w:val="nil"/>
          <w:insideV w:val="nil"/>
        </w:tcBorders>
        <w:shd w:val="clear" w:color="auto" w:fill="E5FD8C" w:themeFill="accent5"/>
      </w:tcPr>
    </w:tblStylePr>
    <w:tblStylePr w:type="lastRow">
      <w:rPr>
        <w:b/>
        <w:bCs/>
      </w:rPr>
      <w:tblPr/>
      <w:tcPr>
        <w:tcBorders>
          <w:top w:val="double" w:sz="4" w:space="0" w:color="E5FD8C" w:themeColor="accent5"/>
        </w:tcBorders>
      </w:tcPr>
    </w:tblStylePr>
    <w:tblStylePr w:type="firstCol">
      <w:rPr>
        <w:b/>
        <w:bCs/>
      </w:rPr>
    </w:tblStylePr>
    <w:tblStylePr w:type="lastCol">
      <w:rPr>
        <w:b/>
        <w:bCs/>
      </w:rPr>
    </w:tblStylePr>
    <w:tblStylePr w:type="band1Vert">
      <w:tblPr/>
      <w:tcPr>
        <w:shd w:val="clear" w:color="auto" w:fill="F9FEE7" w:themeFill="accent5" w:themeFillTint="33"/>
      </w:tcPr>
    </w:tblStylePr>
    <w:tblStylePr w:type="band1Horz">
      <w:tblPr/>
      <w:tcPr>
        <w:shd w:val="clear" w:color="auto" w:fill="F9FEE7" w:themeFill="accent5" w:themeFillTint="33"/>
      </w:tcPr>
    </w:tblStylePr>
  </w:style>
  <w:style w:type="table" w:styleId="GridTable4-Accent4">
    <w:name w:val="Grid Table 4 Accent 4"/>
    <w:aliases w:val="DISR banded - Table 2"/>
    <w:basedOn w:val="TableNormal"/>
    <w:uiPriority w:val="49"/>
    <w:rsid w:val="00DC06D4"/>
    <w:pPr>
      <w:spacing w:after="0" w:line="240" w:lineRule="auto"/>
    </w:pPr>
    <w:tblPr>
      <w:tblStyleRowBandSize w:val="1"/>
      <w:tblStyleColBandSize w:val="1"/>
      <w:tblBorders>
        <w:top w:val="single" w:sz="4" w:space="0" w:color="0F4F82" w:themeColor="accent4"/>
        <w:left w:val="single" w:sz="4" w:space="0" w:color="0F4F82" w:themeColor="accent4"/>
        <w:bottom w:val="single" w:sz="4" w:space="0" w:color="0F4F82" w:themeColor="accent4"/>
        <w:right w:val="single" w:sz="4" w:space="0" w:color="0F4F82" w:themeColor="accent4"/>
        <w:insideH w:val="single" w:sz="4" w:space="0" w:color="0F4F82" w:themeColor="accent4"/>
        <w:insideV w:val="single" w:sz="4" w:space="0" w:color="0F4F82" w:themeColor="accent4"/>
      </w:tblBorders>
    </w:tblPr>
    <w:tblStylePr w:type="firstRow">
      <w:rPr>
        <w:b/>
        <w:bCs/>
        <w:color w:val="FFFFFF" w:themeColor="background1"/>
      </w:rPr>
      <w:tblPr/>
      <w:tcPr>
        <w:tcBorders>
          <w:top w:val="single" w:sz="4" w:space="0" w:color="0F4F82" w:themeColor="accent4"/>
          <w:left w:val="single" w:sz="4" w:space="0" w:color="0F4F82" w:themeColor="accent4"/>
          <w:bottom w:val="single" w:sz="4" w:space="0" w:color="0F4F82" w:themeColor="accent4"/>
          <w:right w:val="single" w:sz="4" w:space="0" w:color="0F4F82" w:themeColor="accent4"/>
          <w:insideH w:val="single" w:sz="4" w:space="0" w:color="0F4F82" w:themeColor="accent4"/>
          <w:insideV w:val="single" w:sz="4" w:space="0" w:color="0F4F82" w:themeColor="accent4"/>
        </w:tcBorders>
        <w:shd w:val="clear" w:color="auto" w:fill="0F4F82" w:themeFill="accent4"/>
      </w:tcPr>
    </w:tblStylePr>
    <w:tblStylePr w:type="lastRow">
      <w:rPr>
        <w:b/>
        <w:bCs/>
      </w:rPr>
      <w:tblPr/>
      <w:tcPr>
        <w:tcBorders>
          <w:top w:val="nil"/>
        </w:tcBorders>
      </w:tcPr>
    </w:tblStylePr>
    <w:tblStylePr w:type="firstCol">
      <w:rPr>
        <w:b/>
        <w:bCs/>
      </w:rPr>
    </w:tblStylePr>
    <w:tblStylePr w:type="lastCol">
      <w:rPr>
        <w:b/>
        <w:bCs/>
      </w:rPr>
    </w:tblStylePr>
    <w:tblStylePr w:type="band1Vert">
      <w:tblPr/>
      <w:tcPr>
        <w:shd w:val="clear" w:color="auto" w:fill="BDDDF7" w:themeFill="accent4" w:themeFillTint="33"/>
      </w:tcPr>
    </w:tblStylePr>
    <w:tblStylePr w:type="band1Horz">
      <w:tblPr/>
      <w:tcPr>
        <w:shd w:val="clear" w:color="auto" w:fill="E7E6E6" w:themeFill="background2"/>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8CD9DC" w:themeColor="accent3" w:themeTint="99"/>
        <w:left w:val="single" w:sz="4" w:space="0" w:color="8CD9DC" w:themeColor="accent3" w:themeTint="99"/>
        <w:bottom w:val="single" w:sz="4" w:space="0" w:color="8CD9DC" w:themeColor="accent3" w:themeTint="99"/>
        <w:right w:val="single" w:sz="4" w:space="0" w:color="8CD9DC" w:themeColor="accent3" w:themeTint="99"/>
        <w:insideH w:val="single" w:sz="4" w:space="0" w:color="8CD9DC" w:themeColor="accent3" w:themeTint="99"/>
        <w:insideV w:val="single" w:sz="4" w:space="0" w:color="8CD9DC" w:themeColor="accent3" w:themeTint="99"/>
      </w:tblBorders>
    </w:tblPr>
    <w:tblStylePr w:type="firstRow">
      <w:rPr>
        <w:b/>
        <w:bCs/>
        <w:color w:val="FFFFFF" w:themeColor="background1"/>
      </w:rPr>
      <w:tblPr/>
      <w:tcPr>
        <w:tcBorders>
          <w:top w:val="single" w:sz="4" w:space="0" w:color="40C0C6" w:themeColor="accent3"/>
          <w:left w:val="single" w:sz="4" w:space="0" w:color="40C0C6" w:themeColor="accent3"/>
          <w:bottom w:val="single" w:sz="4" w:space="0" w:color="40C0C6" w:themeColor="accent3"/>
          <w:right w:val="single" w:sz="4" w:space="0" w:color="40C0C6" w:themeColor="accent3"/>
          <w:insideH w:val="nil"/>
          <w:insideV w:val="nil"/>
        </w:tcBorders>
        <w:shd w:val="clear" w:color="auto" w:fill="40C0C6" w:themeFill="accent3"/>
      </w:tcPr>
    </w:tblStylePr>
    <w:tblStylePr w:type="lastRow">
      <w:rPr>
        <w:b/>
        <w:bCs/>
      </w:rPr>
      <w:tblPr/>
      <w:tcPr>
        <w:tcBorders>
          <w:top w:val="double" w:sz="4" w:space="0" w:color="40C0C6" w:themeColor="accent3"/>
        </w:tcBorders>
      </w:tcPr>
    </w:tblStylePr>
    <w:tblStylePr w:type="firstCol">
      <w:rPr>
        <w:b/>
        <w:bCs/>
      </w:rPr>
    </w:tblStylePr>
    <w:tblStylePr w:type="lastCol">
      <w:rPr>
        <w:b/>
        <w:bCs/>
      </w:rPr>
    </w:tblStylePr>
    <w:tblStylePr w:type="band1Vert">
      <w:tblPr/>
      <w:tcPr>
        <w:shd w:val="clear" w:color="auto" w:fill="D8F2F3" w:themeFill="accent3" w:themeFillTint="33"/>
      </w:tcPr>
    </w:tblStylePr>
    <w:tblStylePr w:type="band1Horz">
      <w:tblPr/>
      <w:tcPr>
        <w:shd w:val="clear" w:color="auto" w:fill="D8F2F3" w:themeFill="accent3" w:themeFillTint="33"/>
      </w:tcPr>
    </w:tblStylePr>
  </w:style>
  <w:style w:type="paragraph" w:customStyle="1" w:styleId="Authoranddate">
    <w:name w:val="Author and date"/>
    <w:basedOn w:val="Subtitle"/>
    <w:link w:val="AuthoranddateChar"/>
    <w:qFormat/>
    <w:rsid w:val="001D51DA"/>
    <w:rPr>
      <w:szCs w:val="40"/>
    </w:rPr>
  </w:style>
  <w:style w:type="character" w:customStyle="1" w:styleId="AuthoranddateChar">
    <w:name w:val="Author and date Char"/>
    <w:basedOn w:val="SubtitleChar"/>
    <w:link w:val="Authoranddate"/>
    <w:rsid w:val="001D51DA"/>
    <w:rPr>
      <w:rFonts w:eastAsiaTheme="minorEastAsia"/>
      <w:color w:val="E7E6E6" w:themeColor="background2"/>
      <w:sz w:val="40"/>
      <w:szCs w:val="40"/>
    </w:rPr>
  </w:style>
  <w:style w:type="character" w:customStyle="1" w:styleId="Heading7Char">
    <w:name w:val="Heading 7 Char"/>
    <w:basedOn w:val="DefaultParagraphFont"/>
    <w:link w:val="Heading7"/>
    <w:uiPriority w:val="9"/>
    <w:rsid w:val="00C50A9A"/>
    <w:rPr>
      <w:rFonts w:asciiTheme="majorHAnsi" w:eastAsiaTheme="majorEastAsia" w:hAnsiTheme="majorHAnsi" w:cstheme="majorBidi"/>
      <w:b/>
      <w:iCs/>
      <w:color w:val="0E2444" w:themeColor="accent1"/>
    </w:rPr>
  </w:style>
  <w:style w:type="character" w:styleId="UnresolvedMention">
    <w:name w:val="Unresolved Mention"/>
    <w:basedOn w:val="DefaultParagraphFont"/>
    <w:uiPriority w:val="99"/>
    <w:semiHidden/>
    <w:unhideWhenUsed/>
    <w:rsid w:val="00282ED3"/>
    <w:rPr>
      <w:color w:val="605E5C"/>
      <w:shd w:val="clear" w:color="auto" w:fill="E1DFDD"/>
    </w:rPr>
  </w:style>
  <w:style w:type="table" w:styleId="GridTable4">
    <w:name w:val="Grid Table 4"/>
    <w:basedOn w:val="TableNormal"/>
    <w:uiPriority w:val="49"/>
    <w:rsid w:val="004060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4">
    <w:name w:val="List Table 3 Accent 4"/>
    <w:basedOn w:val="TableNormal"/>
    <w:uiPriority w:val="48"/>
    <w:rsid w:val="0031654A"/>
    <w:pPr>
      <w:spacing w:after="0" w:line="240" w:lineRule="auto"/>
    </w:pPr>
    <w:tblPr>
      <w:tblStyleRowBandSize w:val="1"/>
      <w:tblStyleColBandSize w:val="1"/>
      <w:tblBorders>
        <w:top w:val="single" w:sz="4" w:space="0" w:color="0F4F82" w:themeColor="accent4"/>
        <w:left w:val="single" w:sz="4" w:space="0" w:color="0F4F82" w:themeColor="accent4"/>
        <w:bottom w:val="single" w:sz="4" w:space="0" w:color="0F4F82" w:themeColor="accent4"/>
        <w:right w:val="single" w:sz="4" w:space="0" w:color="0F4F82" w:themeColor="accent4"/>
      </w:tblBorders>
    </w:tblPr>
    <w:tblStylePr w:type="firstRow">
      <w:rPr>
        <w:b/>
        <w:bCs/>
        <w:color w:val="FFFFFF" w:themeColor="background1"/>
      </w:rPr>
      <w:tblPr/>
      <w:tcPr>
        <w:shd w:val="clear" w:color="auto" w:fill="0F4F82" w:themeFill="accent4"/>
      </w:tcPr>
    </w:tblStylePr>
    <w:tblStylePr w:type="lastRow">
      <w:rPr>
        <w:b/>
        <w:bCs/>
      </w:rPr>
      <w:tblPr/>
      <w:tcPr>
        <w:tcBorders>
          <w:top w:val="double" w:sz="4" w:space="0" w:color="0F4F8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4F82" w:themeColor="accent4"/>
          <w:right w:val="single" w:sz="4" w:space="0" w:color="0F4F82" w:themeColor="accent4"/>
        </w:tcBorders>
      </w:tcPr>
    </w:tblStylePr>
    <w:tblStylePr w:type="band1Horz">
      <w:tblPr/>
      <w:tcPr>
        <w:tcBorders>
          <w:top w:val="single" w:sz="4" w:space="0" w:color="0F4F82" w:themeColor="accent4"/>
          <w:bottom w:val="single" w:sz="4" w:space="0" w:color="0F4F8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4F82" w:themeColor="accent4"/>
          <w:left w:val="nil"/>
        </w:tcBorders>
      </w:tcPr>
    </w:tblStylePr>
    <w:tblStylePr w:type="swCell">
      <w:tblPr/>
      <w:tcPr>
        <w:tcBorders>
          <w:top w:val="double" w:sz="4" w:space="0" w:color="0F4F82" w:themeColor="accent4"/>
          <w:right w:val="nil"/>
        </w:tcBorders>
      </w:tcPr>
    </w:tblStylePr>
  </w:style>
  <w:style w:type="paragraph" w:styleId="TOC4">
    <w:name w:val="toc 4"/>
    <w:basedOn w:val="Normal"/>
    <w:next w:val="Normal"/>
    <w:autoRedefine/>
    <w:uiPriority w:val="39"/>
    <w:unhideWhenUsed/>
    <w:rsid w:val="0043720A"/>
    <w:pPr>
      <w:spacing w:after="100"/>
      <w:ind w:left="442"/>
    </w:pPr>
  </w:style>
  <w:style w:type="paragraph" w:styleId="TOC5">
    <w:name w:val="toc 5"/>
    <w:basedOn w:val="Normal"/>
    <w:next w:val="Normal"/>
    <w:autoRedefine/>
    <w:uiPriority w:val="39"/>
    <w:unhideWhenUsed/>
    <w:rsid w:val="0043720A"/>
    <w:pPr>
      <w:spacing w:after="100"/>
      <w:ind w:left="601"/>
    </w:pPr>
  </w:style>
  <w:style w:type="paragraph" w:styleId="ListBullet">
    <w:name w:val="List Bullet"/>
    <w:basedOn w:val="Normal"/>
    <w:uiPriority w:val="99"/>
    <w:unhideWhenUsed/>
    <w:rsid w:val="00703734"/>
    <w:pPr>
      <w:numPr>
        <w:numId w:val="4"/>
      </w:numPr>
      <w:ind w:left="567" w:hanging="567"/>
      <w:contextualSpacing/>
    </w:pPr>
  </w:style>
  <w:style w:type="paragraph" w:styleId="ListBullet2">
    <w:name w:val="List Bullet 2"/>
    <w:basedOn w:val="Normal"/>
    <w:uiPriority w:val="99"/>
    <w:semiHidden/>
    <w:unhideWhenUsed/>
    <w:rsid w:val="00703734"/>
    <w:pPr>
      <w:numPr>
        <w:numId w:val="5"/>
      </w:numPr>
      <w:ind w:left="567" w:hanging="567"/>
      <w:contextualSpacing/>
    </w:pPr>
  </w:style>
  <w:style w:type="character" w:customStyle="1" w:styleId="Heading8Char">
    <w:name w:val="Heading 8 Char"/>
    <w:basedOn w:val="DefaultParagraphFont"/>
    <w:link w:val="Heading8"/>
    <w:uiPriority w:val="9"/>
    <w:rsid w:val="00C50A9A"/>
    <w:rPr>
      <w:rFonts w:asciiTheme="majorHAnsi" w:eastAsiaTheme="majorEastAsia" w:hAnsiTheme="majorHAnsi" w:cstheme="majorBidi"/>
      <w:color w:val="272727" w:themeColor="text1" w:themeTint="D8"/>
      <w:sz w:val="20"/>
      <w:szCs w:val="21"/>
    </w:rPr>
  </w:style>
  <w:style w:type="character" w:styleId="CommentReference">
    <w:name w:val="annotation reference"/>
    <w:basedOn w:val="DefaultParagraphFont"/>
    <w:uiPriority w:val="99"/>
    <w:semiHidden/>
    <w:unhideWhenUsed/>
    <w:rsid w:val="00FE4569"/>
    <w:rPr>
      <w:sz w:val="16"/>
      <w:szCs w:val="16"/>
    </w:rPr>
  </w:style>
  <w:style w:type="paragraph" w:styleId="CommentText">
    <w:name w:val="annotation text"/>
    <w:basedOn w:val="Normal"/>
    <w:link w:val="CommentTextChar"/>
    <w:uiPriority w:val="99"/>
    <w:unhideWhenUsed/>
    <w:rsid w:val="00FE4569"/>
    <w:rPr>
      <w:szCs w:val="20"/>
    </w:rPr>
  </w:style>
  <w:style w:type="character" w:customStyle="1" w:styleId="CommentTextChar">
    <w:name w:val="Comment Text Char"/>
    <w:basedOn w:val="DefaultParagraphFont"/>
    <w:link w:val="CommentText"/>
    <w:uiPriority w:val="99"/>
    <w:rsid w:val="00FE4569"/>
    <w:rPr>
      <w:sz w:val="20"/>
      <w:szCs w:val="20"/>
    </w:rPr>
  </w:style>
  <w:style w:type="paragraph" w:styleId="CommentSubject">
    <w:name w:val="annotation subject"/>
    <w:basedOn w:val="CommentText"/>
    <w:next w:val="CommentText"/>
    <w:link w:val="CommentSubjectChar"/>
    <w:uiPriority w:val="99"/>
    <w:semiHidden/>
    <w:unhideWhenUsed/>
    <w:rsid w:val="00FE4569"/>
    <w:rPr>
      <w:b/>
      <w:bCs/>
    </w:rPr>
  </w:style>
  <w:style w:type="character" w:customStyle="1" w:styleId="CommentSubjectChar">
    <w:name w:val="Comment Subject Char"/>
    <w:basedOn w:val="CommentTextChar"/>
    <w:link w:val="CommentSubject"/>
    <w:uiPriority w:val="99"/>
    <w:semiHidden/>
    <w:rsid w:val="00FE4569"/>
    <w:rPr>
      <w:b/>
      <w:bCs/>
      <w:sz w:val="20"/>
      <w:szCs w:val="20"/>
    </w:rPr>
  </w:style>
  <w:style w:type="table" w:styleId="ListTable3-Accent1">
    <w:name w:val="List Table 3 Accent 1"/>
    <w:basedOn w:val="TableNormal"/>
    <w:uiPriority w:val="48"/>
    <w:rsid w:val="00AD7672"/>
    <w:pPr>
      <w:spacing w:after="0" w:line="240" w:lineRule="auto"/>
    </w:pPr>
    <w:tblPr>
      <w:tblStyleRowBandSize w:val="1"/>
      <w:tblStyleColBandSize w:val="1"/>
      <w:tblBorders>
        <w:top w:val="single" w:sz="4" w:space="0" w:color="0E2444" w:themeColor="accent1"/>
        <w:left w:val="single" w:sz="4" w:space="0" w:color="0E2444" w:themeColor="accent1"/>
        <w:bottom w:val="single" w:sz="4" w:space="0" w:color="0E2444" w:themeColor="accent1"/>
        <w:right w:val="single" w:sz="4" w:space="0" w:color="0E2444" w:themeColor="accent1"/>
      </w:tblBorders>
    </w:tblPr>
    <w:tblStylePr w:type="firstRow">
      <w:rPr>
        <w:b/>
        <w:bCs/>
        <w:color w:val="FFFFFF" w:themeColor="background1"/>
      </w:rPr>
      <w:tblPr/>
      <w:tcPr>
        <w:shd w:val="clear" w:color="auto" w:fill="0E2444" w:themeFill="accent1"/>
      </w:tcPr>
    </w:tblStylePr>
    <w:tblStylePr w:type="lastRow">
      <w:rPr>
        <w:b/>
        <w:bCs/>
      </w:rPr>
      <w:tblPr/>
      <w:tcPr>
        <w:tcBorders>
          <w:top w:val="double" w:sz="4" w:space="0" w:color="0E24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E2444" w:themeColor="accent1"/>
          <w:right w:val="single" w:sz="4" w:space="0" w:color="0E2444" w:themeColor="accent1"/>
        </w:tcBorders>
      </w:tcPr>
    </w:tblStylePr>
    <w:tblStylePr w:type="band1Horz">
      <w:tblPr/>
      <w:tcPr>
        <w:tcBorders>
          <w:top w:val="single" w:sz="4" w:space="0" w:color="0E2444" w:themeColor="accent1"/>
          <w:bottom w:val="single" w:sz="4" w:space="0" w:color="0E24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E2444" w:themeColor="accent1"/>
          <w:left w:val="nil"/>
        </w:tcBorders>
      </w:tcPr>
    </w:tblStylePr>
    <w:tblStylePr w:type="swCell">
      <w:tblPr/>
      <w:tcPr>
        <w:tcBorders>
          <w:top w:val="double" w:sz="4" w:space="0" w:color="0E2444" w:themeColor="accent1"/>
          <w:right w:val="nil"/>
        </w:tcBorders>
      </w:tcPr>
    </w:tblStylePr>
  </w:style>
  <w:style w:type="table" w:styleId="ListTable3">
    <w:name w:val="List Table 3"/>
    <w:basedOn w:val="TableNormal"/>
    <w:uiPriority w:val="48"/>
    <w:rsid w:val="00AD767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Bullet1">
    <w:name w:val="Bullet 1"/>
    <w:basedOn w:val="Normal"/>
    <w:uiPriority w:val="2"/>
    <w:qFormat/>
    <w:rsid w:val="00E3494D"/>
    <w:pPr>
      <w:numPr>
        <w:numId w:val="31"/>
      </w:numPr>
      <w:spacing w:before="80" w:after="80" w:line="280" w:lineRule="atLeast"/>
    </w:pPr>
    <w:rPr>
      <w:rFonts w:eastAsiaTheme="minorEastAsia"/>
      <w:color w:val="000000" w:themeColor="text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81">
      <w:bodyDiv w:val="1"/>
      <w:marLeft w:val="0"/>
      <w:marRight w:val="0"/>
      <w:marTop w:val="0"/>
      <w:marBottom w:val="0"/>
      <w:divBdr>
        <w:top w:val="none" w:sz="0" w:space="0" w:color="auto"/>
        <w:left w:val="none" w:sz="0" w:space="0" w:color="auto"/>
        <w:bottom w:val="none" w:sz="0" w:space="0" w:color="auto"/>
        <w:right w:val="none" w:sz="0" w:space="0" w:color="auto"/>
      </w:divBdr>
    </w:div>
    <w:div w:id="429009989">
      <w:bodyDiv w:val="1"/>
      <w:marLeft w:val="0"/>
      <w:marRight w:val="0"/>
      <w:marTop w:val="0"/>
      <w:marBottom w:val="0"/>
      <w:divBdr>
        <w:top w:val="none" w:sz="0" w:space="0" w:color="auto"/>
        <w:left w:val="none" w:sz="0" w:space="0" w:color="auto"/>
        <w:bottom w:val="none" w:sz="0" w:space="0" w:color="auto"/>
        <w:right w:val="none" w:sz="0" w:space="0" w:color="auto"/>
      </w:divBdr>
    </w:div>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450775847">
      <w:bodyDiv w:val="1"/>
      <w:marLeft w:val="0"/>
      <w:marRight w:val="0"/>
      <w:marTop w:val="0"/>
      <w:marBottom w:val="0"/>
      <w:divBdr>
        <w:top w:val="none" w:sz="0" w:space="0" w:color="auto"/>
        <w:left w:val="none" w:sz="0" w:space="0" w:color="auto"/>
        <w:bottom w:val="none" w:sz="0" w:space="0" w:color="auto"/>
        <w:right w:val="none" w:sz="0" w:space="0" w:color="auto"/>
      </w:divBdr>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 w:id="1882472269">
      <w:bodyDiv w:val="1"/>
      <w:marLeft w:val="0"/>
      <w:marRight w:val="0"/>
      <w:marTop w:val="0"/>
      <w:marBottom w:val="0"/>
      <w:divBdr>
        <w:top w:val="none" w:sz="0" w:space="0" w:color="auto"/>
        <w:left w:val="none" w:sz="0" w:space="0" w:color="auto"/>
        <w:bottom w:val="none" w:sz="0" w:space="0" w:color="auto"/>
        <w:right w:val="none" w:sz="0" w:space="0" w:color="auto"/>
      </w:divBdr>
    </w:div>
    <w:div w:id="20666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business.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ndustry.gov.au/publications/australias-science-and-research-priorities-2015" TargetMode="External"/><Relationship Id="rId2" Type="http://schemas.openxmlformats.org/officeDocument/2006/relationships/customXml" Target="../customXml/item2.xml"/><Relationship Id="rId16" Type="http://schemas.openxmlformats.org/officeDocument/2006/relationships/hyperlink" Target="https://www.oecd.org/sdd/08_Science_and_technology.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ducation.gov.au/research-block-grants/resources/draft-herdc-specifications-collection-2023-data"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rtal.business.gov.au/Home/FAQ"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017DEF82F64F9DB5705BECFF1C3359"/>
        <w:category>
          <w:name w:val="General"/>
          <w:gallery w:val="placeholder"/>
        </w:category>
        <w:types>
          <w:type w:val="bbPlcHdr"/>
        </w:types>
        <w:behaviors>
          <w:behavior w:val="content"/>
        </w:behaviors>
        <w:guid w:val="{8944C2DC-5FB2-4272-BEDC-15A609EB780F}"/>
      </w:docPartPr>
      <w:docPartBody>
        <w:p w:rsidR="00265F1A" w:rsidRDefault="00265F1A">
          <w:pPr>
            <w:pStyle w:val="C2017DEF82F64F9DB5705BECFF1C3359"/>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ptos SemiBold">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F1A"/>
    <w:rsid w:val="00265F1A"/>
    <w:rsid w:val="00B604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2017DEF82F64F9DB5705BECFF1C3359">
    <w:name w:val="C2017DEF82F64F9DB5705BECFF1C33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RCP">
      <a:dk1>
        <a:srgbClr val="000000"/>
      </a:dk1>
      <a:lt1>
        <a:sysClr val="window" lastClr="FFFFFF"/>
      </a:lt1>
      <a:dk2>
        <a:srgbClr val="095258"/>
      </a:dk2>
      <a:lt2>
        <a:srgbClr val="E7E6E6"/>
      </a:lt2>
      <a:accent1>
        <a:srgbClr val="0E2444"/>
      </a:accent1>
      <a:accent2>
        <a:srgbClr val="993533"/>
      </a:accent2>
      <a:accent3>
        <a:srgbClr val="40C0C6"/>
      </a:accent3>
      <a:accent4>
        <a:srgbClr val="0F4F82"/>
      </a:accent4>
      <a:accent5>
        <a:srgbClr val="E5FD8C"/>
      </a:accent5>
      <a:accent6>
        <a:srgbClr val="B7E4F7"/>
      </a:accent6>
      <a:hlink>
        <a:srgbClr val="0563C1"/>
      </a:hlink>
      <a:folHlink>
        <a:srgbClr val="954F72"/>
      </a:folHlink>
    </a:clrScheme>
    <a:fontScheme name="DISR Aptos 2023 v2">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49386D0833E64C8EB73FD698A13F7E" ma:contentTypeVersion="24" ma:contentTypeDescription="Create a new document." ma:contentTypeScope="" ma:versionID="b86aaedeac21753507651298687a7800">
  <xsd:schema xmlns:xsd="http://www.w3.org/2001/XMLSchema" xmlns:xs="http://www.w3.org/2001/XMLSchema" xmlns:p="http://schemas.microsoft.com/office/2006/metadata/properties" xmlns:ns1="http://schemas.microsoft.com/sharepoint/v3" xmlns:ns2="2a251b7e-61e4-4816-a71f-b295a9ad20fb" xmlns:ns3="42ece9aa-5d3b-47ec-a017-9d14054696db" xmlns:ns4="http://schemas.microsoft.com/sharepoint/v4" targetNamespace="http://schemas.microsoft.com/office/2006/metadata/properties" ma:root="true" ma:fieldsID="9acabe28be2536e123dd104cb07cac6f" ns1:_="" ns2:_="" ns3:_="" ns4:_="">
    <xsd:import namespace="http://schemas.microsoft.com/sharepoint/v3"/>
    <xsd:import namespace="2a251b7e-61e4-4816-a71f-b295a9ad20fb"/>
    <xsd:import namespace="42ece9aa-5d3b-47ec-a017-9d14054696d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o1116530bc244d4bbd793e6e47aad9f9" minOccurs="0"/>
                <xsd:element ref="ns2:DocHub_ProjectGrantBenefitNo" minOccurs="0"/>
                <xsd:element ref="ns2:b556fde48a3c4e569797e3262a5ed987" minOccurs="0"/>
                <xsd:element ref="ns2:kaaee9def0d5443e8f4458f32b64868e"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o1116530bc244d4bbd793e6e47aad9f9" ma:index="24" nillable="true" ma:taxonomy="true" ma:internalName="o1116530bc244d4bbd793e6e47aad9f9" ma:taxonomyFieldName="DocHub_EntityCustomer" ma:displayName="Entity (Customer)" ma:indexed="true" ma:default="" ma:fieldId="{81116530-bc24-4d4b-bd79-3e6e47aad9f9}" ma:sspId="fb0313f7-9433-48c0-866e-9e0bbee59a50" ma:termSetId="3d16dad7-9c2a-4544-b039-528cc1012230" ma:anchorId="00000000-0000-0000-0000-000000000000" ma:open="true" ma:isKeyword="false">
      <xsd:complexType>
        <xsd:sequence>
          <xsd:element ref="pc:Terms" minOccurs="0" maxOccurs="1"/>
        </xsd:sequence>
      </xsd:complexType>
    </xsd:element>
    <xsd:element name="DocHub_ProjectGrantBenefitNo" ma:index="25" nillable="true" ma:displayName="Project (Grant/Benefit) No" ma:indexed="true" ma:internalName="DocHub_ProjectGrantBenefitNo">
      <xsd:simpleType>
        <xsd:restriction base="dms:Text">
          <xsd:maxLength value="255"/>
        </xsd:restriction>
      </xsd:simpleType>
    </xsd:element>
    <xsd:element name="b556fde48a3c4e569797e3262a5ed987" ma:index="27" nillable="true" ma:taxonomy="true" ma:internalName="b556fde48a3c4e569797e3262a5ed987" ma:taxonomyFieldName="DocHub_CRCProgrammeSelectionRound" ma:displayName="CRC Programme Selection Round" ma:indexed="true" ma:default="" ma:fieldId="{b556fde4-8a3c-4e56-9797-e3262a5ed987}" ma:sspId="fb0313f7-9433-48c0-866e-9e0bbee59a50" ma:termSetId="0a6d90c0-fa11-4227-bee7-e6616e09bb34" ma:anchorId="00000000-0000-0000-0000-000000000000" ma:open="false" ma:isKeyword="false">
      <xsd:complexType>
        <xsd:sequence>
          <xsd:element ref="pc:Terms" minOccurs="0" maxOccurs="1"/>
        </xsd:sequence>
      </xsd:complexType>
    </xsd:element>
    <xsd:element name="kaaee9def0d5443e8f4458f32b64868e" ma:index="29" nillable="true" ma:taxonomy="true" ma:internalName="kaaee9def0d5443e8f4458f32b64868e" ma:taxonomyFieldName="DocHub_Period" ma:displayName="Period" ma:indexed="true" ma:fieldId="{4aaee9de-f0d5-443e-8f44-58f32b64868e}" ma:sspId="fb0313f7-9433-48c0-866e-9e0bbee59a50" ma:termSetId="bf3c6560-fcaa-4c7c-ac72-36d1fb46c56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ece9aa-5d3b-47ec-a017-9d14054696db" elementFormDefault="qualified">
    <xsd:import namespace="http://schemas.microsoft.com/office/2006/documentManagement/types"/>
    <xsd:import namespace="http://schemas.microsoft.com/office/infopath/2007/PartnerControls"/>
    <xsd:element name="SharedWithUsers" ma:index="3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a251b7e-61e4-4816-a71f-b295a9ad20fb">
      <Value>433</Value>
      <Value>82</Value>
      <Value>46946</Value>
      <Value>3</Value>
      <Value>50911</Value>
    </TaxCatchAll>
    <b556fde48a3c4e569797e3262a5ed987 xmlns="2a251b7e-61e4-4816-a71f-b295a9ad20fb">
      <Terms xmlns="http://schemas.microsoft.com/office/infopath/2007/PartnerControls"/>
    </b556fde48a3c4e569797e3262a5ed987>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kaaee9def0d5443e8f4458f32b64868e xmlns="2a251b7e-61e4-4816-a71f-b295a9ad20fb">
      <Terms xmlns="http://schemas.microsoft.com/office/infopath/2007/PartnerControls"/>
    </kaaee9def0d5443e8f4458f32b64868e>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Communications template</TermName>
          <TermId xmlns="http://schemas.microsoft.com/office/infopath/2007/PartnerControls">a099d3a3-f47e-4cfa-a572-82b89337afa2</TermId>
        </TermInfo>
      </Terms>
    </adb9bed2e36e4a93af574aeb444da63e>
    <o1116530bc244d4bbd793e6e47aad9f9 xmlns="2a251b7e-61e4-4816-a71f-b295a9ad20fb">
      <Terms xmlns="http://schemas.microsoft.com/office/infopath/2007/PartnerControls"/>
    </o1116530bc244d4bbd793e6e47aad9f9>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DocHub_ProjectGrantBenefitNo xmlns="2a251b7e-61e4-4816-a71f-b295a9ad20fb" xsi:nil="true"/>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Correspondence</TermName>
          <TermId xmlns="http://schemas.microsoft.com/office/infopath/2007/PartnerControls">4dbb53c0-efe9-4d07-b5f4-f32e6008c9fb</TermId>
        </TermInfo>
      </Terms>
    </g7bcb40ba23249a78edca7d43a67c1c9>
    <Comments xmlns="http://schemas.microsoft.com/sharepoint/v3" xsi:nil="true"/>
    <_dlc_DocId xmlns="2a251b7e-61e4-4816-a71f-b295a9ad20fb">YZXQVS7QACYM-11599811-2014</_dlc_DocId>
    <_dlc_DocIdUrl xmlns="2a251b7e-61e4-4816-a71f-b295a9ad20fb">
      <Url>https://dochub/div/ausindustry/programmesprojectstaskforces/crc/_layouts/15/DocIdRedir.aspx?ID=YZXQVS7QACYM-11599811-2014</Url>
      <Description>YZXQVS7QACYM-11599811-2014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45AE6EB-A8D4-4D9D-8D6C-A552C96C0E4C}">
  <ds:schemaRefs>
    <ds:schemaRef ds:uri="http://schemas.microsoft.com/sharepoint/v3/contenttype/forms"/>
  </ds:schemaRefs>
</ds:datastoreItem>
</file>

<file path=customXml/itemProps2.xml><?xml version="1.0" encoding="utf-8"?>
<ds:datastoreItem xmlns:ds="http://schemas.openxmlformats.org/officeDocument/2006/customXml" ds:itemID="{A152252A-C9A9-4556-AA99-7E4C6EB4D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42ece9aa-5d3b-47ec-a017-9d14054696d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8A426-2293-4A07-8069-76989BF31193}">
  <ds:schemaRefs>
    <ds:schemaRef ds:uri="http://schemas.openxmlformats.org/officeDocument/2006/bibliography"/>
  </ds:schemaRefs>
</ds:datastoreItem>
</file>

<file path=customXml/itemProps4.xml><?xml version="1.0" encoding="utf-8"?>
<ds:datastoreItem xmlns:ds="http://schemas.openxmlformats.org/officeDocument/2006/customXml" ds:itemID="{297BCF5D-ECED-40B9-848C-61973DAC72C5}">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schemas.microsoft.com/sharepoint/v4"/>
    <ds:schemaRef ds:uri="http://purl.org/dc/elements/1.1/"/>
    <ds:schemaRef ds:uri="http://schemas.microsoft.com/sharepoint/v3"/>
    <ds:schemaRef ds:uri="http://purl.org/dc/terms/"/>
    <ds:schemaRef ds:uri="http://schemas.microsoft.com/office/infopath/2007/PartnerControls"/>
    <ds:schemaRef ds:uri="42ece9aa-5d3b-47ec-a017-9d14054696db"/>
    <ds:schemaRef ds:uri="2a251b7e-61e4-4816-a71f-b295a9ad20fb"/>
    <ds:schemaRef ds:uri="http://purl.org/dc/dcmitype/"/>
  </ds:schemaRefs>
</ds:datastoreItem>
</file>

<file path=customXml/itemProps5.xml><?xml version="1.0" encoding="utf-8"?>
<ds:datastoreItem xmlns:ds="http://schemas.openxmlformats.org/officeDocument/2006/customXml" ds:itemID="{D685A741-6C18-41CD-9C32-716034A9C17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4088</Words>
  <Characters>23308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CRC Grants – Annual Management Data Questionnaire (MDQ) Reporting Instructions</vt:lpstr>
    </vt:vector>
  </TitlesOfParts>
  <Manager/>
  <Company/>
  <LinksUpToDate>false</LinksUpToDate>
  <CharactersWithSpaces>27342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 Grants – Annual Management Data Questionnaire (MDQ) Reporting Instructions</dc:title>
  <dc:subject/>
  <dc:creator>Cooperative Research Centres Program</dc:creator>
  <cp:keywords/>
  <dc:description/>
  <cp:revision>4</cp:revision>
  <cp:lastPrinted>2024-06-05T02:52:00Z</cp:lastPrinted>
  <dcterms:created xsi:type="dcterms:W3CDTF">2024-06-05T01:50:00Z</dcterms:created>
  <dcterms:modified xsi:type="dcterms:W3CDTF">2024-06-05T02:53:00Z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0x010100DB49386D0833E64C8EB73FD698A13F7E</vt:lpwstr>
  </property>
  <property fmtid="{D5CDD505-2E9C-101B-9397-08002B2CF9AE}" pid="3" name="MediaServiceImageTags">
    <vt:lpwstr/>
  </property>
  <property fmtid="{D5CDD505-2E9C-101B-9397-08002B2CF9AE}" pid="4" name="_dlc_DocIdItemGuid">
    <vt:lpwstr>8a8c5736-bc7b-4e99-a62b-a96bd7286f25</vt:lpwstr>
  </property>
  <property fmtid="{D5CDD505-2E9C-101B-9397-08002B2CF9AE}" pid="5" name="DocHub_Year">
    <vt:lpwstr>46946;#2024|a9509632-5de2-45f9-9fc7-c24df7848880</vt:lpwstr>
  </property>
  <property fmtid="{D5CDD505-2E9C-101B-9397-08002B2CF9AE}" pid="6" name="DocHub_DocumentType">
    <vt:lpwstr>82;#Template|9b48ba34-650a-488d-9fe8-e5181e10b797</vt:lpwstr>
  </property>
  <property fmtid="{D5CDD505-2E9C-101B-9397-08002B2CF9AE}" pid="7" name="DocHub_SecurityClassification">
    <vt:lpwstr>3;#OFFICIAL|6106d03b-a1a0-4e30-9d91-d5e9fb4314f9</vt:lpwstr>
  </property>
  <property fmtid="{D5CDD505-2E9C-101B-9397-08002B2CF9AE}" pid="8" name="DocHub_CRCProgrammeSelectionRound">
    <vt:lpwstr/>
  </property>
  <property fmtid="{D5CDD505-2E9C-101B-9397-08002B2CF9AE}" pid="9" name="DocHub_Keywords">
    <vt:lpwstr>50911;#Communications template|a099d3a3-f47e-4cfa-a572-82b89337afa2</vt:lpwstr>
  </property>
  <property fmtid="{D5CDD505-2E9C-101B-9397-08002B2CF9AE}" pid="10" name="DocHub_Period">
    <vt:lpwstr/>
  </property>
  <property fmtid="{D5CDD505-2E9C-101B-9397-08002B2CF9AE}" pid="11" name="DocHub_WorkActivity">
    <vt:lpwstr>433;#Correspondence|4dbb53c0-efe9-4d07-b5f4-f32e6008c9fb</vt:lpwstr>
  </property>
  <property fmtid="{D5CDD505-2E9C-101B-9397-08002B2CF9AE}" pid="12" name="DocHub_EntityCustomer">
    <vt:lpwstr/>
  </property>
</Properties>
</file>