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C461B" w14:textId="77777777" w:rsidR="00E4724A" w:rsidRPr="00104FC9" w:rsidRDefault="00E4724A" w:rsidP="005E4F89">
      <w:pPr>
        <w:pStyle w:val="Heading1"/>
      </w:pPr>
      <w:bookmarkStart w:id="0" w:name="_Toc415042827"/>
      <w:bookmarkStart w:id="1" w:name="_GoBack"/>
      <w:bookmarkEnd w:id="1"/>
      <w:r w:rsidRPr="005E4F89">
        <w:t>Growth</w:t>
      </w:r>
      <w:r w:rsidRPr="00104FC9">
        <w:t xml:space="preserve"> </w:t>
      </w:r>
      <w:r w:rsidRPr="006A5147">
        <w:t>through</w:t>
      </w:r>
      <w:r w:rsidRPr="00104FC9">
        <w:t xml:space="preserve"> </w:t>
      </w:r>
      <w:r w:rsidR="00304B9C" w:rsidRPr="00104FC9">
        <w:t>Innovation</w:t>
      </w:r>
      <w:bookmarkStart w:id="2" w:name="_Toc415042828"/>
      <w:bookmarkEnd w:id="0"/>
      <w:r w:rsidR="005E4F89">
        <w:br/>
      </w:r>
      <w:r w:rsidR="00304B9C" w:rsidRPr="00104FC9">
        <w:t xml:space="preserve">and </w:t>
      </w:r>
      <w:r w:rsidRPr="00104FC9">
        <w:t>Collaboration</w:t>
      </w:r>
      <w:bookmarkEnd w:id="2"/>
    </w:p>
    <w:p w14:paraId="2C4A4D0E" w14:textId="77777777" w:rsidR="00B37488" w:rsidRPr="00104FC9" w:rsidRDefault="00C50263" w:rsidP="005E4F89">
      <w:pPr>
        <w:pStyle w:val="Heading2"/>
      </w:pPr>
      <w:bookmarkStart w:id="3" w:name="_Toc415042829"/>
      <w:r w:rsidRPr="00104FC9">
        <w:t xml:space="preserve">A </w:t>
      </w:r>
      <w:r w:rsidR="00D73BDC" w:rsidRPr="00104FC9">
        <w:t>Review of the Cooperative Research Centres Programme</w:t>
      </w:r>
      <w:bookmarkEnd w:id="3"/>
    </w:p>
    <w:p w14:paraId="397AE45C" w14:textId="77777777" w:rsidR="00104FC9" w:rsidRPr="00104FC9" w:rsidRDefault="00104FC9" w:rsidP="002D34D5">
      <w:pPr>
        <w:pStyle w:val="BodyText2"/>
        <w:rPr>
          <w:rStyle w:val="Strong"/>
        </w:rPr>
      </w:pPr>
      <w:r w:rsidRPr="00104FC9">
        <w:rPr>
          <w:rStyle w:val="Strong"/>
        </w:rPr>
        <w:t>MARCH</w:t>
      </w:r>
    </w:p>
    <w:p w14:paraId="3A9761D5" w14:textId="77777777" w:rsidR="004F58DC" w:rsidRPr="00104FC9" w:rsidRDefault="00D73BDC" w:rsidP="002D34D5">
      <w:pPr>
        <w:pStyle w:val="BodyText2"/>
        <w:rPr>
          <w:rStyle w:val="Strong"/>
        </w:rPr>
      </w:pPr>
      <w:r w:rsidRPr="00104FC9">
        <w:rPr>
          <w:rStyle w:val="Strong"/>
        </w:rPr>
        <w:t>2015</w:t>
      </w:r>
    </w:p>
    <w:p w14:paraId="5C90FBFF" w14:textId="77777777" w:rsidR="007D65FF" w:rsidRDefault="007D65FF">
      <w:pPr>
        <w:spacing w:line="240" w:lineRule="auto"/>
        <w:rPr>
          <w:color w:val="auto"/>
        </w:rPr>
        <w:sectPr w:rsidR="007D65FF" w:rsidSect="009F64E0">
          <w:headerReference w:type="default" r:id="rId12"/>
          <w:footerReference w:type="default" r:id="rId13"/>
          <w:pgSz w:w="11906" w:h="16838"/>
          <w:pgMar w:top="1620" w:right="1800" w:bottom="1440" w:left="1800" w:header="708" w:footer="708" w:gutter="0"/>
          <w:pgNumType w:start="1"/>
          <w:cols w:space="708"/>
          <w:docGrid w:linePitch="360"/>
        </w:sectPr>
      </w:pPr>
    </w:p>
    <w:p w14:paraId="41205AC0" w14:textId="77777777" w:rsidR="000C6BFE" w:rsidRPr="00886F38" w:rsidRDefault="000C6BFE">
      <w:pPr>
        <w:spacing w:line="240" w:lineRule="auto"/>
        <w:rPr>
          <w:color w:val="auto"/>
        </w:rPr>
      </w:pPr>
      <w:r w:rsidRPr="00886F38">
        <w:rPr>
          <w:color w:val="auto"/>
        </w:rPr>
        <w:lastRenderedPageBreak/>
        <w:br w:type="page"/>
      </w:r>
    </w:p>
    <w:p w14:paraId="11464DEC" w14:textId="77777777" w:rsidR="009F64E0" w:rsidRDefault="009F64E0" w:rsidP="002D34D5">
      <w:pPr>
        <w:pStyle w:val="BodyText"/>
        <w:sectPr w:rsidR="009F64E0" w:rsidSect="002838A4">
          <w:footerReference w:type="default" r:id="rId14"/>
          <w:type w:val="continuous"/>
          <w:pgSz w:w="11906" w:h="16838"/>
          <w:pgMar w:top="1620" w:right="1800" w:bottom="1440" w:left="1800" w:header="708" w:footer="708" w:gutter="0"/>
          <w:pgNumType w:start="1"/>
          <w:cols w:space="708"/>
          <w:docGrid w:linePitch="360"/>
        </w:sectPr>
      </w:pPr>
      <w:bookmarkStart w:id="4" w:name="_Toc320269464"/>
      <w:bookmarkStart w:id="5" w:name="_Toc326312052"/>
    </w:p>
    <w:p w14:paraId="512805DD" w14:textId="77777777" w:rsidR="004633E7" w:rsidRPr="00104FC9" w:rsidRDefault="004633E7" w:rsidP="002D34D5">
      <w:pPr>
        <w:pStyle w:val="BodyText"/>
      </w:pPr>
      <w:r w:rsidRPr="00104FC9">
        <w:lastRenderedPageBreak/>
        <w:t>ISBN 978-1-925092-54-7 (online)</w:t>
      </w:r>
    </w:p>
    <w:p w14:paraId="0775D2CB" w14:textId="77777777" w:rsidR="00824B1F" w:rsidRPr="00104FC9" w:rsidRDefault="00824B1F" w:rsidP="002D34D5">
      <w:pPr>
        <w:pStyle w:val="BodyText"/>
      </w:pPr>
      <w:r w:rsidRPr="00104FC9">
        <w:t>Note: The dollar amounts in this report are in Australian dollars, unless otherwise indicated.</w:t>
      </w:r>
    </w:p>
    <w:p w14:paraId="4E24719D" w14:textId="77777777" w:rsidR="00824B1F" w:rsidRPr="00104FC9" w:rsidRDefault="00824B1F" w:rsidP="002D34D5">
      <w:pPr>
        <w:pStyle w:val="BodyText"/>
      </w:pPr>
      <w:r w:rsidRPr="00104FC9">
        <w:t>Disclaimer</w:t>
      </w:r>
    </w:p>
    <w:p w14:paraId="672772E4" w14:textId="77777777" w:rsidR="00824B1F" w:rsidRPr="00104FC9" w:rsidRDefault="00824B1F" w:rsidP="002D34D5">
      <w:pPr>
        <w:pStyle w:val="BodyText"/>
      </w:pPr>
      <w:r w:rsidRPr="00104FC9">
        <w:t>The material contained within this document has been developed by the Review of the Cooperative Research Centres Programme.</w:t>
      </w:r>
    </w:p>
    <w:p w14:paraId="6F6F9361" w14:textId="77777777" w:rsidR="00824B1F" w:rsidRPr="00104FC9" w:rsidRDefault="00824B1F" w:rsidP="002D34D5">
      <w:pPr>
        <w:pStyle w:val="BodyText"/>
      </w:pPr>
      <w:r w:rsidRPr="00104FC9">
        <w:t>The views and opinions expressed in the materials do not necessarily reflect those of the Australian Government or the Minister for Industry and Science. The Australian Government and the Review of the Cooperative Research Centres Programme accept no responsibility for the accuracy or completeness of the contents, and shall not be liable (in negligence or otherwise) for any loss or damage (financial or otherwise) that may be occasioned directly or indirectly through the use of, or reliance, on the materials.</w:t>
      </w:r>
    </w:p>
    <w:p w14:paraId="2675E86D" w14:textId="77777777" w:rsidR="00824B1F" w:rsidRPr="00104FC9" w:rsidRDefault="00824B1F" w:rsidP="002D34D5">
      <w:pPr>
        <w:pStyle w:val="BodyText"/>
      </w:pPr>
      <w:r w:rsidRPr="00104FC9">
        <w:t>Furthermore, the Australian Government and the Review of the Cooperative Research Centres Programme, their members, employees, agents and officers accept no responsibility for any loss or liability (including reasonable legal costs and expenses) or liability incurred or suffered where such loss or liability was caused by the infringement of intellectual property rights, including moral rights, of any third person.</w:t>
      </w:r>
    </w:p>
    <w:p w14:paraId="14625E90" w14:textId="77777777" w:rsidR="00723A83" w:rsidRPr="00723A83" w:rsidRDefault="002838A4" w:rsidP="002D34D5">
      <w:pPr>
        <w:pStyle w:val="BodyText"/>
        <w:rPr>
          <w:rStyle w:val="CommentReference"/>
          <w:sz w:val="24"/>
          <w:szCs w:val="20"/>
        </w:rPr>
      </w:pPr>
      <w:r w:rsidRPr="00723A83">
        <w:rPr>
          <w:rStyle w:val="CommentReference"/>
          <w:sz w:val="24"/>
          <w:szCs w:val="20"/>
        </w:rPr>
        <w:t xml:space="preserve">Any material protected by a trade mark, unless otherwise noted, this copyright work is licensed under a Creative Commons Attribution 3.0 Australia licence. To view the full legal terms of this licence, visit: </w:t>
      </w:r>
      <w:hyperlink r:id="rId15" w:tooltip="Creative Commons website" w:history="1">
        <w:r w:rsidRPr="00723A83">
          <w:rPr>
            <w:rStyle w:val="CommentReference"/>
            <w:sz w:val="24"/>
            <w:szCs w:val="20"/>
          </w:rPr>
          <w:t>http://creativecommons.org/licenses/ by/3.0/au/</w:t>
        </w:r>
        <w:proofErr w:type="spellStart"/>
        <w:r w:rsidRPr="00723A83">
          <w:rPr>
            <w:rStyle w:val="CommentReference"/>
            <w:sz w:val="24"/>
            <w:szCs w:val="20"/>
          </w:rPr>
          <w:t>legalcode</w:t>
        </w:r>
        <w:proofErr w:type="spellEnd"/>
      </w:hyperlink>
    </w:p>
    <w:p w14:paraId="1CD2804C" w14:textId="77777777" w:rsidR="002838A4" w:rsidRPr="00723A83" w:rsidRDefault="002838A4" w:rsidP="002D34D5">
      <w:pPr>
        <w:pStyle w:val="BodyText"/>
        <w:rPr>
          <w:rStyle w:val="CommentReference"/>
          <w:sz w:val="24"/>
          <w:szCs w:val="20"/>
        </w:rPr>
      </w:pPr>
      <w:r w:rsidRPr="00723A83">
        <w:rPr>
          <w:rStyle w:val="CommentReference"/>
          <w:sz w:val="24"/>
          <w:szCs w:val="20"/>
        </w:rPr>
        <w:t>Please attribute the work to the author and abide by the other licence terms.</w:t>
      </w:r>
    </w:p>
    <w:p w14:paraId="5290B01C" w14:textId="77777777" w:rsidR="009F64E0" w:rsidRDefault="009F64E0" w:rsidP="002D34D5">
      <w:pPr>
        <w:pStyle w:val="BodyText"/>
      </w:pPr>
    </w:p>
    <w:p w14:paraId="13C10D79" w14:textId="77777777" w:rsidR="002838A4" w:rsidRDefault="002838A4" w:rsidP="002D34D5">
      <w:pPr>
        <w:pStyle w:val="BodyText"/>
        <w:sectPr w:rsidR="002838A4" w:rsidSect="009F64E0">
          <w:type w:val="continuous"/>
          <w:pgSz w:w="11906" w:h="16838"/>
          <w:pgMar w:top="1620" w:right="1800" w:bottom="1440" w:left="1800" w:header="708" w:footer="708" w:gutter="0"/>
          <w:pgNumType w:start="1"/>
          <w:cols w:space="708"/>
          <w:docGrid w:linePitch="360"/>
        </w:sectPr>
      </w:pPr>
    </w:p>
    <w:p w14:paraId="702E92A0" w14:textId="77777777" w:rsidR="000C6BFE" w:rsidRPr="00886F38" w:rsidRDefault="004C2222">
      <w:pPr>
        <w:spacing w:line="240" w:lineRule="auto"/>
        <w:rPr>
          <w:rFonts w:eastAsiaTheme="minorHAnsi"/>
          <w:color w:val="auto"/>
        </w:rPr>
      </w:pPr>
      <w:r w:rsidRPr="00886F38">
        <w:rPr>
          <w:rFonts w:eastAsiaTheme="minorHAnsi"/>
          <w:color w:val="auto"/>
        </w:rPr>
        <w:lastRenderedPageBreak/>
        <w:br w:type="page"/>
      </w:r>
    </w:p>
    <w:p w14:paraId="45BC02C1" w14:textId="77777777" w:rsidR="00F403A4" w:rsidRPr="00306DAD" w:rsidRDefault="00044144" w:rsidP="002D34D5">
      <w:pPr>
        <w:pStyle w:val="BodyText2"/>
      </w:pPr>
      <w:r w:rsidRPr="00306DAD">
        <w:lastRenderedPageBreak/>
        <w:t>T</w:t>
      </w:r>
      <w:r w:rsidR="00F403A4" w:rsidRPr="00306DAD">
        <w:t>he Hon Ian Macfarlane</w:t>
      </w:r>
    </w:p>
    <w:p w14:paraId="58C27EE7" w14:textId="77777777" w:rsidR="00F403A4" w:rsidRPr="00306DAD" w:rsidRDefault="00F403A4" w:rsidP="002D34D5">
      <w:pPr>
        <w:pStyle w:val="BodyText2"/>
      </w:pPr>
      <w:r w:rsidRPr="00306DAD">
        <w:t>Minister for Industry and Science</w:t>
      </w:r>
    </w:p>
    <w:p w14:paraId="388B4720" w14:textId="77777777" w:rsidR="00F403A4" w:rsidRPr="00306DAD" w:rsidRDefault="00F403A4" w:rsidP="002D34D5">
      <w:pPr>
        <w:pStyle w:val="BodyText2"/>
      </w:pPr>
      <w:r w:rsidRPr="00306DAD">
        <w:t>Parliament House</w:t>
      </w:r>
    </w:p>
    <w:p w14:paraId="52345CFB" w14:textId="77777777" w:rsidR="00F403A4" w:rsidRPr="00306DAD" w:rsidRDefault="00F403A4" w:rsidP="002D34D5">
      <w:pPr>
        <w:pStyle w:val="BodyText2"/>
      </w:pPr>
      <w:r w:rsidRPr="00306DAD">
        <w:t>Canberra ACT 2600</w:t>
      </w:r>
    </w:p>
    <w:p w14:paraId="3DDFF887" w14:textId="77777777" w:rsidR="007D65FF" w:rsidRPr="00723A83" w:rsidRDefault="007D65FF" w:rsidP="002D34D5">
      <w:pPr>
        <w:pStyle w:val="BodyText"/>
      </w:pPr>
    </w:p>
    <w:p w14:paraId="544E29BC" w14:textId="77777777" w:rsidR="00F403A4" w:rsidRPr="00723A83" w:rsidRDefault="00F403A4" w:rsidP="002D34D5">
      <w:pPr>
        <w:pStyle w:val="BodyText"/>
      </w:pPr>
      <w:r w:rsidRPr="00723A83">
        <w:t>Dear Minister</w:t>
      </w:r>
    </w:p>
    <w:p w14:paraId="55A3F134" w14:textId="77777777" w:rsidR="00B63006" w:rsidRPr="00723A83" w:rsidRDefault="00B63006" w:rsidP="002D34D5">
      <w:pPr>
        <w:pStyle w:val="BodyText"/>
      </w:pPr>
      <w:r w:rsidRPr="00723A83">
        <w:t>In September 2014 you appointed me to undertake a review of the Australian Government’s Cooperative Research Centres (CRC) Programme to consider whether it is the most appropriate vehicle to support business and researchers to work together to develop and transition to Australia’s industries of the future.</w:t>
      </w:r>
    </w:p>
    <w:p w14:paraId="0D6944EA" w14:textId="77777777" w:rsidR="00B63006" w:rsidRPr="00474CB1" w:rsidRDefault="00B63006" w:rsidP="002D34D5">
      <w:pPr>
        <w:pStyle w:val="BodyText"/>
      </w:pPr>
      <w:r w:rsidRPr="00723A83">
        <w:t>Extensive consultation with stakeholders demonstrated to me that the CRC Programme is seen as valuable and effective, but that there is scope for improvement. My analysis</w:t>
      </w:r>
      <w:r w:rsidRPr="00474CB1">
        <w:t xml:space="preserve"> supported these conclusions, and I have therefore made a number of recommendations to sharpen the programme and set it on a path to better meet the government’s objectives.</w:t>
      </w:r>
    </w:p>
    <w:p w14:paraId="1A858380" w14:textId="77777777" w:rsidR="00677627" w:rsidRPr="00474CB1" w:rsidRDefault="00677627" w:rsidP="002D34D5">
      <w:pPr>
        <w:pStyle w:val="BodyText"/>
      </w:pPr>
      <w:r w:rsidRPr="00474CB1">
        <w:t xml:space="preserve">Retaining the CRC Programme as a </w:t>
      </w:r>
      <w:r w:rsidR="00886F38" w:rsidRPr="00474CB1">
        <w:t>stand-alone</w:t>
      </w:r>
      <w:r w:rsidRPr="00474CB1">
        <w:t xml:space="preserve"> program</w:t>
      </w:r>
      <w:r w:rsidR="0005667B" w:rsidRPr="00474CB1">
        <w:t>me</w:t>
      </w:r>
      <w:r w:rsidRPr="00474CB1">
        <w:t xml:space="preserve"> serves to put science at the </w:t>
      </w:r>
      <w:r w:rsidR="00EE1B3E" w:rsidRPr="00474CB1">
        <w:t xml:space="preserve">centre </w:t>
      </w:r>
      <w:r w:rsidRPr="00474CB1">
        <w:t xml:space="preserve">of industry policy. </w:t>
      </w:r>
    </w:p>
    <w:p w14:paraId="0F128BB6" w14:textId="77777777" w:rsidR="00677627" w:rsidRPr="00474CB1" w:rsidRDefault="00B63006" w:rsidP="002D34D5">
      <w:pPr>
        <w:pStyle w:val="BodyText"/>
      </w:pPr>
      <w:r w:rsidRPr="00474CB1">
        <w:t xml:space="preserve">If the suite of recommendations is implemented, I believe the CRC Programme will be well placed to </w:t>
      </w:r>
      <w:r w:rsidR="00EA1517" w:rsidRPr="00474CB1">
        <w:t>compl</w:t>
      </w:r>
      <w:r w:rsidR="007E01F3" w:rsidRPr="00474CB1">
        <w:t>e</w:t>
      </w:r>
      <w:r w:rsidR="00EA1517" w:rsidRPr="00474CB1">
        <w:t xml:space="preserve">ment and </w:t>
      </w:r>
      <w:r w:rsidRPr="00474CB1">
        <w:t xml:space="preserve">support the government’s </w:t>
      </w:r>
      <w:r w:rsidR="00EA1517" w:rsidRPr="00474CB1">
        <w:t xml:space="preserve">competitiveness </w:t>
      </w:r>
      <w:r w:rsidRPr="00474CB1">
        <w:t>agenda and help the Australian economy to grow and remain internationally competitive into the future.</w:t>
      </w:r>
      <w:r w:rsidR="00677627" w:rsidRPr="00474CB1">
        <w:t xml:space="preserve"> </w:t>
      </w:r>
    </w:p>
    <w:p w14:paraId="55868029" w14:textId="77777777" w:rsidR="00B63006" w:rsidRPr="00474CB1" w:rsidRDefault="00B63006" w:rsidP="002D34D5">
      <w:pPr>
        <w:pStyle w:val="BodyText"/>
      </w:pPr>
      <w:r w:rsidRPr="00474CB1">
        <w:t xml:space="preserve">I would like to thank the people and organisations that took the time to attend the consultation sessions and make submissions. The support provided </w:t>
      </w:r>
      <w:r w:rsidR="00AF3D92" w:rsidRPr="00474CB1">
        <w:t xml:space="preserve">by </w:t>
      </w:r>
      <w:r w:rsidR="00710C1B" w:rsidRPr="00474CB1">
        <w:t xml:space="preserve">Ms </w:t>
      </w:r>
      <w:r w:rsidRPr="00474CB1">
        <w:t>Lisa Schofield</w:t>
      </w:r>
      <w:r w:rsidR="000F1EB3" w:rsidRPr="00474CB1">
        <w:t xml:space="preserve">, General Manager, </w:t>
      </w:r>
      <w:r w:rsidR="00AF3D92" w:rsidRPr="00474CB1">
        <w:t>Commercialisation Policy Branch and</w:t>
      </w:r>
      <w:r w:rsidRPr="00474CB1">
        <w:t xml:space="preserve"> her review support team was invaluable and greatly appreciated</w:t>
      </w:r>
      <w:r w:rsidR="001C2A37" w:rsidRPr="00474CB1">
        <w:t>,</w:t>
      </w:r>
      <w:r w:rsidRPr="00474CB1">
        <w:t xml:space="preserve"> as was feedback received from other members of your department.</w:t>
      </w:r>
    </w:p>
    <w:p w14:paraId="23EF83D5" w14:textId="77777777" w:rsidR="00F403A4" w:rsidRPr="00474CB1" w:rsidRDefault="00F403A4" w:rsidP="002D34D5">
      <w:pPr>
        <w:pStyle w:val="BodyText"/>
      </w:pPr>
      <w:r w:rsidRPr="00474CB1">
        <w:t xml:space="preserve">I commend the report to you. </w:t>
      </w:r>
    </w:p>
    <w:p w14:paraId="36A13B2D" w14:textId="77777777" w:rsidR="00F403A4" w:rsidRPr="00474CB1" w:rsidRDefault="00F403A4" w:rsidP="002D34D5">
      <w:pPr>
        <w:pStyle w:val="BodyText"/>
      </w:pPr>
      <w:r w:rsidRPr="00474CB1">
        <w:t xml:space="preserve">Yours </w:t>
      </w:r>
      <w:r w:rsidR="000A30BD" w:rsidRPr="00474CB1">
        <w:t>faithfully</w:t>
      </w:r>
      <w:r w:rsidRPr="00474CB1">
        <w:t>,</w:t>
      </w:r>
    </w:p>
    <w:p w14:paraId="6267FB0C" w14:textId="77777777" w:rsidR="00F403A4" w:rsidRPr="00474CB1" w:rsidRDefault="00E2708B" w:rsidP="002D34D5">
      <w:pPr>
        <w:pStyle w:val="BodyText"/>
      </w:pPr>
      <w:r w:rsidRPr="00474CB1">
        <w:rPr>
          <w:noProof/>
          <w:lang w:eastAsia="en-AU"/>
        </w:rPr>
        <w:drawing>
          <wp:inline distT="0" distB="0" distL="0" distR="0" wp14:anchorId="52572303" wp14:editId="73E70FEA">
            <wp:extent cx="1399429" cy="650464"/>
            <wp:effectExtent l="0" t="0" r="0" b="0"/>
            <wp:docPr id="1" name="Picture 1" descr="David Miles signature" title="David Mil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rker\AppData\Local\Microsoft\Windows\Temporary Internet Files\Content.Outlook\YKUDM6KD\Miles signatur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9429" cy="650464"/>
                    </a:xfrm>
                    <a:prstGeom prst="rect">
                      <a:avLst/>
                    </a:prstGeom>
                    <a:noFill/>
                    <a:ln>
                      <a:noFill/>
                    </a:ln>
                  </pic:spPr>
                </pic:pic>
              </a:graphicData>
            </a:graphic>
          </wp:inline>
        </w:drawing>
      </w:r>
    </w:p>
    <w:p w14:paraId="4A16E30F" w14:textId="77777777" w:rsidR="00F403A4" w:rsidRPr="00474CB1" w:rsidRDefault="00F403A4" w:rsidP="002D34D5">
      <w:pPr>
        <w:pStyle w:val="BodyText"/>
      </w:pPr>
      <w:r w:rsidRPr="00474CB1">
        <w:t xml:space="preserve">David </w:t>
      </w:r>
      <w:r w:rsidR="000A30BD" w:rsidRPr="00474CB1">
        <w:t xml:space="preserve">A </w:t>
      </w:r>
      <w:r w:rsidRPr="00474CB1">
        <w:t>Miles AM</w:t>
      </w:r>
    </w:p>
    <w:p w14:paraId="6B119F46" w14:textId="77777777" w:rsidR="000C6BFE" w:rsidRPr="00474CB1" w:rsidRDefault="004867BC" w:rsidP="002D34D5">
      <w:pPr>
        <w:pStyle w:val="BodyText"/>
      </w:pPr>
      <w:r>
        <w:t>26</w:t>
      </w:r>
      <w:r w:rsidR="00F403A4" w:rsidRPr="00474CB1">
        <w:t xml:space="preserve"> March 2015</w:t>
      </w:r>
    </w:p>
    <w:p w14:paraId="1E181EB1" w14:textId="77777777" w:rsidR="00723A83" w:rsidRDefault="00924A08" w:rsidP="005E4F89">
      <w:pPr>
        <w:pStyle w:val="TOC"/>
        <w:rPr>
          <w:noProof/>
        </w:rPr>
      </w:pPr>
      <w:bookmarkStart w:id="6" w:name="_Toc415042830"/>
      <w:r w:rsidRPr="00886F38">
        <w:lastRenderedPageBreak/>
        <w:t>Contents</w:t>
      </w:r>
      <w:bookmarkEnd w:id="4"/>
      <w:bookmarkEnd w:id="5"/>
      <w:bookmarkEnd w:id="6"/>
      <w:r w:rsidR="00B8625F" w:rsidRPr="00886F38">
        <w:rPr>
          <w:sz w:val="36"/>
        </w:rPr>
        <w:fldChar w:fldCharType="begin"/>
      </w:r>
      <w:r w:rsidR="00B8625F" w:rsidRPr="00886F38">
        <w:instrText xml:space="preserve"> TOC  \* MERGEFORMAT </w:instrText>
      </w:r>
      <w:r w:rsidR="00B8625F" w:rsidRPr="00886F38">
        <w:rPr>
          <w:sz w:val="36"/>
        </w:rPr>
        <w:fldChar w:fldCharType="separate"/>
      </w:r>
    </w:p>
    <w:p w14:paraId="1E5E331C" w14:textId="77777777" w:rsidR="00723A83" w:rsidRDefault="00723A83">
      <w:pPr>
        <w:pStyle w:val="TOC1"/>
        <w:tabs>
          <w:tab w:val="right" w:leader="dot" w:pos="9016"/>
        </w:tabs>
        <w:rPr>
          <w:rFonts w:asciiTheme="minorHAnsi" w:eastAsiaTheme="minorEastAsia" w:hAnsiTheme="minorHAnsi" w:cstheme="minorBidi"/>
          <w:noProof/>
          <w:color w:val="auto"/>
          <w:sz w:val="22"/>
          <w:szCs w:val="22"/>
          <w:lang w:eastAsia="en-AU"/>
        </w:rPr>
      </w:pPr>
      <w:r>
        <w:rPr>
          <w:noProof/>
        </w:rPr>
        <w:t>Growth through Innovation</w:t>
      </w:r>
      <w:r>
        <w:rPr>
          <w:noProof/>
        </w:rPr>
        <w:tab/>
      </w:r>
      <w:r>
        <w:rPr>
          <w:noProof/>
        </w:rPr>
        <w:fldChar w:fldCharType="begin"/>
      </w:r>
      <w:r>
        <w:rPr>
          <w:noProof/>
        </w:rPr>
        <w:instrText xml:space="preserve"> PAGEREF _Toc415042827 \h </w:instrText>
      </w:r>
      <w:r>
        <w:rPr>
          <w:noProof/>
        </w:rPr>
      </w:r>
      <w:r>
        <w:rPr>
          <w:noProof/>
        </w:rPr>
        <w:fldChar w:fldCharType="separate"/>
      </w:r>
      <w:r w:rsidR="003653D8">
        <w:rPr>
          <w:noProof/>
        </w:rPr>
        <w:t>1</w:t>
      </w:r>
      <w:r>
        <w:rPr>
          <w:noProof/>
        </w:rPr>
        <w:fldChar w:fldCharType="end"/>
      </w:r>
    </w:p>
    <w:p w14:paraId="1EDB859A" w14:textId="77777777" w:rsidR="00723A83" w:rsidRDefault="00723A83">
      <w:pPr>
        <w:pStyle w:val="TOC1"/>
        <w:tabs>
          <w:tab w:val="right" w:leader="dot" w:pos="9016"/>
        </w:tabs>
        <w:rPr>
          <w:rFonts w:asciiTheme="minorHAnsi" w:eastAsiaTheme="minorEastAsia" w:hAnsiTheme="minorHAnsi" w:cstheme="minorBidi"/>
          <w:noProof/>
          <w:color w:val="auto"/>
          <w:sz w:val="22"/>
          <w:szCs w:val="22"/>
          <w:lang w:eastAsia="en-AU"/>
        </w:rPr>
      </w:pPr>
      <w:r>
        <w:rPr>
          <w:noProof/>
        </w:rPr>
        <w:t>and Collaboration</w:t>
      </w:r>
      <w:r>
        <w:rPr>
          <w:noProof/>
        </w:rPr>
        <w:tab/>
      </w:r>
      <w:r>
        <w:rPr>
          <w:noProof/>
        </w:rPr>
        <w:fldChar w:fldCharType="begin"/>
      </w:r>
      <w:r>
        <w:rPr>
          <w:noProof/>
        </w:rPr>
        <w:instrText xml:space="preserve"> PAGEREF _Toc415042828 \h </w:instrText>
      </w:r>
      <w:r>
        <w:rPr>
          <w:noProof/>
        </w:rPr>
      </w:r>
      <w:r>
        <w:rPr>
          <w:noProof/>
        </w:rPr>
        <w:fldChar w:fldCharType="separate"/>
      </w:r>
      <w:r w:rsidR="003653D8">
        <w:rPr>
          <w:noProof/>
        </w:rPr>
        <w:t>1</w:t>
      </w:r>
      <w:r>
        <w:rPr>
          <w:noProof/>
        </w:rPr>
        <w:fldChar w:fldCharType="end"/>
      </w:r>
    </w:p>
    <w:p w14:paraId="66A122E9" w14:textId="77777777" w:rsidR="00723A83" w:rsidRDefault="00723A83">
      <w:pPr>
        <w:pStyle w:val="TOC1"/>
        <w:tabs>
          <w:tab w:val="right" w:leader="dot" w:pos="9016"/>
        </w:tabs>
        <w:rPr>
          <w:rFonts w:asciiTheme="minorHAnsi" w:eastAsiaTheme="minorEastAsia" w:hAnsiTheme="minorHAnsi" w:cstheme="minorBidi"/>
          <w:noProof/>
          <w:color w:val="auto"/>
          <w:sz w:val="22"/>
          <w:szCs w:val="22"/>
          <w:lang w:eastAsia="en-AU"/>
        </w:rPr>
      </w:pPr>
      <w:r>
        <w:rPr>
          <w:noProof/>
        </w:rPr>
        <w:t>A Review of the Cooperative Research Centres Programme</w:t>
      </w:r>
      <w:r>
        <w:rPr>
          <w:noProof/>
        </w:rPr>
        <w:tab/>
      </w:r>
      <w:r>
        <w:rPr>
          <w:noProof/>
        </w:rPr>
        <w:fldChar w:fldCharType="begin"/>
      </w:r>
      <w:r>
        <w:rPr>
          <w:noProof/>
        </w:rPr>
        <w:instrText xml:space="preserve"> PAGEREF _Toc415042829 \h </w:instrText>
      </w:r>
      <w:r>
        <w:rPr>
          <w:noProof/>
        </w:rPr>
      </w:r>
      <w:r>
        <w:rPr>
          <w:noProof/>
        </w:rPr>
        <w:fldChar w:fldCharType="separate"/>
      </w:r>
      <w:r w:rsidR="003653D8">
        <w:rPr>
          <w:noProof/>
        </w:rPr>
        <w:t>1</w:t>
      </w:r>
      <w:r>
        <w:rPr>
          <w:noProof/>
        </w:rPr>
        <w:fldChar w:fldCharType="end"/>
      </w:r>
    </w:p>
    <w:p w14:paraId="4EC526CD" w14:textId="77777777" w:rsidR="00723A83" w:rsidRDefault="00723A83">
      <w:pPr>
        <w:pStyle w:val="TOC2"/>
        <w:tabs>
          <w:tab w:val="right" w:leader="dot" w:pos="9016"/>
        </w:tabs>
        <w:rPr>
          <w:rFonts w:asciiTheme="minorHAnsi" w:eastAsiaTheme="minorEastAsia" w:hAnsiTheme="minorHAnsi" w:cstheme="minorBidi"/>
          <w:noProof/>
          <w:color w:val="auto"/>
          <w:sz w:val="22"/>
          <w:szCs w:val="22"/>
          <w:lang w:eastAsia="en-AU"/>
        </w:rPr>
      </w:pPr>
      <w:r>
        <w:rPr>
          <w:noProof/>
        </w:rPr>
        <w:t>Contents</w:t>
      </w:r>
      <w:r>
        <w:rPr>
          <w:noProof/>
        </w:rPr>
        <w:tab/>
      </w:r>
      <w:r>
        <w:rPr>
          <w:noProof/>
        </w:rPr>
        <w:fldChar w:fldCharType="begin"/>
      </w:r>
      <w:r>
        <w:rPr>
          <w:noProof/>
        </w:rPr>
        <w:instrText xml:space="preserve"> PAGEREF _Toc415042830 \h </w:instrText>
      </w:r>
      <w:r>
        <w:rPr>
          <w:noProof/>
        </w:rPr>
      </w:r>
      <w:r>
        <w:rPr>
          <w:noProof/>
        </w:rPr>
        <w:fldChar w:fldCharType="separate"/>
      </w:r>
      <w:r w:rsidR="003653D8">
        <w:rPr>
          <w:noProof/>
        </w:rPr>
        <w:t>3</w:t>
      </w:r>
      <w:r>
        <w:rPr>
          <w:noProof/>
        </w:rPr>
        <w:fldChar w:fldCharType="end"/>
      </w:r>
    </w:p>
    <w:p w14:paraId="7C6E5E5C" w14:textId="77777777" w:rsidR="00723A83" w:rsidRDefault="00723A83">
      <w:pPr>
        <w:pStyle w:val="TOC2"/>
        <w:tabs>
          <w:tab w:val="right" w:leader="dot" w:pos="9016"/>
        </w:tabs>
        <w:rPr>
          <w:rFonts w:asciiTheme="minorHAnsi" w:eastAsiaTheme="minorEastAsia" w:hAnsiTheme="minorHAnsi" w:cstheme="minorBidi"/>
          <w:noProof/>
          <w:color w:val="auto"/>
          <w:sz w:val="22"/>
          <w:szCs w:val="22"/>
          <w:lang w:eastAsia="en-AU"/>
        </w:rPr>
      </w:pPr>
      <w:r>
        <w:rPr>
          <w:noProof/>
        </w:rPr>
        <w:t>Part 1: Summary and recommendations</w:t>
      </w:r>
      <w:r>
        <w:rPr>
          <w:noProof/>
        </w:rPr>
        <w:tab/>
      </w:r>
      <w:r>
        <w:rPr>
          <w:noProof/>
        </w:rPr>
        <w:fldChar w:fldCharType="begin"/>
      </w:r>
      <w:r>
        <w:rPr>
          <w:noProof/>
        </w:rPr>
        <w:instrText xml:space="preserve"> PAGEREF _Toc415042831 \h </w:instrText>
      </w:r>
      <w:r>
        <w:rPr>
          <w:noProof/>
        </w:rPr>
      </w:r>
      <w:r>
        <w:rPr>
          <w:noProof/>
        </w:rPr>
        <w:fldChar w:fldCharType="separate"/>
      </w:r>
      <w:r w:rsidR="003653D8">
        <w:rPr>
          <w:noProof/>
        </w:rPr>
        <w:t>5</w:t>
      </w:r>
      <w:r>
        <w:rPr>
          <w:noProof/>
        </w:rPr>
        <w:fldChar w:fldCharType="end"/>
      </w:r>
    </w:p>
    <w:p w14:paraId="3126F219" w14:textId="77777777" w:rsidR="00723A83" w:rsidRDefault="00723A83">
      <w:pPr>
        <w:pStyle w:val="TOC3"/>
        <w:rPr>
          <w:rFonts w:asciiTheme="minorHAnsi" w:eastAsiaTheme="minorEastAsia" w:hAnsiTheme="minorHAnsi" w:cstheme="minorBidi"/>
          <w:noProof/>
          <w:color w:val="auto"/>
          <w:sz w:val="22"/>
          <w:szCs w:val="22"/>
          <w:lang w:eastAsia="en-AU"/>
        </w:rPr>
      </w:pPr>
      <w:r>
        <w:rPr>
          <w:noProof/>
        </w:rPr>
        <w:t>Executive Summary</w:t>
      </w:r>
      <w:r>
        <w:rPr>
          <w:noProof/>
        </w:rPr>
        <w:tab/>
      </w:r>
      <w:r>
        <w:rPr>
          <w:noProof/>
        </w:rPr>
        <w:fldChar w:fldCharType="begin"/>
      </w:r>
      <w:r>
        <w:rPr>
          <w:noProof/>
        </w:rPr>
        <w:instrText xml:space="preserve"> PAGEREF _Toc415042832 \h </w:instrText>
      </w:r>
      <w:r>
        <w:rPr>
          <w:noProof/>
        </w:rPr>
      </w:r>
      <w:r>
        <w:rPr>
          <w:noProof/>
        </w:rPr>
        <w:fldChar w:fldCharType="separate"/>
      </w:r>
      <w:r w:rsidR="003653D8">
        <w:rPr>
          <w:noProof/>
        </w:rPr>
        <w:t>5</w:t>
      </w:r>
      <w:r>
        <w:rPr>
          <w:noProof/>
        </w:rPr>
        <w:fldChar w:fldCharType="end"/>
      </w:r>
    </w:p>
    <w:p w14:paraId="3E227A88" w14:textId="77777777" w:rsidR="00723A83" w:rsidRDefault="00723A83">
      <w:pPr>
        <w:pStyle w:val="TOC3"/>
        <w:rPr>
          <w:rFonts w:asciiTheme="minorHAnsi" w:eastAsiaTheme="minorEastAsia" w:hAnsiTheme="minorHAnsi" w:cstheme="minorBidi"/>
          <w:noProof/>
          <w:color w:val="auto"/>
          <w:sz w:val="22"/>
          <w:szCs w:val="22"/>
          <w:lang w:eastAsia="en-AU"/>
        </w:rPr>
      </w:pPr>
      <w:r>
        <w:rPr>
          <w:noProof/>
        </w:rPr>
        <w:t>Recommendations</w:t>
      </w:r>
      <w:r>
        <w:rPr>
          <w:noProof/>
        </w:rPr>
        <w:tab/>
      </w:r>
      <w:r>
        <w:rPr>
          <w:noProof/>
        </w:rPr>
        <w:fldChar w:fldCharType="begin"/>
      </w:r>
      <w:r>
        <w:rPr>
          <w:noProof/>
        </w:rPr>
        <w:instrText xml:space="preserve"> PAGEREF _Toc415042833 \h </w:instrText>
      </w:r>
      <w:r>
        <w:rPr>
          <w:noProof/>
        </w:rPr>
      </w:r>
      <w:r>
        <w:rPr>
          <w:noProof/>
        </w:rPr>
        <w:fldChar w:fldCharType="separate"/>
      </w:r>
      <w:r w:rsidR="003653D8">
        <w:rPr>
          <w:noProof/>
        </w:rPr>
        <w:t>8</w:t>
      </w:r>
      <w:r>
        <w:rPr>
          <w:noProof/>
        </w:rPr>
        <w:fldChar w:fldCharType="end"/>
      </w:r>
    </w:p>
    <w:p w14:paraId="4BC377E4" w14:textId="77777777" w:rsidR="00723A83" w:rsidRDefault="00723A83">
      <w:pPr>
        <w:pStyle w:val="TOC2"/>
        <w:tabs>
          <w:tab w:val="right" w:leader="dot" w:pos="9016"/>
        </w:tabs>
        <w:rPr>
          <w:rFonts w:asciiTheme="minorHAnsi" w:eastAsiaTheme="minorEastAsia" w:hAnsiTheme="minorHAnsi" w:cstheme="minorBidi"/>
          <w:noProof/>
          <w:color w:val="auto"/>
          <w:sz w:val="22"/>
          <w:szCs w:val="22"/>
          <w:lang w:eastAsia="en-AU"/>
        </w:rPr>
      </w:pPr>
      <w:r>
        <w:rPr>
          <w:noProof/>
        </w:rPr>
        <w:t>Part 2: Findings against the Terms of Reference</w:t>
      </w:r>
      <w:r>
        <w:rPr>
          <w:noProof/>
        </w:rPr>
        <w:tab/>
      </w:r>
      <w:r>
        <w:rPr>
          <w:noProof/>
        </w:rPr>
        <w:fldChar w:fldCharType="begin"/>
      </w:r>
      <w:r>
        <w:rPr>
          <w:noProof/>
        </w:rPr>
        <w:instrText xml:space="preserve"> PAGEREF _Toc415042834 \h </w:instrText>
      </w:r>
      <w:r>
        <w:rPr>
          <w:noProof/>
        </w:rPr>
      </w:r>
      <w:r>
        <w:rPr>
          <w:noProof/>
        </w:rPr>
        <w:fldChar w:fldCharType="separate"/>
      </w:r>
      <w:r w:rsidR="003653D8">
        <w:rPr>
          <w:noProof/>
        </w:rPr>
        <w:t>15</w:t>
      </w:r>
      <w:r>
        <w:rPr>
          <w:noProof/>
        </w:rPr>
        <w:fldChar w:fldCharType="end"/>
      </w:r>
    </w:p>
    <w:p w14:paraId="24DB406B" w14:textId="77777777" w:rsidR="00723A83" w:rsidRDefault="00723A83">
      <w:pPr>
        <w:pStyle w:val="TOC3"/>
        <w:rPr>
          <w:rFonts w:asciiTheme="minorHAnsi" w:eastAsiaTheme="minorEastAsia" w:hAnsiTheme="minorHAnsi" w:cstheme="minorBidi"/>
          <w:noProof/>
          <w:color w:val="auto"/>
          <w:sz w:val="22"/>
          <w:szCs w:val="22"/>
          <w:lang w:eastAsia="en-AU"/>
        </w:rPr>
      </w:pPr>
      <w:r>
        <w:rPr>
          <w:noProof/>
        </w:rPr>
        <w:t>Term of Reference A</w:t>
      </w:r>
      <w:r>
        <w:rPr>
          <w:noProof/>
        </w:rPr>
        <w:tab/>
      </w:r>
      <w:r>
        <w:rPr>
          <w:noProof/>
        </w:rPr>
        <w:fldChar w:fldCharType="begin"/>
      </w:r>
      <w:r>
        <w:rPr>
          <w:noProof/>
        </w:rPr>
        <w:instrText xml:space="preserve"> PAGEREF _Toc415042835 \h </w:instrText>
      </w:r>
      <w:r>
        <w:rPr>
          <w:noProof/>
        </w:rPr>
      </w:r>
      <w:r>
        <w:rPr>
          <w:noProof/>
        </w:rPr>
        <w:fldChar w:fldCharType="separate"/>
      </w:r>
      <w:r w:rsidR="003653D8">
        <w:rPr>
          <w:noProof/>
        </w:rPr>
        <w:t>16</w:t>
      </w:r>
      <w:r>
        <w:rPr>
          <w:noProof/>
        </w:rPr>
        <w:fldChar w:fldCharType="end"/>
      </w:r>
    </w:p>
    <w:p w14:paraId="0A431381"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rPr>
        <w:t>The CRC model</w:t>
      </w:r>
      <w:r>
        <w:rPr>
          <w:noProof/>
        </w:rPr>
        <w:tab/>
      </w:r>
      <w:r>
        <w:rPr>
          <w:noProof/>
        </w:rPr>
        <w:fldChar w:fldCharType="begin"/>
      </w:r>
      <w:r>
        <w:rPr>
          <w:noProof/>
        </w:rPr>
        <w:instrText xml:space="preserve"> PAGEREF _Toc415042836 \h </w:instrText>
      </w:r>
      <w:r>
        <w:rPr>
          <w:noProof/>
        </w:rPr>
      </w:r>
      <w:r>
        <w:rPr>
          <w:noProof/>
        </w:rPr>
        <w:fldChar w:fldCharType="separate"/>
      </w:r>
      <w:r w:rsidR="003653D8">
        <w:rPr>
          <w:noProof/>
        </w:rPr>
        <w:t>17</w:t>
      </w:r>
      <w:r>
        <w:rPr>
          <w:noProof/>
        </w:rPr>
        <w:fldChar w:fldCharType="end"/>
      </w:r>
    </w:p>
    <w:p w14:paraId="4A4FEC0B"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rPr>
        <w:t>Continue with a new focus</w:t>
      </w:r>
      <w:r>
        <w:rPr>
          <w:noProof/>
        </w:rPr>
        <w:tab/>
      </w:r>
      <w:r>
        <w:rPr>
          <w:noProof/>
        </w:rPr>
        <w:fldChar w:fldCharType="begin"/>
      </w:r>
      <w:r>
        <w:rPr>
          <w:noProof/>
        </w:rPr>
        <w:instrText xml:space="preserve"> PAGEREF _Toc415042837 \h </w:instrText>
      </w:r>
      <w:r>
        <w:rPr>
          <w:noProof/>
        </w:rPr>
      </w:r>
      <w:r>
        <w:rPr>
          <w:noProof/>
        </w:rPr>
        <w:fldChar w:fldCharType="separate"/>
      </w:r>
      <w:r w:rsidR="003653D8">
        <w:rPr>
          <w:noProof/>
        </w:rPr>
        <w:t>18</w:t>
      </w:r>
      <w:r>
        <w:rPr>
          <w:noProof/>
        </w:rPr>
        <w:fldChar w:fldCharType="end"/>
      </w:r>
    </w:p>
    <w:p w14:paraId="771F33F7"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rPr>
        <w:t>International experience</w:t>
      </w:r>
      <w:r>
        <w:rPr>
          <w:noProof/>
        </w:rPr>
        <w:tab/>
      </w:r>
      <w:r>
        <w:rPr>
          <w:noProof/>
        </w:rPr>
        <w:fldChar w:fldCharType="begin"/>
      </w:r>
      <w:r>
        <w:rPr>
          <w:noProof/>
        </w:rPr>
        <w:instrText xml:space="preserve"> PAGEREF _Toc415042838 \h </w:instrText>
      </w:r>
      <w:r>
        <w:rPr>
          <w:noProof/>
        </w:rPr>
      </w:r>
      <w:r>
        <w:rPr>
          <w:noProof/>
        </w:rPr>
        <w:fldChar w:fldCharType="separate"/>
      </w:r>
      <w:r w:rsidR="003653D8">
        <w:rPr>
          <w:noProof/>
        </w:rPr>
        <w:t>19</w:t>
      </w:r>
      <w:r>
        <w:rPr>
          <w:noProof/>
        </w:rPr>
        <w:fldChar w:fldCharType="end"/>
      </w:r>
    </w:p>
    <w:p w14:paraId="03197FFF"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rPr>
        <w:t>Previous programme reviews and findings</w:t>
      </w:r>
      <w:r>
        <w:rPr>
          <w:noProof/>
        </w:rPr>
        <w:tab/>
      </w:r>
      <w:r>
        <w:rPr>
          <w:noProof/>
        </w:rPr>
        <w:fldChar w:fldCharType="begin"/>
      </w:r>
      <w:r>
        <w:rPr>
          <w:noProof/>
        </w:rPr>
        <w:instrText xml:space="preserve"> PAGEREF _Toc415042839 \h </w:instrText>
      </w:r>
      <w:r>
        <w:rPr>
          <w:noProof/>
        </w:rPr>
      </w:r>
      <w:r>
        <w:rPr>
          <w:noProof/>
        </w:rPr>
        <w:fldChar w:fldCharType="separate"/>
      </w:r>
      <w:r w:rsidR="003653D8">
        <w:rPr>
          <w:noProof/>
        </w:rPr>
        <w:t>20</w:t>
      </w:r>
      <w:r>
        <w:rPr>
          <w:noProof/>
        </w:rPr>
        <w:fldChar w:fldCharType="end"/>
      </w:r>
    </w:p>
    <w:p w14:paraId="04501775"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rPr>
        <w:t>National Commission of Audit</w:t>
      </w:r>
      <w:r>
        <w:rPr>
          <w:noProof/>
        </w:rPr>
        <w:tab/>
      </w:r>
      <w:r>
        <w:rPr>
          <w:noProof/>
        </w:rPr>
        <w:fldChar w:fldCharType="begin"/>
      </w:r>
      <w:r>
        <w:rPr>
          <w:noProof/>
        </w:rPr>
        <w:instrText xml:space="preserve"> PAGEREF _Toc415042840 \h </w:instrText>
      </w:r>
      <w:r>
        <w:rPr>
          <w:noProof/>
        </w:rPr>
      </w:r>
      <w:r>
        <w:rPr>
          <w:noProof/>
        </w:rPr>
        <w:fldChar w:fldCharType="separate"/>
      </w:r>
      <w:r w:rsidR="003653D8">
        <w:rPr>
          <w:noProof/>
        </w:rPr>
        <w:t>21</w:t>
      </w:r>
      <w:r>
        <w:rPr>
          <w:noProof/>
        </w:rPr>
        <w:fldChar w:fldCharType="end"/>
      </w:r>
    </w:p>
    <w:p w14:paraId="0FA0915E"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rPr>
        <w:t>Public good</w:t>
      </w:r>
      <w:r>
        <w:rPr>
          <w:noProof/>
        </w:rPr>
        <w:tab/>
      </w:r>
      <w:r>
        <w:rPr>
          <w:noProof/>
        </w:rPr>
        <w:fldChar w:fldCharType="begin"/>
      </w:r>
      <w:r>
        <w:rPr>
          <w:noProof/>
        </w:rPr>
        <w:instrText xml:space="preserve"> PAGEREF _Toc415042841 \h </w:instrText>
      </w:r>
      <w:r>
        <w:rPr>
          <w:noProof/>
        </w:rPr>
      </w:r>
      <w:r>
        <w:rPr>
          <w:noProof/>
        </w:rPr>
        <w:fldChar w:fldCharType="separate"/>
      </w:r>
      <w:r w:rsidR="003653D8">
        <w:rPr>
          <w:noProof/>
        </w:rPr>
        <w:t>22</w:t>
      </w:r>
      <w:r>
        <w:rPr>
          <w:noProof/>
        </w:rPr>
        <w:fldChar w:fldCharType="end"/>
      </w:r>
    </w:p>
    <w:p w14:paraId="1DF56D8E"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rPr>
        <w:t>Linking to Industry Growth Centres</w:t>
      </w:r>
      <w:r>
        <w:rPr>
          <w:noProof/>
        </w:rPr>
        <w:tab/>
      </w:r>
      <w:r>
        <w:rPr>
          <w:noProof/>
        </w:rPr>
        <w:fldChar w:fldCharType="begin"/>
      </w:r>
      <w:r>
        <w:rPr>
          <w:noProof/>
        </w:rPr>
        <w:instrText xml:space="preserve"> PAGEREF _Toc415042842 \h </w:instrText>
      </w:r>
      <w:r>
        <w:rPr>
          <w:noProof/>
        </w:rPr>
      </w:r>
      <w:r>
        <w:rPr>
          <w:noProof/>
        </w:rPr>
        <w:fldChar w:fldCharType="separate"/>
      </w:r>
      <w:r w:rsidR="003653D8">
        <w:rPr>
          <w:noProof/>
        </w:rPr>
        <w:t>22</w:t>
      </w:r>
      <w:r>
        <w:rPr>
          <w:noProof/>
        </w:rPr>
        <w:fldChar w:fldCharType="end"/>
      </w:r>
    </w:p>
    <w:p w14:paraId="6B78AB75" w14:textId="77777777" w:rsidR="00723A83" w:rsidRDefault="00723A83">
      <w:pPr>
        <w:pStyle w:val="TOC3"/>
        <w:rPr>
          <w:rFonts w:asciiTheme="minorHAnsi" w:eastAsiaTheme="minorEastAsia" w:hAnsiTheme="minorHAnsi" w:cstheme="minorBidi"/>
          <w:noProof/>
          <w:color w:val="auto"/>
          <w:sz w:val="22"/>
          <w:szCs w:val="22"/>
          <w:lang w:eastAsia="en-AU"/>
        </w:rPr>
      </w:pPr>
      <w:r>
        <w:rPr>
          <w:noProof/>
        </w:rPr>
        <w:t>Term of Reference B</w:t>
      </w:r>
      <w:r>
        <w:rPr>
          <w:noProof/>
        </w:rPr>
        <w:tab/>
      </w:r>
      <w:r>
        <w:rPr>
          <w:noProof/>
        </w:rPr>
        <w:fldChar w:fldCharType="begin"/>
      </w:r>
      <w:r>
        <w:rPr>
          <w:noProof/>
        </w:rPr>
        <w:instrText xml:space="preserve"> PAGEREF _Toc415042843 \h </w:instrText>
      </w:r>
      <w:r>
        <w:rPr>
          <w:noProof/>
        </w:rPr>
      </w:r>
      <w:r>
        <w:rPr>
          <w:noProof/>
        </w:rPr>
        <w:fldChar w:fldCharType="separate"/>
      </w:r>
      <w:r w:rsidR="003653D8">
        <w:rPr>
          <w:noProof/>
        </w:rPr>
        <w:t>25</w:t>
      </w:r>
      <w:r>
        <w:rPr>
          <w:noProof/>
        </w:rPr>
        <w:fldChar w:fldCharType="end"/>
      </w:r>
    </w:p>
    <w:p w14:paraId="0F568B20"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rPr>
        <w:t>A new way to engage small to medium enterprises (SMEs)</w:t>
      </w:r>
      <w:r>
        <w:rPr>
          <w:noProof/>
        </w:rPr>
        <w:tab/>
      </w:r>
      <w:r>
        <w:rPr>
          <w:noProof/>
        </w:rPr>
        <w:fldChar w:fldCharType="begin"/>
      </w:r>
      <w:r>
        <w:rPr>
          <w:noProof/>
        </w:rPr>
        <w:instrText xml:space="preserve"> PAGEREF _Toc415042844 \h </w:instrText>
      </w:r>
      <w:r>
        <w:rPr>
          <w:noProof/>
        </w:rPr>
      </w:r>
      <w:r>
        <w:rPr>
          <w:noProof/>
        </w:rPr>
        <w:fldChar w:fldCharType="separate"/>
      </w:r>
      <w:r w:rsidR="003653D8">
        <w:rPr>
          <w:noProof/>
        </w:rPr>
        <w:t>25</w:t>
      </w:r>
      <w:r>
        <w:rPr>
          <w:noProof/>
        </w:rPr>
        <w:fldChar w:fldCharType="end"/>
      </w:r>
    </w:p>
    <w:p w14:paraId="0623FDCE"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rPr>
        <w:t>Industry driving research</w:t>
      </w:r>
      <w:r>
        <w:rPr>
          <w:noProof/>
        </w:rPr>
        <w:tab/>
      </w:r>
      <w:r>
        <w:rPr>
          <w:noProof/>
        </w:rPr>
        <w:fldChar w:fldCharType="begin"/>
      </w:r>
      <w:r>
        <w:rPr>
          <w:noProof/>
        </w:rPr>
        <w:instrText xml:space="preserve"> PAGEREF _Toc415042845 \h </w:instrText>
      </w:r>
      <w:r>
        <w:rPr>
          <w:noProof/>
        </w:rPr>
      </w:r>
      <w:r>
        <w:rPr>
          <w:noProof/>
        </w:rPr>
        <w:fldChar w:fldCharType="separate"/>
      </w:r>
      <w:r w:rsidR="003653D8">
        <w:rPr>
          <w:noProof/>
        </w:rPr>
        <w:t>28</w:t>
      </w:r>
      <w:r>
        <w:rPr>
          <w:noProof/>
        </w:rPr>
        <w:fldChar w:fldCharType="end"/>
      </w:r>
    </w:p>
    <w:p w14:paraId="2DCC7DA3"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rPr>
        <w:t>Focus on the problem that needs to be solved</w:t>
      </w:r>
      <w:r>
        <w:rPr>
          <w:noProof/>
        </w:rPr>
        <w:tab/>
      </w:r>
      <w:r>
        <w:rPr>
          <w:noProof/>
        </w:rPr>
        <w:fldChar w:fldCharType="begin"/>
      </w:r>
      <w:r>
        <w:rPr>
          <w:noProof/>
        </w:rPr>
        <w:instrText xml:space="preserve"> PAGEREF _Toc415042846 \h </w:instrText>
      </w:r>
      <w:r>
        <w:rPr>
          <w:noProof/>
        </w:rPr>
      </w:r>
      <w:r>
        <w:rPr>
          <w:noProof/>
        </w:rPr>
        <w:fldChar w:fldCharType="separate"/>
      </w:r>
      <w:r w:rsidR="003653D8">
        <w:rPr>
          <w:noProof/>
        </w:rPr>
        <w:t>28</w:t>
      </w:r>
      <w:r>
        <w:rPr>
          <w:noProof/>
        </w:rPr>
        <w:fldChar w:fldCharType="end"/>
      </w:r>
    </w:p>
    <w:p w14:paraId="18FC99BA"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rPr>
        <w:t>Governance</w:t>
      </w:r>
      <w:r>
        <w:rPr>
          <w:noProof/>
        </w:rPr>
        <w:tab/>
      </w:r>
      <w:r>
        <w:rPr>
          <w:noProof/>
        </w:rPr>
        <w:fldChar w:fldCharType="begin"/>
      </w:r>
      <w:r>
        <w:rPr>
          <w:noProof/>
        </w:rPr>
        <w:instrText xml:space="preserve"> PAGEREF _Toc415042847 \h </w:instrText>
      </w:r>
      <w:r>
        <w:rPr>
          <w:noProof/>
        </w:rPr>
      </w:r>
      <w:r>
        <w:rPr>
          <w:noProof/>
        </w:rPr>
        <w:fldChar w:fldCharType="separate"/>
      </w:r>
      <w:r w:rsidR="003653D8">
        <w:rPr>
          <w:noProof/>
        </w:rPr>
        <w:t>29</w:t>
      </w:r>
      <w:r>
        <w:rPr>
          <w:noProof/>
        </w:rPr>
        <w:fldChar w:fldCharType="end"/>
      </w:r>
    </w:p>
    <w:p w14:paraId="2DA2414C"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rPr>
        <w:t>Intellectual Property</w:t>
      </w:r>
      <w:r>
        <w:rPr>
          <w:noProof/>
        </w:rPr>
        <w:tab/>
      </w:r>
      <w:r>
        <w:rPr>
          <w:noProof/>
        </w:rPr>
        <w:fldChar w:fldCharType="begin"/>
      </w:r>
      <w:r>
        <w:rPr>
          <w:noProof/>
        </w:rPr>
        <w:instrText xml:space="preserve"> PAGEREF _Toc415042848 \h </w:instrText>
      </w:r>
      <w:r>
        <w:rPr>
          <w:noProof/>
        </w:rPr>
      </w:r>
      <w:r>
        <w:rPr>
          <w:noProof/>
        </w:rPr>
        <w:fldChar w:fldCharType="separate"/>
      </w:r>
      <w:r w:rsidR="003653D8">
        <w:rPr>
          <w:noProof/>
        </w:rPr>
        <w:t>29</w:t>
      </w:r>
      <w:r>
        <w:rPr>
          <w:noProof/>
        </w:rPr>
        <w:fldChar w:fldCharType="end"/>
      </w:r>
    </w:p>
    <w:p w14:paraId="44AFDA73"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rPr>
        <w:t>Prioritising funding</w:t>
      </w:r>
      <w:r>
        <w:rPr>
          <w:noProof/>
        </w:rPr>
        <w:tab/>
      </w:r>
      <w:r>
        <w:rPr>
          <w:noProof/>
        </w:rPr>
        <w:fldChar w:fldCharType="begin"/>
      </w:r>
      <w:r>
        <w:rPr>
          <w:noProof/>
        </w:rPr>
        <w:instrText xml:space="preserve"> PAGEREF _Toc415042849 \h </w:instrText>
      </w:r>
      <w:r>
        <w:rPr>
          <w:noProof/>
        </w:rPr>
      </w:r>
      <w:r>
        <w:rPr>
          <w:noProof/>
        </w:rPr>
        <w:fldChar w:fldCharType="separate"/>
      </w:r>
      <w:r w:rsidR="003653D8">
        <w:rPr>
          <w:noProof/>
        </w:rPr>
        <w:t>30</w:t>
      </w:r>
      <w:r>
        <w:rPr>
          <w:noProof/>
        </w:rPr>
        <w:fldChar w:fldCharType="end"/>
      </w:r>
    </w:p>
    <w:p w14:paraId="295C3F73" w14:textId="77777777" w:rsidR="00723A83" w:rsidRDefault="00723A83">
      <w:pPr>
        <w:pStyle w:val="TOC3"/>
        <w:rPr>
          <w:rFonts w:asciiTheme="minorHAnsi" w:eastAsiaTheme="minorEastAsia" w:hAnsiTheme="minorHAnsi" w:cstheme="minorBidi"/>
          <w:noProof/>
          <w:color w:val="auto"/>
          <w:sz w:val="22"/>
          <w:szCs w:val="22"/>
          <w:lang w:eastAsia="en-AU"/>
        </w:rPr>
      </w:pPr>
      <w:r>
        <w:rPr>
          <w:noProof/>
        </w:rPr>
        <w:t>Term of Reference C</w:t>
      </w:r>
      <w:r>
        <w:rPr>
          <w:noProof/>
        </w:rPr>
        <w:tab/>
      </w:r>
      <w:r>
        <w:rPr>
          <w:noProof/>
        </w:rPr>
        <w:fldChar w:fldCharType="begin"/>
      </w:r>
      <w:r>
        <w:rPr>
          <w:noProof/>
        </w:rPr>
        <w:instrText xml:space="preserve"> PAGEREF _Toc415042850 \h </w:instrText>
      </w:r>
      <w:r>
        <w:rPr>
          <w:noProof/>
        </w:rPr>
      </w:r>
      <w:r>
        <w:rPr>
          <w:noProof/>
        </w:rPr>
        <w:fldChar w:fldCharType="separate"/>
      </w:r>
      <w:r w:rsidR="003653D8">
        <w:rPr>
          <w:noProof/>
        </w:rPr>
        <w:t>32</w:t>
      </w:r>
      <w:r>
        <w:rPr>
          <w:noProof/>
        </w:rPr>
        <w:fldChar w:fldCharType="end"/>
      </w:r>
    </w:p>
    <w:p w14:paraId="52FAF82A"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rPr>
        <w:t>Attracting more industry and research players</w:t>
      </w:r>
      <w:r>
        <w:rPr>
          <w:noProof/>
        </w:rPr>
        <w:tab/>
      </w:r>
      <w:r>
        <w:rPr>
          <w:noProof/>
        </w:rPr>
        <w:fldChar w:fldCharType="begin"/>
      </w:r>
      <w:r>
        <w:rPr>
          <w:noProof/>
        </w:rPr>
        <w:instrText xml:space="preserve"> PAGEREF _Toc415042851 \h </w:instrText>
      </w:r>
      <w:r>
        <w:rPr>
          <w:noProof/>
        </w:rPr>
      </w:r>
      <w:r>
        <w:rPr>
          <w:noProof/>
        </w:rPr>
        <w:fldChar w:fldCharType="separate"/>
      </w:r>
      <w:r w:rsidR="003653D8">
        <w:rPr>
          <w:noProof/>
        </w:rPr>
        <w:t>34</w:t>
      </w:r>
      <w:r>
        <w:rPr>
          <w:noProof/>
        </w:rPr>
        <w:fldChar w:fldCharType="end"/>
      </w:r>
    </w:p>
    <w:p w14:paraId="010F57DA"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Pr>
          <w:noProof/>
        </w:rPr>
        <w:t>Funding arrangements and participant contributions</w:t>
      </w:r>
      <w:r>
        <w:rPr>
          <w:noProof/>
        </w:rPr>
        <w:tab/>
      </w:r>
      <w:r>
        <w:rPr>
          <w:noProof/>
        </w:rPr>
        <w:fldChar w:fldCharType="begin"/>
      </w:r>
      <w:r>
        <w:rPr>
          <w:noProof/>
        </w:rPr>
        <w:instrText xml:space="preserve"> PAGEREF _Toc415042852 \h </w:instrText>
      </w:r>
      <w:r>
        <w:rPr>
          <w:noProof/>
        </w:rPr>
      </w:r>
      <w:r>
        <w:rPr>
          <w:noProof/>
        </w:rPr>
        <w:fldChar w:fldCharType="separate"/>
      </w:r>
      <w:r w:rsidR="003653D8">
        <w:rPr>
          <w:noProof/>
        </w:rPr>
        <w:t>35</w:t>
      </w:r>
      <w:r>
        <w:rPr>
          <w:noProof/>
        </w:rPr>
        <w:fldChar w:fldCharType="end"/>
      </w:r>
    </w:p>
    <w:p w14:paraId="44A9EB96"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rPr>
        <w:t>Research Culture</w:t>
      </w:r>
      <w:r>
        <w:rPr>
          <w:noProof/>
        </w:rPr>
        <w:tab/>
      </w:r>
      <w:r>
        <w:rPr>
          <w:noProof/>
        </w:rPr>
        <w:fldChar w:fldCharType="begin"/>
      </w:r>
      <w:r>
        <w:rPr>
          <w:noProof/>
        </w:rPr>
        <w:instrText xml:space="preserve"> PAGEREF _Toc415042853 \h </w:instrText>
      </w:r>
      <w:r>
        <w:rPr>
          <w:noProof/>
        </w:rPr>
      </w:r>
      <w:r>
        <w:rPr>
          <w:noProof/>
        </w:rPr>
        <w:fldChar w:fldCharType="separate"/>
      </w:r>
      <w:r w:rsidR="003653D8">
        <w:rPr>
          <w:noProof/>
        </w:rPr>
        <w:t>36</w:t>
      </w:r>
      <w:r>
        <w:rPr>
          <w:noProof/>
        </w:rPr>
        <w:fldChar w:fldCharType="end"/>
      </w:r>
    </w:p>
    <w:p w14:paraId="45BFA578"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rPr>
        <w:t>Industry-relevant research training</w:t>
      </w:r>
      <w:r>
        <w:rPr>
          <w:noProof/>
        </w:rPr>
        <w:tab/>
      </w:r>
      <w:r>
        <w:rPr>
          <w:noProof/>
        </w:rPr>
        <w:fldChar w:fldCharType="begin"/>
      </w:r>
      <w:r>
        <w:rPr>
          <w:noProof/>
        </w:rPr>
        <w:instrText xml:space="preserve"> PAGEREF _Toc415042854 \h </w:instrText>
      </w:r>
      <w:r>
        <w:rPr>
          <w:noProof/>
        </w:rPr>
      </w:r>
      <w:r>
        <w:rPr>
          <w:noProof/>
        </w:rPr>
        <w:fldChar w:fldCharType="separate"/>
      </w:r>
      <w:r w:rsidR="003653D8">
        <w:rPr>
          <w:noProof/>
        </w:rPr>
        <w:t>36</w:t>
      </w:r>
      <w:r>
        <w:rPr>
          <w:noProof/>
        </w:rPr>
        <w:fldChar w:fldCharType="end"/>
      </w:r>
    </w:p>
    <w:p w14:paraId="643BD8F0" w14:textId="77777777" w:rsidR="00723A83" w:rsidRDefault="00723A83">
      <w:pPr>
        <w:pStyle w:val="TOC3"/>
        <w:rPr>
          <w:rFonts w:asciiTheme="minorHAnsi" w:eastAsiaTheme="minorEastAsia" w:hAnsiTheme="minorHAnsi" w:cstheme="minorBidi"/>
          <w:noProof/>
          <w:color w:val="auto"/>
          <w:sz w:val="22"/>
          <w:szCs w:val="22"/>
          <w:lang w:eastAsia="en-AU"/>
        </w:rPr>
      </w:pPr>
      <w:r>
        <w:rPr>
          <w:noProof/>
        </w:rPr>
        <w:t>Term of Reference D</w:t>
      </w:r>
      <w:r>
        <w:rPr>
          <w:noProof/>
        </w:rPr>
        <w:tab/>
      </w:r>
      <w:r>
        <w:rPr>
          <w:noProof/>
        </w:rPr>
        <w:fldChar w:fldCharType="begin"/>
      </w:r>
      <w:r>
        <w:rPr>
          <w:noProof/>
        </w:rPr>
        <w:instrText xml:space="preserve"> PAGEREF _Toc415042855 \h </w:instrText>
      </w:r>
      <w:r>
        <w:rPr>
          <w:noProof/>
        </w:rPr>
      </w:r>
      <w:r>
        <w:rPr>
          <w:noProof/>
        </w:rPr>
        <w:fldChar w:fldCharType="separate"/>
      </w:r>
      <w:r w:rsidR="003653D8">
        <w:rPr>
          <w:noProof/>
        </w:rPr>
        <w:t>38</w:t>
      </w:r>
      <w:r>
        <w:rPr>
          <w:noProof/>
        </w:rPr>
        <w:fldChar w:fldCharType="end"/>
      </w:r>
    </w:p>
    <w:p w14:paraId="66FE620D"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rPr>
        <w:t>Application and selection processes</w:t>
      </w:r>
      <w:r>
        <w:rPr>
          <w:noProof/>
        </w:rPr>
        <w:tab/>
      </w:r>
      <w:r>
        <w:rPr>
          <w:noProof/>
        </w:rPr>
        <w:fldChar w:fldCharType="begin"/>
      </w:r>
      <w:r>
        <w:rPr>
          <w:noProof/>
        </w:rPr>
        <w:instrText xml:space="preserve"> PAGEREF _Toc415042856 \h </w:instrText>
      </w:r>
      <w:r>
        <w:rPr>
          <w:noProof/>
        </w:rPr>
      </w:r>
      <w:r>
        <w:rPr>
          <w:noProof/>
        </w:rPr>
        <w:fldChar w:fldCharType="separate"/>
      </w:r>
      <w:r w:rsidR="003653D8">
        <w:rPr>
          <w:noProof/>
        </w:rPr>
        <w:t>38</w:t>
      </w:r>
      <w:r>
        <w:rPr>
          <w:noProof/>
        </w:rPr>
        <w:fldChar w:fldCharType="end"/>
      </w:r>
    </w:p>
    <w:p w14:paraId="48047805"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rPr>
        <w:t>Advisory committee</w:t>
      </w:r>
      <w:r>
        <w:rPr>
          <w:noProof/>
        </w:rPr>
        <w:tab/>
      </w:r>
      <w:r>
        <w:rPr>
          <w:noProof/>
        </w:rPr>
        <w:fldChar w:fldCharType="begin"/>
      </w:r>
      <w:r>
        <w:rPr>
          <w:noProof/>
        </w:rPr>
        <w:instrText xml:space="preserve"> PAGEREF _Toc415042857 \h </w:instrText>
      </w:r>
      <w:r>
        <w:rPr>
          <w:noProof/>
        </w:rPr>
      </w:r>
      <w:r>
        <w:rPr>
          <w:noProof/>
        </w:rPr>
        <w:fldChar w:fldCharType="separate"/>
      </w:r>
      <w:r w:rsidR="003653D8">
        <w:rPr>
          <w:noProof/>
        </w:rPr>
        <w:t>40</w:t>
      </w:r>
      <w:r>
        <w:rPr>
          <w:noProof/>
        </w:rPr>
        <w:fldChar w:fldCharType="end"/>
      </w:r>
    </w:p>
    <w:p w14:paraId="6E7D35D9"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rPr>
        <w:t>Performance data</w:t>
      </w:r>
      <w:r>
        <w:rPr>
          <w:noProof/>
        </w:rPr>
        <w:tab/>
      </w:r>
      <w:r>
        <w:rPr>
          <w:noProof/>
        </w:rPr>
        <w:fldChar w:fldCharType="begin"/>
      </w:r>
      <w:r>
        <w:rPr>
          <w:noProof/>
        </w:rPr>
        <w:instrText xml:space="preserve"> PAGEREF _Toc415042858 \h </w:instrText>
      </w:r>
      <w:r>
        <w:rPr>
          <w:noProof/>
        </w:rPr>
      </w:r>
      <w:r>
        <w:rPr>
          <w:noProof/>
        </w:rPr>
        <w:fldChar w:fldCharType="separate"/>
      </w:r>
      <w:r w:rsidR="003653D8">
        <w:rPr>
          <w:noProof/>
        </w:rPr>
        <w:t>42</w:t>
      </w:r>
      <w:r>
        <w:rPr>
          <w:noProof/>
        </w:rPr>
        <w:fldChar w:fldCharType="end"/>
      </w:r>
    </w:p>
    <w:p w14:paraId="5487C476"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lang w:eastAsia="en-AU"/>
        </w:rPr>
        <w:t>Performance of existing CRCs</w:t>
      </w:r>
      <w:r>
        <w:rPr>
          <w:noProof/>
        </w:rPr>
        <w:tab/>
      </w:r>
      <w:r>
        <w:rPr>
          <w:noProof/>
        </w:rPr>
        <w:fldChar w:fldCharType="begin"/>
      </w:r>
      <w:r>
        <w:rPr>
          <w:noProof/>
        </w:rPr>
        <w:instrText xml:space="preserve"> PAGEREF _Toc415042859 \h </w:instrText>
      </w:r>
      <w:r>
        <w:rPr>
          <w:noProof/>
        </w:rPr>
      </w:r>
      <w:r>
        <w:rPr>
          <w:noProof/>
        </w:rPr>
        <w:fldChar w:fldCharType="separate"/>
      </w:r>
      <w:r w:rsidR="003653D8">
        <w:rPr>
          <w:noProof/>
        </w:rPr>
        <w:t>42</w:t>
      </w:r>
      <w:r>
        <w:rPr>
          <w:noProof/>
        </w:rPr>
        <w:fldChar w:fldCharType="end"/>
      </w:r>
    </w:p>
    <w:p w14:paraId="7788BBA7" w14:textId="77777777" w:rsidR="00723A83" w:rsidRDefault="00723A83">
      <w:pPr>
        <w:pStyle w:val="TOC3"/>
        <w:rPr>
          <w:rFonts w:asciiTheme="minorHAnsi" w:eastAsiaTheme="minorEastAsia" w:hAnsiTheme="minorHAnsi" w:cstheme="minorBidi"/>
          <w:noProof/>
          <w:color w:val="auto"/>
          <w:sz w:val="22"/>
          <w:szCs w:val="22"/>
          <w:lang w:eastAsia="en-AU"/>
        </w:rPr>
      </w:pPr>
      <w:r>
        <w:rPr>
          <w:noProof/>
        </w:rPr>
        <w:t>Term of Reference E</w:t>
      </w:r>
      <w:r>
        <w:rPr>
          <w:noProof/>
        </w:rPr>
        <w:tab/>
      </w:r>
      <w:r>
        <w:rPr>
          <w:noProof/>
        </w:rPr>
        <w:fldChar w:fldCharType="begin"/>
      </w:r>
      <w:r>
        <w:rPr>
          <w:noProof/>
        </w:rPr>
        <w:instrText xml:space="preserve"> PAGEREF _Toc415042860 \h </w:instrText>
      </w:r>
      <w:r>
        <w:rPr>
          <w:noProof/>
        </w:rPr>
      </w:r>
      <w:r>
        <w:rPr>
          <w:noProof/>
        </w:rPr>
        <w:fldChar w:fldCharType="separate"/>
      </w:r>
      <w:r w:rsidR="003653D8">
        <w:rPr>
          <w:noProof/>
        </w:rPr>
        <w:t>43</w:t>
      </w:r>
      <w:r>
        <w:rPr>
          <w:noProof/>
        </w:rPr>
        <w:fldChar w:fldCharType="end"/>
      </w:r>
    </w:p>
    <w:p w14:paraId="5393FF3C"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rPr>
        <w:t>Programme demand</w:t>
      </w:r>
      <w:r>
        <w:rPr>
          <w:noProof/>
        </w:rPr>
        <w:tab/>
      </w:r>
      <w:r>
        <w:rPr>
          <w:noProof/>
        </w:rPr>
        <w:fldChar w:fldCharType="begin"/>
      </w:r>
      <w:r>
        <w:rPr>
          <w:noProof/>
        </w:rPr>
        <w:instrText xml:space="preserve"> PAGEREF _Toc415042861 \h </w:instrText>
      </w:r>
      <w:r>
        <w:rPr>
          <w:noProof/>
        </w:rPr>
      </w:r>
      <w:r>
        <w:rPr>
          <w:noProof/>
        </w:rPr>
        <w:fldChar w:fldCharType="separate"/>
      </w:r>
      <w:r w:rsidR="003653D8">
        <w:rPr>
          <w:noProof/>
        </w:rPr>
        <w:t>43</w:t>
      </w:r>
      <w:r>
        <w:rPr>
          <w:noProof/>
        </w:rPr>
        <w:fldChar w:fldCharType="end"/>
      </w:r>
    </w:p>
    <w:p w14:paraId="6FB38D84"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sidRPr="002C71A7">
        <w:rPr>
          <w:rFonts w:cs="Arial"/>
          <w:noProof/>
          <w:color w:val="auto"/>
        </w:rPr>
        <w:t>Australian economy</w:t>
      </w:r>
      <w:r>
        <w:rPr>
          <w:noProof/>
        </w:rPr>
        <w:tab/>
      </w:r>
      <w:r>
        <w:rPr>
          <w:noProof/>
        </w:rPr>
        <w:fldChar w:fldCharType="begin"/>
      </w:r>
      <w:r>
        <w:rPr>
          <w:noProof/>
        </w:rPr>
        <w:instrText xml:space="preserve"> PAGEREF _Toc415042862 \h </w:instrText>
      </w:r>
      <w:r>
        <w:rPr>
          <w:noProof/>
        </w:rPr>
      </w:r>
      <w:r>
        <w:rPr>
          <w:noProof/>
        </w:rPr>
        <w:fldChar w:fldCharType="separate"/>
      </w:r>
      <w:r w:rsidR="003653D8">
        <w:rPr>
          <w:noProof/>
        </w:rPr>
        <w:t>44</w:t>
      </w:r>
      <w:r>
        <w:rPr>
          <w:noProof/>
        </w:rPr>
        <w:fldChar w:fldCharType="end"/>
      </w:r>
    </w:p>
    <w:p w14:paraId="5648F04C" w14:textId="77777777" w:rsidR="00723A83" w:rsidRDefault="00723A83">
      <w:pPr>
        <w:pStyle w:val="TOC2"/>
        <w:tabs>
          <w:tab w:val="right" w:leader="dot" w:pos="9016"/>
        </w:tabs>
        <w:rPr>
          <w:rFonts w:asciiTheme="minorHAnsi" w:eastAsiaTheme="minorEastAsia" w:hAnsiTheme="minorHAnsi" w:cstheme="minorBidi"/>
          <w:noProof/>
          <w:color w:val="auto"/>
          <w:sz w:val="22"/>
          <w:szCs w:val="22"/>
          <w:lang w:eastAsia="en-AU"/>
        </w:rPr>
      </w:pPr>
      <w:r>
        <w:rPr>
          <w:noProof/>
        </w:rPr>
        <w:t>Part 3: Background and process</w:t>
      </w:r>
      <w:r>
        <w:rPr>
          <w:noProof/>
        </w:rPr>
        <w:tab/>
      </w:r>
      <w:r>
        <w:rPr>
          <w:noProof/>
        </w:rPr>
        <w:fldChar w:fldCharType="begin"/>
      </w:r>
      <w:r>
        <w:rPr>
          <w:noProof/>
        </w:rPr>
        <w:instrText xml:space="preserve"> PAGEREF _Toc415042863 \h </w:instrText>
      </w:r>
      <w:r>
        <w:rPr>
          <w:noProof/>
        </w:rPr>
      </w:r>
      <w:r>
        <w:rPr>
          <w:noProof/>
        </w:rPr>
        <w:fldChar w:fldCharType="separate"/>
      </w:r>
      <w:r w:rsidR="003653D8">
        <w:rPr>
          <w:noProof/>
        </w:rPr>
        <w:t>48</w:t>
      </w:r>
      <w:r>
        <w:rPr>
          <w:noProof/>
        </w:rPr>
        <w:fldChar w:fldCharType="end"/>
      </w:r>
    </w:p>
    <w:p w14:paraId="47376A4D" w14:textId="77777777" w:rsidR="00723A83" w:rsidRDefault="00723A83">
      <w:pPr>
        <w:pStyle w:val="TOC3"/>
        <w:rPr>
          <w:rFonts w:asciiTheme="minorHAnsi" w:eastAsiaTheme="minorEastAsia" w:hAnsiTheme="minorHAnsi" w:cstheme="minorBidi"/>
          <w:noProof/>
          <w:color w:val="auto"/>
          <w:sz w:val="22"/>
          <w:szCs w:val="22"/>
          <w:lang w:eastAsia="en-AU"/>
        </w:rPr>
      </w:pPr>
      <w:r>
        <w:rPr>
          <w:noProof/>
        </w:rPr>
        <w:t>1. Review process</w:t>
      </w:r>
      <w:r>
        <w:rPr>
          <w:noProof/>
        </w:rPr>
        <w:tab/>
      </w:r>
      <w:r>
        <w:rPr>
          <w:noProof/>
        </w:rPr>
        <w:fldChar w:fldCharType="begin"/>
      </w:r>
      <w:r>
        <w:rPr>
          <w:noProof/>
        </w:rPr>
        <w:instrText xml:space="preserve"> PAGEREF _Toc415042864 \h </w:instrText>
      </w:r>
      <w:r>
        <w:rPr>
          <w:noProof/>
        </w:rPr>
      </w:r>
      <w:r>
        <w:rPr>
          <w:noProof/>
        </w:rPr>
        <w:fldChar w:fldCharType="separate"/>
      </w:r>
      <w:r w:rsidR="003653D8">
        <w:rPr>
          <w:noProof/>
        </w:rPr>
        <w:t>48</w:t>
      </w:r>
      <w:r>
        <w:rPr>
          <w:noProof/>
        </w:rPr>
        <w:fldChar w:fldCharType="end"/>
      </w:r>
    </w:p>
    <w:p w14:paraId="33F5EBE2"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Pr>
          <w:noProof/>
        </w:rPr>
        <w:lastRenderedPageBreak/>
        <w:t>1.1 Approach to this review</w:t>
      </w:r>
      <w:r>
        <w:rPr>
          <w:noProof/>
        </w:rPr>
        <w:tab/>
      </w:r>
      <w:r>
        <w:rPr>
          <w:noProof/>
        </w:rPr>
        <w:fldChar w:fldCharType="begin"/>
      </w:r>
      <w:r>
        <w:rPr>
          <w:noProof/>
        </w:rPr>
        <w:instrText xml:space="preserve"> PAGEREF _Toc415042865 \h </w:instrText>
      </w:r>
      <w:r>
        <w:rPr>
          <w:noProof/>
        </w:rPr>
      </w:r>
      <w:r>
        <w:rPr>
          <w:noProof/>
        </w:rPr>
        <w:fldChar w:fldCharType="separate"/>
      </w:r>
      <w:r w:rsidR="003653D8">
        <w:rPr>
          <w:noProof/>
        </w:rPr>
        <w:t>48</w:t>
      </w:r>
      <w:r>
        <w:rPr>
          <w:noProof/>
        </w:rPr>
        <w:fldChar w:fldCharType="end"/>
      </w:r>
    </w:p>
    <w:p w14:paraId="7C6703C1"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Pr>
          <w:noProof/>
        </w:rPr>
        <w:t>1.2 Terms of Reference</w:t>
      </w:r>
      <w:r>
        <w:rPr>
          <w:noProof/>
        </w:rPr>
        <w:tab/>
      </w:r>
      <w:r>
        <w:rPr>
          <w:noProof/>
        </w:rPr>
        <w:fldChar w:fldCharType="begin"/>
      </w:r>
      <w:r>
        <w:rPr>
          <w:noProof/>
        </w:rPr>
        <w:instrText xml:space="preserve"> PAGEREF _Toc415042866 \h </w:instrText>
      </w:r>
      <w:r>
        <w:rPr>
          <w:noProof/>
        </w:rPr>
      </w:r>
      <w:r>
        <w:rPr>
          <w:noProof/>
        </w:rPr>
        <w:fldChar w:fldCharType="separate"/>
      </w:r>
      <w:r w:rsidR="003653D8">
        <w:rPr>
          <w:noProof/>
        </w:rPr>
        <w:t>48</w:t>
      </w:r>
      <w:r>
        <w:rPr>
          <w:noProof/>
        </w:rPr>
        <w:fldChar w:fldCharType="end"/>
      </w:r>
    </w:p>
    <w:p w14:paraId="17080E55"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Pr>
          <w:noProof/>
        </w:rPr>
        <w:t>1.3 Process used in this review</w:t>
      </w:r>
      <w:r>
        <w:rPr>
          <w:noProof/>
        </w:rPr>
        <w:tab/>
      </w:r>
      <w:r>
        <w:rPr>
          <w:noProof/>
        </w:rPr>
        <w:fldChar w:fldCharType="begin"/>
      </w:r>
      <w:r>
        <w:rPr>
          <w:noProof/>
        </w:rPr>
        <w:instrText xml:space="preserve"> PAGEREF _Toc415042867 \h </w:instrText>
      </w:r>
      <w:r>
        <w:rPr>
          <w:noProof/>
        </w:rPr>
      </w:r>
      <w:r>
        <w:rPr>
          <w:noProof/>
        </w:rPr>
        <w:fldChar w:fldCharType="separate"/>
      </w:r>
      <w:r w:rsidR="003653D8">
        <w:rPr>
          <w:noProof/>
        </w:rPr>
        <w:t>50</w:t>
      </w:r>
      <w:r>
        <w:rPr>
          <w:noProof/>
        </w:rPr>
        <w:fldChar w:fldCharType="end"/>
      </w:r>
    </w:p>
    <w:p w14:paraId="2B1A9917"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Pr>
          <w:noProof/>
        </w:rPr>
        <w:t>1.4 List of individual meetings</w:t>
      </w:r>
      <w:r>
        <w:rPr>
          <w:noProof/>
        </w:rPr>
        <w:tab/>
      </w:r>
      <w:r>
        <w:rPr>
          <w:noProof/>
        </w:rPr>
        <w:fldChar w:fldCharType="begin"/>
      </w:r>
      <w:r>
        <w:rPr>
          <w:noProof/>
        </w:rPr>
        <w:instrText xml:space="preserve"> PAGEREF _Toc415042868 \h </w:instrText>
      </w:r>
      <w:r>
        <w:rPr>
          <w:noProof/>
        </w:rPr>
      </w:r>
      <w:r>
        <w:rPr>
          <w:noProof/>
        </w:rPr>
        <w:fldChar w:fldCharType="separate"/>
      </w:r>
      <w:r w:rsidR="003653D8">
        <w:rPr>
          <w:noProof/>
        </w:rPr>
        <w:t>52</w:t>
      </w:r>
      <w:r>
        <w:rPr>
          <w:noProof/>
        </w:rPr>
        <w:fldChar w:fldCharType="end"/>
      </w:r>
    </w:p>
    <w:p w14:paraId="366FC266"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Pr>
          <w:noProof/>
        </w:rPr>
        <w:t>1.5 List of submissions</w:t>
      </w:r>
      <w:r>
        <w:rPr>
          <w:noProof/>
        </w:rPr>
        <w:tab/>
      </w:r>
      <w:r>
        <w:rPr>
          <w:noProof/>
        </w:rPr>
        <w:fldChar w:fldCharType="begin"/>
      </w:r>
      <w:r>
        <w:rPr>
          <w:noProof/>
        </w:rPr>
        <w:instrText xml:space="preserve"> PAGEREF _Toc415042869 \h </w:instrText>
      </w:r>
      <w:r>
        <w:rPr>
          <w:noProof/>
        </w:rPr>
      </w:r>
      <w:r>
        <w:rPr>
          <w:noProof/>
        </w:rPr>
        <w:fldChar w:fldCharType="separate"/>
      </w:r>
      <w:r w:rsidR="003653D8">
        <w:rPr>
          <w:noProof/>
        </w:rPr>
        <w:t>54</w:t>
      </w:r>
      <w:r>
        <w:rPr>
          <w:noProof/>
        </w:rPr>
        <w:fldChar w:fldCharType="end"/>
      </w:r>
    </w:p>
    <w:p w14:paraId="7881A1FC" w14:textId="77777777" w:rsidR="00723A83" w:rsidRDefault="00723A83">
      <w:pPr>
        <w:pStyle w:val="TOC3"/>
        <w:rPr>
          <w:rFonts w:asciiTheme="minorHAnsi" w:eastAsiaTheme="minorEastAsia" w:hAnsiTheme="minorHAnsi" w:cstheme="minorBidi"/>
          <w:noProof/>
          <w:color w:val="auto"/>
          <w:sz w:val="22"/>
          <w:szCs w:val="22"/>
          <w:lang w:eastAsia="en-AU"/>
        </w:rPr>
      </w:pPr>
      <w:r>
        <w:rPr>
          <w:noProof/>
        </w:rPr>
        <w:t>2. Background of the CRC Programme</w:t>
      </w:r>
      <w:r>
        <w:rPr>
          <w:noProof/>
        </w:rPr>
        <w:tab/>
      </w:r>
      <w:r>
        <w:rPr>
          <w:noProof/>
        </w:rPr>
        <w:fldChar w:fldCharType="begin"/>
      </w:r>
      <w:r>
        <w:rPr>
          <w:noProof/>
        </w:rPr>
        <w:instrText xml:space="preserve"> PAGEREF _Toc415042870 \h </w:instrText>
      </w:r>
      <w:r>
        <w:rPr>
          <w:noProof/>
        </w:rPr>
      </w:r>
      <w:r>
        <w:rPr>
          <w:noProof/>
        </w:rPr>
        <w:fldChar w:fldCharType="separate"/>
      </w:r>
      <w:r w:rsidR="003653D8">
        <w:rPr>
          <w:noProof/>
        </w:rPr>
        <w:t>60</w:t>
      </w:r>
      <w:r>
        <w:rPr>
          <w:noProof/>
        </w:rPr>
        <w:fldChar w:fldCharType="end"/>
      </w:r>
    </w:p>
    <w:p w14:paraId="20304612"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Pr>
          <w:noProof/>
        </w:rPr>
        <w:t>2.1 Introduction</w:t>
      </w:r>
      <w:r>
        <w:rPr>
          <w:noProof/>
        </w:rPr>
        <w:tab/>
      </w:r>
      <w:r>
        <w:rPr>
          <w:noProof/>
        </w:rPr>
        <w:fldChar w:fldCharType="begin"/>
      </w:r>
      <w:r>
        <w:rPr>
          <w:noProof/>
        </w:rPr>
        <w:instrText xml:space="preserve"> PAGEREF _Toc415042871 \h </w:instrText>
      </w:r>
      <w:r>
        <w:rPr>
          <w:noProof/>
        </w:rPr>
      </w:r>
      <w:r>
        <w:rPr>
          <w:noProof/>
        </w:rPr>
        <w:fldChar w:fldCharType="separate"/>
      </w:r>
      <w:r w:rsidR="003653D8">
        <w:rPr>
          <w:noProof/>
        </w:rPr>
        <w:t>60</w:t>
      </w:r>
      <w:r>
        <w:rPr>
          <w:noProof/>
        </w:rPr>
        <w:fldChar w:fldCharType="end"/>
      </w:r>
    </w:p>
    <w:p w14:paraId="76FCEE3D"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Pr>
          <w:noProof/>
        </w:rPr>
        <w:t>2.2 Key facts and figures</w:t>
      </w:r>
      <w:r>
        <w:rPr>
          <w:noProof/>
        </w:rPr>
        <w:tab/>
      </w:r>
      <w:r>
        <w:rPr>
          <w:noProof/>
        </w:rPr>
        <w:fldChar w:fldCharType="begin"/>
      </w:r>
      <w:r>
        <w:rPr>
          <w:noProof/>
        </w:rPr>
        <w:instrText xml:space="preserve"> PAGEREF _Toc415042872 \h </w:instrText>
      </w:r>
      <w:r>
        <w:rPr>
          <w:noProof/>
        </w:rPr>
      </w:r>
      <w:r>
        <w:rPr>
          <w:noProof/>
        </w:rPr>
        <w:fldChar w:fldCharType="separate"/>
      </w:r>
      <w:r w:rsidR="003653D8">
        <w:rPr>
          <w:noProof/>
        </w:rPr>
        <w:t>61</w:t>
      </w:r>
      <w:r>
        <w:rPr>
          <w:noProof/>
        </w:rPr>
        <w:fldChar w:fldCharType="end"/>
      </w:r>
    </w:p>
    <w:p w14:paraId="604C81DC" w14:textId="77777777" w:rsidR="00723A83" w:rsidRDefault="00723A83">
      <w:pPr>
        <w:pStyle w:val="TOC5"/>
        <w:tabs>
          <w:tab w:val="right" w:leader="dot" w:pos="9016"/>
        </w:tabs>
        <w:rPr>
          <w:rFonts w:asciiTheme="minorHAnsi" w:eastAsiaTheme="minorEastAsia" w:hAnsiTheme="minorHAnsi" w:cstheme="minorBidi"/>
          <w:noProof/>
          <w:color w:val="auto"/>
          <w:sz w:val="22"/>
          <w:szCs w:val="22"/>
          <w:lang w:eastAsia="en-AU"/>
        </w:rPr>
      </w:pPr>
      <w:r>
        <w:rPr>
          <w:noProof/>
        </w:rPr>
        <w:t>2.2.1 Industry participation in CRCs</w:t>
      </w:r>
      <w:r>
        <w:rPr>
          <w:noProof/>
        </w:rPr>
        <w:tab/>
      </w:r>
      <w:r>
        <w:rPr>
          <w:noProof/>
        </w:rPr>
        <w:fldChar w:fldCharType="begin"/>
      </w:r>
      <w:r>
        <w:rPr>
          <w:noProof/>
        </w:rPr>
        <w:instrText xml:space="preserve"> PAGEREF _Toc415042873 \h </w:instrText>
      </w:r>
      <w:r>
        <w:rPr>
          <w:noProof/>
        </w:rPr>
      </w:r>
      <w:r>
        <w:rPr>
          <w:noProof/>
        </w:rPr>
        <w:fldChar w:fldCharType="separate"/>
      </w:r>
      <w:r w:rsidR="003653D8">
        <w:rPr>
          <w:noProof/>
        </w:rPr>
        <w:t>61</w:t>
      </w:r>
      <w:r>
        <w:rPr>
          <w:noProof/>
        </w:rPr>
        <w:fldChar w:fldCharType="end"/>
      </w:r>
    </w:p>
    <w:p w14:paraId="721EBDBE" w14:textId="77777777" w:rsidR="00723A83" w:rsidRDefault="00723A83">
      <w:pPr>
        <w:pStyle w:val="TOC5"/>
        <w:tabs>
          <w:tab w:val="right" w:leader="dot" w:pos="9016"/>
        </w:tabs>
        <w:rPr>
          <w:rFonts w:asciiTheme="minorHAnsi" w:eastAsiaTheme="minorEastAsia" w:hAnsiTheme="minorHAnsi" w:cstheme="minorBidi"/>
          <w:noProof/>
          <w:color w:val="auto"/>
          <w:sz w:val="22"/>
          <w:szCs w:val="22"/>
          <w:lang w:eastAsia="en-AU"/>
        </w:rPr>
      </w:pPr>
      <w:r>
        <w:rPr>
          <w:noProof/>
        </w:rPr>
        <w:t>2.2.2 Patents filed and held by CRCs</w:t>
      </w:r>
      <w:r>
        <w:rPr>
          <w:noProof/>
        </w:rPr>
        <w:tab/>
      </w:r>
      <w:r>
        <w:rPr>
          <w:noProof/>
        </w:rPr>
        <w:fldChar w:fldCharType="begin"/>
      </w:r>
      <w:r>
        <w:rPr>
          <w:noProof/>
        </w:rPr>
        <w:instrText xml:space="preserve"> PAGEREF _Toc415042874 \h </w:instrText>
      </w:r>
      <w:r>
        <w:rPr>
          <w:noProof/>
        </w:rPr>
      </w:r>
      <w:r>
        <w:rPr>
          <w:noProof/>
        </w:rPr>
        <w:fldChar w:fldCharType="separate"/>
      </w:r>
      <w:r w:rsidR="003653D8">
        <w:rPr>
          <w:noProof/>
        </w:rPr>
        <w:t>62</w:t>
      </w:r>
      <w:r>
        <w:rPr>
          <w:noProof/>
        </w:rPr>
        <w:fldChar w:fldCharType="end"/>
      </w:r>
    </w:p>
    <w:p w14:paraId="206226A6" w14:textId="77777777" w:rsidR="00723A83" w:rsidRDefault="00723A83">
      <w:pPr>
        <w:pStyle w:val="TOC5"/>
        <w:tabs>
          <w:tab w:val="right" w:leader="dot" w:pos="9016"/>
        </w:tabs>
        <w:rPr>
          <w:rFonts w:asciiTheme="minorHAnsi" w:eastAsiaTheme="minorEastAsia" w:hAnsiTheme="minorHAnsi" w:cstheme="minorBidi"/>
          <w:noProof/>
          <w:color w:val="auto"/>
          <w:sz w:val="22"/>
          <w:szCs w:val="22"/>
          <w:lang w:eastAsia="en-AU"/>
        </w:rPr>
      </w:pPr>
      <w:r>
        <w:rPr>
          <w:noProof/>
        </w:rPr>
        <w:t>2.2.3 Publications</w:t>
      </w:r>
      <w:r>
        <w:rPr>
          <w:noProof/>
        </w:rPr>
        <w:tab/>
      </w:r>
      <w:r>
        <w:rPr>
          <w:noProof/>
        </w:rPr>
        <w:fldChar w:fldCharType="begin"/>
      </w:r>
      <w:r>
        <w:rPr>
          <w:noProof/>
        </w:rPr>
        <w:instrText xml:space="preserve"> PAGEREF _Toc415042875 \h </w:instrText>
      </w:r>
      <w:r>
        <w:rPr>
          <w:noProof/>
        </w:rPr>
      </w:r>
      <w:r>
        <w:rPr>
          <w:noProof/>
        </w:rPr>
        <w:fldChar w:fldCharType="separate"/>
      </w:r>
      <w:r w:rsidR="003653D8">
        <w:rPr>
          <w:noProof/>
        </w:rPr>
        <w:t>62</w:t>
      </w:r>
      <w:r>
        <w:rPr>
          <w:noProof/>
        </w:rPr>
        <w:fldChar w:fldCharType="end"/>
      </w:r>
    </w:p>
    <w:p w14:paraId="7071751C" w14:textId="77777777" w:rsidR="00723A83" w:rsidRDefault="00723A83">
      <w:pPr>
        <w:pStyle w:val="TOC5"/>
        <w:tabs>
          <w:tab w:val="right" w:leader="dot" w:pos="9016"/>
        </w:tabs>
        <w:rPr>
          <w:rFonts w:asciiTheme="minorHAnsi" w:eastAsiaTheme="minorEastAsia" w:hAnsiTheme="minorHAnsi" w:cstheme="minorBidi"/>
          <w:noProof/>
          <w:color w:val="auto"/>
          <w:sz w:val="22"/>
          <w:szCs w:val="22"/>
          <w:lang w:eastAsia="en-AU"/>
        </w:rPr>
      </w:pPr>
      <w:r>
        <w:rPr>
          <w:noProof/>
        </w:rPr>
        <w:t>2.2.4 PhD graduations and employment</w:t>
      </w:r>
      <w:r>
        <w:rPr>
          <w:noProof/>
        </w:rPr>
        <w:tab/>
      </w:r>
      <w:r>
        <w:rPr>
          <w:noProof/>
        </w:rPr>
        <w:fldChar w:fldCharType="begin"/>
      </w:r>
      <w:r>
        <w:rPr>
          <w:noProof/>
        </w:rPr>
        <w:instrText xml:space="preserve"> PAGEREF _Toc415042876 \h </w:instrText>
      </w:r>
      <w:r>
        <w:rPr>
          <w:noProof/>
        </w:rPr>
      </w:r>
      <w:r>
        <w:rPr>
          <w:noProof/>
        </w:rPr>
        <w:fldChar w:fldCharType="separate"/>
      </w:r>
      <w:r w:rsidR="003653D8">
        <w:rPr>
          <w:noProof/>
        </w:rPr>
        <w:t>62</w:t>
      </w:r>
      <w:r>
        <w:rPr>
          <w:noProof/>
        </w:rPr>
        <w:fldChar w:fldCharType="end"/>
      </w:r>
    </w:p>
    <w:p w14:paraId="4BA6A5F6" w14:textId="77777777" w:rsidR="00723A83" w:rsidRDefault="00723A83">
      <w:pPr>
        <w:pStyle w:val="TOC5"/>
        <w:tabs>
          <w:tab w:val="right" w:leader="dot" w:pos="9016"/>
        </w:tabs>
        <w:rPr>
          <w:rFonts w:asciiTheme="minorHAnsi" w:eastAsiaTheme="minorEastAsia" w:hAnsiTheme="minorHAnsi" w:cstheme="minorBidi"/>
          <w:noProof/>
          <w:color w:val="auto"/>
          <w:sz w:val="22"/>
          <w:szCs w:val="22"/>
          <w:lang w:eastAsia="en-AU"/>
        </w:rPr>
      </w:pPr>
      <w:r>
        <w:rPr>
          <w:noProof/>
        </w:rPr>
        <w:t>2.2.5 Demand for the programme</w:t>
      </w:r>
      <w:r>
        <w:rPr>
          <w:noProof/>
        </w:rPr>
        <w:tab/>
      </w:r>
      <w:r>
        <w:rPr>
          <w:noProof/>
        </w:rPr>
        <w:fldChar w:fldCharType="begin"/>
      </w:r>
      <w:r>
        <w:rPr>
          <w:noProof/>
        </w:rPr>
        <w:instrText xml:space="preserve"> PAGEREF _Toc415042877 \h </w:instrText>
      </w:r>
      <w:r>
        <w:rPr>
          <w:noProof/>
        </w:rPr>
      </w:r>
      <w:r>
        <w:rPr>
          <w:noProof/>
        </w:rPr>
        <w:fldChar w:fldCharType="separate"/>
      </w:r>
      <w:r w:rsidR="003653D8">
        <w:rPr>
          <w:noProof/>
        </w:rPr>
        <w:t>62</w:t>
      </w:r>
      <w:r>
        <w:rPr>
          <w:noProof/>
        </w:rPr>
        <w:fldChar w:fldCharType="end"/>
      </w:r>
    </w:p>
    <w:p w14:paraId="5339B2B2"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Pr>
          <w:noProof/>
        </w:rPr>
        <w:t>2.3 Overview of previous reviews and evaluations</w:t>
      </w:r>
      <w:r>
        <w:rPr>
          <w:noProof/>
        </w:rPr>
        <w:tab/>
      </w:r>
      <w:r>
        <w:rPr>
          <w:noProof/>
        </w:rPr>
        <w:fldChar w:fldCharType="begin"/>
      </w:r>
      <w:r>
        <w:rPr>
          <w:noProof/>
        </w:rPr>
        <w:instrText xml:space="preserve"> PAGEREF _Toc415042878 \h </w:instrText>
      </w:r>
      <w:r>
        <w:rPr>
          <w:noProof/>
        </w:rPr>
      </w:r>
      <w:r>
        <w:rPr>
          <w:noProof/>
        </w:rPr>
        <w:fldChar w:fldCharType="separate"/>
      </w:r>
      <w:r w:rsidR="003653D8">
        <w:rPr>
          <w:noProof/>
        </w:rPr>
        <w:t>62</w:t>
      </w:r>
      <w:r>
        <w:rPr>
          <w:noProof/>
        </w:rPr>
        <w:fldChar w:fldCharType="end"/>
      </w:r>
    </w:p>
    <w:p w14:paraId="678938D1" w14:textId="77777777" w:rsidR="00723A83" w:rsidRDefault="00723A83">
      <w:pPr>
        <w:pStyle w:val="TOC4"/>
        <w:tabs>
          <w:tab w:val="right" w:leader="dot" w:pos="9016"/>
        </w:tabs>
        <w:rPr>
          <w:rFonts w:asciiTheme="minorHAnsi" w:eastAsiaTheme="minorEastAsia" w:hAnsiTheme="minorHAnsi" w:cstheme="minorBidi"/>
          <w:noProof/>
          <w:color w:val="auto"/>
          <w:sz w:val="22"/>
          <w:szCs w:val="22"/>
          <w:lang w:eastAsia="en-AU"/>
        </w:rPr>
      </w:pPr>
      <w:r>
        <w:rPr>
          <w:noProof/>
        </w:rPr>
        <w:t>2.4 Summary of changes to the programme</w:t>
      </w:r>
      <w:r>
        <w:rPr>
          <w:noProof/>
        </w:rPr>
        <w:tab/>
      </w:r>
      <w:r>
        <w:rPr>
          <w:noProof/>
        </w:rPr>
        <w:fldChar w:fldCharType="begin"/>
      </w:r>
      <w:r>
        <w:rPr>
          <w:noProof/>
        </w:rPr>
        <w:instrText xml:space="preserve"> PAGEREF _Toc415042879 \h </w:instrText>
      </w:r>
      <w:r>
        <w:rPr>
          <w:noProof/>
        </w:rPr>
      </w:r>
      <w:r>
        <w:rPr>
          <w:noProof/>
        </w:rPr>
        <w:fldChar w:fldCharType="separate"/>
      </w:r>
      <w:r w:rsidR="003653D8">
        <w:rPr>
          <w:noProof/>
        </w:rPr>
        <w:t>63</w:t>
      </w:r>
      <w:r>
        <w:rPr>
          <w:noProof/>
        </w:rPr>
        <w:fldChar w:fldCharType="end"/>
      </w:r>
    </w:p>
    <w:p w14:paraId="1655A82F" w14:textId="77777777" w:rsidR="00723A83" w:rsidRDefault="00723A83">
      <w:pPr>
        <w:pStyle w:val="TOC3"/>
        <w:rPr>
          <w:rFonts w:asciiTheme="minorHAnsi" w:eastAsiaTheme="minorEastAsia" w:hAnsiTheme="minorHAnsi" w:cstheme="minorBidi"/>
          <w:noProof/>
          <w:color w:val="auto"/>
          <w:sz w:val="22"/>
          <w:szCs w:val="22"/>
          <w:lang w:eastAsia="en-AU"/>
        </w:rPr>
      </w:pPr>
      <w:r>
        <w:rPr>
          <w:noProof/>
        </w:rPr>
        <w:t>3. List of Active CRCs</w:t>
      </w:r>
      <w:r>
        <w:rPr>
          <w:noProof/>
        </w:rPr>
        <w:tab/>
      </w:r>
      <w:r>
        <w:rPr>
          <w:noProof/>
        </w:rPr>
        <w:fldChar w:fldCharType="begin"/>
      </w:r>
      <w:r>
        <w:rPr>
          <w:noProof/>
        </w:rPr>
        <w:instrText xml:space="preserve"> PAGEREF _Toc415042880 \h </w:instrText>
      </w:r>
      <w:r>
        <w:rPr>
          <w:noProof/>
        </w:rPr>
      </w:r>
      <w:r>
        <w:rPr>
          <w:noProof/>
        </w:rPr>
        <w:fldChar w:fldCharType="separate"/>
      </w:r>
      <w:r w:rsidR="003653D8">
        <w:rPr>
          <w:noProof/>
        </w:rPr>
        <w:t>65</w:t>
      </w:r>
      <w:r>
        <w:rPr>
          <w:noProof/>
        </w:rPr>
        <w:fldChar w:fldCharType="end"/>
      </w:r>
    </w:p>
    <w:p w14:paraId="6F21C905" w14:textId="77777777" w:rsidR="00723A83" w:rsidRDefault="00723A83">
      <w:pPr>
        <w:pStyle w:val="TOC3"/>
        <w:rPr>
          <w:rFonts w:asciiTheme="minorHAnsi" w:eastAsiaTheme="minorEastAsia" w:hAnsiTheme="minorHAnsi" w:cstheme="minorBidi"/>
          <w:noProof/>
          <w:color w:val="auto"/>
          <w:sz w:val="22"/>
          <w:szCs w:val="22"/>
          <w:lang w:eastAsia="en-AU"/>
        </w:rPr>
      </w:pPr>
      <w:r>
        <w:rPr>
          <w:noProof/>
        </w:rPr>
        <w:t>4. Suggested administrative changes</w:t>
      </w:r>
      <w:r>
        <w:rPr>
          <w:noProof/>
        </w:rPr>
        <w:tab/>
      </w:r>
      <w:r>
        <w:rPr>
          <w:noProof/>
        </w:rPr>
        <w:fldChar w:fldCharType="begin"/>
      </w:r>
      <w:r>
        <w:rPr>
          <w:noProof/>
        </w:rPr>
        <w:instrText xml:space="preserve"> PAGEREF _Toc415042881 \h </w:instrText>
      </w:r>
      <w:r>
        <w:rPr>
          <w:noProof/>
        </w:rPr>
      </w:r>
      <w:r>
        <w:rPr>
          <w:noProof/>
        </w:rPr>
        <w:fldChar w:fldCharType="separate"/>
      </w:r>
      <w:r w:rsidR="003653D8">
        <w:rPr>
          <w:noProof/>
        </w:rPr>
        <w:t>70</w:t>
      </w:r>
      <w:r>
        <w:rPr>
          <w:noProof/>
        </w:rPr>
        <w:fldChar w:fldCharType="end"/>
      </w:r>
    </w:p>
    <w:p w14:paraId="7E29BCA0" w14:textId="77777777" w:rsidR="00723A83" w:rsidRDefault="00723A83">
      <w:pPr>
        <w:pStyle w:val="TOC3"/>
        <w:rPr>
          <w:rFonts w:asciiTheme="minorHAnsi" w:eastAsiaTheme="minorEastAsia" w:hAnsiTheme="minorHAnsi" w:cstheme="minorBidi"/>
          <w:noProof/>
          <w:color w:val="auto"/>
          <w:sz w:val="22"/>
          <w:szCs w:val="22"/>
          <w:lang w:eastAsia="en-AU"/>
        </w:rPr>
      </w:pPr>
      <w:r>
        <w:rPr>
          <w:noProof/>
        </w:rPr>
        <w:t>5. Summary of industry-research collaboration government initiatives</w:t>
      </w:r>
      <w:r>
        <w:rPr>
          <w:noProof/>
        </w:rPr>
        <w:tab/>
      </w:r>
      <w:r>
        <w:rPr>
          <w:noProof/>
        </w:rPr>
        <w:fldChar w:fldCharType="begin"/>
      </w:r>
      <w:r>
        <w:rPr>
          <w:noProof/>
        </w:rPr>
        <w:instrText xml:space="preserve"> PAGEREF _Toc415042882 \h </w:instrText>
      </w:r>
      <w:r>
        <w:rPr>
          <w:noProof/>
        </w:rPr>
      </w:r>
      <w:r>
        <w:rPr>
          <w:noProof/>
        </w:rPr>
        <w:fldChar w:fldCharType="separate"/>
      </w:r>
      <w:r w:rsidR="003653D8">
        <w:rPr>
          <w:noProof/>
        </w:rPr>
        <w:t>70</w:t>
      </w:r>
      <w:r>
        <w:rPr>
          <w:noProof/>
        </w:rPr>
        <w:fldChar w:fldCharType="end"/>
      </w:r>
    </w:p>
    <w:p w14:paraId="2236310D" w14:textId="77777777" w:rsidR="00EC361E" w:rsidRDefault="00B8625F" w:rsidP="00C2674C">
      <w:pPr>
        <w:rPr>
          <w:color w:val="auto"/>
        </w:rPr>
      </w:pPr>
      <w:r w:rsidRPr="00886F38">
        <w:rPr>
          <w:color w:val="auto"/>
        </w:rPr>
        <w:fldChar w:fldCharType="end"/>
      </w:r>
      <w:r w:rsidR="00EC361E">
        <w:rPr>
          <w:color w:val="auto"/>
        </w:rPr>
        <w:br w:type="page"/>
      </w:r>
    </w:p>
    <w:p w14:paraId="14047AFE" w14:textId="77777777" w:rsidR="000C6BFE" w:rsidRPr="00886F38" w:rsidRDefault="000C6BFE" w:rsidP="000C6BFE">
      <w:pPr>
        <w:rPr>
          <w:color w:val="auto"/>
        </w:rPr>
        <w:sectPr w:rsidR="000C6BFE" w:rsidRPr="00886F38" w:rsidSect="009F64E0">
          <w:headerReference w:type="even" r:id="rId17"/>
          <w:headerReference w:type="default" r:id="rId18"/>
          <w:type w:val="continuous"/>
          <w:pgSz w:w="11906" w:h="16838"/>
          <w:pgMar w:top="1440" w:right="1440" w:bottom="1440" w:left="1440" w:header="708" w:footer="708" w:gutter="0"/>
          <w:cols w:space="708"/>
          <w:docGrid w:linePitch="360"/>
        </w:sectPr>
      </w:pPr>
    </w:p>
    <w:p w14:paraId="0AEF2FC1" w14:textId="77777777" w:rsidR="00B8625F" w:rsidRPr="00886F38" w:rsidRDefault="00B63006" w:rsidP="005E4F89">
      <w:pPr>
        <w:pStyle w:val="Heading2"/>
      </w:pPr>
      <w:bookmarkStart w:id="7" w:name="_Toc415042831"/>
      <w:r w:rsidRPr="00886F38">
        <w:lastRenderedPageBreak/>
        <w:t xml:space="preserve">Part 1: </w:t>
      </w:r>
      <w:r w:rsidR="007D3955" w:rsidRPr="00886F38">
        <w:t>Summary and recommendations</w:t>
      </w:r>
      <w:bookmarkEnd w:id="7"/>
    </w:p>
    <w:p w14:paraId="1507AB8C" w14:textId="77777777" w:rsidR="00306DAD" w:rsidRDefault="00306DAD" w:rsidP="00B63006">
      <w:pPr>
        <w:pStyle w:val="Heading3"/>
        <w:sectPr w:rsidR="00306DAD" w:rsidSect="009F64E0">
          <w:headerReference w:type="default" r:id="rId19"/>
          <w:pgSz w:w="11906" w:h="16838"/>
          <w:pgMar w:top="1440" w:right="1440" w:bottom="1440" w:left="1440" w:header="708" w:footer="708" w:gutter="0"/>
          <w:cols w:space="708"/>
          <w:docGrid w:linePitch="360"/>
        </w:sectPr>
      </w:pPr>
    </w:p>
    <w:p w14:paraId="624CE8AF" w14:textId="77777777" w:rsidR="00B8625F" w:rsidRPr="00886F38" w:rsidRDefault="007D3955" w:rsidP="00B63006">
      <w:pPr>
        <w:pStyle w:val="Heading3"/>
      </w:pPr>
      <w:bookmarkStart w:id="8" w:name="_Toc415042832"/>
      <w:r w:rsidRPr="00886F38">
        <w:lastRenderedPageBreak/>
        <w:t>Executive Summary</w:t>
      </w:r>
      <w:bookmarkEnd w:id="8"/>
    </w:p>
    <w:p w14:paraId="3B875EB6" w14:textId="77777777" w:rsidR="009223E2" w:rsidRPr="00306DAD" w:rsidRDefault="009223E2" w:rsidP="002D34D5">
      <w:pPr>
        <w:pStyle w:val="BodyText"/>
      </w:pPr>
      <w:r w:rsidRPr="00306DAD">
        <w:t xml:space="preserve">The Cooperative Research Centres (CRC) Programme has been a feature of the Australian Government research and </w:t>
      </w:r>
      <w:r w:rsidR="00E56D09">
        <w:t>innovation agenda for 25 years.</w:t>
      </w:r>
    </w:p>
    <w:p w14:paraId="53493D7D" w14:textId="77777777" w:rsidR="009223E2" w:rsidRPr="00A0107D" w:rsidRDefault="009223E2" w:rsidP="002D34D5">
      <w:pPr>
        <w:pStyle w:val="BodyText"/>
      </w:pPr>
      <w:r w:rsidRPr="00A0107D">
        <w:t>The programme has been subject to many reviews, each initiated to determine whether it was delivering on its stated objectives. In response to these reviews, successive governments have taken the opportunity to revise the programme to maximise the delivery of the objectives and its flow-on value – largely through amendmen</w:t>
      </w:r>
      <w:r w:rsidR="00E56D09">
        <w:t>ts to guidelines and processes.</w:t>
      </w:r>
    </w:p>
    <w:p w14:paraId="3BC8C84A" w14:textId="77777777" w:rsidR="009223E2" w:rsidRPr="00A0107D" w:rsidRDefault="009223E2" w:rsidP="002D34D5">
      <w:pPr>
        <w:pStyle w:val="BodyText"/>
      </w:pPr>
      <w:r w:rsidRPr="00A0107D">
        <w:t xml:space="preserve">The Allen Consulting Group found in 2012 that the programme has proven to be highly important to the Australian research and development scene and, by linking researchers with domestic and international end users, has delivered significant economic, environmental and social impacts. Their report showed a 3:1 return on investment and cited examples such as the sale of products manufactured in Australia using technology developed by the CRC for Polymers increasing sales revenue by $25 million, the CRC for High Integrity Australian Pork delivering cost savings of $14 million annually since 2010 through advances in grain technology and feed efficiency, and the </w:t>
      </w:r>
      <w:proofErr w:type="spellStart"/>
      <w:r w:rsidRPr="00A0107D">
        <w:t>HEARing</w:t>
      </w:r>
      <w:proofErr w:type="spellEnd"/>
      <w:r w:rsidRPr="00A0107D">
        <w:t xml:space="preserve"> CRC technology used by Cochlear adding value of appr</w:t>
      </w:r>
      <w:r w:rsidR="00E56D09">
        <w:t>oximately $120 million to 2012.</w:t>
      </w:r>
    </w:p>
    <w:p w14:paraId="20B89D98" w14:textId="77777777" w:rsidR="009223E2" w:rsidRPr="00A0107D" w:rsidRDefault="009223E2" w:rsidP="002D34D5">
      <w:pPr>
        <w:pStyle w:val="BodyText"/>
      </w:pPr>
      <w:r w:rsidRPr="00A0107D">
        <w:t>At the beginning of my review there was significant stakeholder uncertainty about the programme’s future, against a backdrop of fiscal restraint. My main focus has been to determine the effectiveness of the programme in supporting government’s priorities fo</w:t>
      </w:r>
      <w:r w:rsidR="00E56D09">
        <w:t>r applied science and research.</w:t>
      </w:r>
    </w:p>
    <w:p w14:paraId="65829A79" w14:textId="77777777" w:rsidR="009223E2" w:rsidRPr="00A0107D" w:rsidRDefault="009223E2" w:rsidP="002D34D5">
      <w:pPr>
        <w:pStyle w:val="BodyText"/>
      </w:pPr>
      <w:r w:rsidRPr="00A0107D">
        <w:t>Stakeholders had the opportunity to provide feedback on the programme through open information sessions held in Adelaide, Melbourne, Canberra, Sydney and Brisbane, indiv</w:t>
      </w:r>
      <w:r w:rsidR="00E56D09">
        <w:t>idual meetings and submissions.</w:t>
      </w:r>
    </w:p>
    <w:p w14:paraId="5E6CEE05" w14:textId="77777777" w:rsidR="009223E2" w:rsidRPr="00A0107D" w:rsidRDefault="009223E2" w:rsidP="002D34D5">
      <w:pPr>
        <w:pStyle w:val="BodyText"/>
      </w:pPr>
      <w:r w:rsidRPr="00A0107D">
        <w:t>The consistent message I have received is that the programme is valuable and effective, but there is scope for improvement. After careful analysis of the 251 submissions, programme data and other information from a variety of sources, I have concluded that the programme should continue w</w:t>
      </w:r>
      <w:r w:rsidR="00E56D09">
        <w:t>ith a new, more targeted focus.</w:t>
      </w:r>
    </w:p>
    <w:p w14:paraId="13F41C65" w14:textId="77777777" w:rsidR="009223E2" w:rsidRPr="00A0107D" w:rsidRDefault="009223E2" w:rsidP="002D34D5">
      <w:pPr>
        <w:pStyle w:val="BodyText"/>
      </w:pPr>
      <w:r w:rsidRPr="00A0107D">
        <w:t>Th</w:t>
      </w:r>
      <w:r w:rsidR="000429E3" w:rsidRPr="00A0107D">
        <w:t>e p</w:t>
      </w:r>
      <w:r w:rsidRPr="00A0107D">
        <w:t>rogramme continues to be extremely important in encouraging and facilitating industry-led collaboration between industry and research. Retaining the CRC Programme as a stand-alone programme serves to put science at</w:t>
      </w:r>
      <w:r w:rsidR="00E56D09">
        <w:t xml:space="preserve"> the centre of industry policy.</w:t>
      </w:r>
    </w:p>
    <w:p w14:paraId="16F21BB8" w14:textId="77777777" w:rsidR="009223E2" w:rsidRPr="00A0107D" w:rsidRDefault="009223E2" w:rsidP="002D34D5">
      <w:pPr>
        <w:pStyle w:val="BodyText"/>
      </w:pPr>
      <w:r w:rsidRPr="00A0107D">
        <w:lastRenderedPageBreak/>
        <w:t>The programme is known and highly regarded internationally. While accounting for only 1.6 per cent of Australian Government spending on science, research and innovation, the programme occupies an important place in building scale, scope, and duration of collaborative activity and increasing the range of partners involved. It also plays a valuable role in providing indus</w:t>
      </w:r>
      <w:r w:rsidR="00E56D09">
        <w:t>try-relevant research training.</w:t>
      </w:r>
    </w:p>
    <w:p w14:paraId="611E3131" w14:textId="77777777" w:rsidR="009223E2" w:rsidRPr="00A0107D" w:rsidRDefault="009223E2" w:rsidP="002D34D5">
      <w:pPr>
        <w:pStyle w:val="BodyText"/>
      </w:pPr>
      <w:r w:rsidRPr="00A0107D">
        <w:t>The recently announced</w:t>
      </w:r>
      <w:r w:rsidRPr="009223E2">
        <w:rPr>
          <w:lang w:eastAsia="en-AU"/>
        </w:rPr>
        <w:t xml:space="preserve"> </w:t>
      </w:r>
      <w:r w:rsidRPr="00A0107D">
        <w:rPr>
          <w:rStyle w:val="Emphasis"/>
        </w:rPr>
        <w:t>Industry Innovation and Competitiveness Agenda</w:t>
      </w:r>
      <w:r w:rsidRPr="009223E2">
        <w:rPr>
          <w:i/>
          <w:iCs/>
          <w:lang w:eastAsia="en-AU"/>
        </w:rPr>
        <w:t xml:space="preserve"> </w:t>
      </w:r>
      <w:r w:rsidRPr="00A0107D">
        <w:t xml:space="preserve">(the Agenda) and the related </w:t>
      </w:r>
      <w:r w:rsidRPr="00A0107D">
        <w:rPr>
          <w:rStyle w:val="Emphasis"/>
        </w:rPr>
        <w:t>Boosting the Commercial Returns of Research</w:t>
      </w:r>
      <w:r w:rsidRPr="009223E2">
        <w:rPr>
          <w:i/>
          <w:iCs/>
          <w:lang w:eastAsia="en-AU"/>
        </w:rPr>
        <w:t xml:space="preserve"> </w:t>
      </w:r>
      <w:r w:rsidRPr="00A0107D">
        <w:t>strategy clearly articulate the government’s desire to better translate research into commercial outcomes, with the latter stating that ‘we must build better bridges between research and industry’. Industry-research collaboration is crucial for Australia to be a competitive and forward-looking economy and therefore the preservation and enhancement of government support throu</w:t>
      </w:r>
      <w:r w:rsidR="00E56D09">
        <w:t>gh the programme is imperative.</w:t>
      </w:r>
    </w:p>
    <w:p w14:paraId="5E520C5A" w14:textId="77777777" w:rsidR="009223E2" w:rsidRPr="009223E2" w:rsidRDefault="009223E2" w:rsidP="002D34D5">
      <w:pPr>
        <w:pStyle w:val="BodyText"/>
        <w:rPr>
          <w:lang w:eastAsia="en-AU"/>
        </w:rPr>
      </w:pPr>
      <w:r w:rsidRPr="00A0107D">
        <w:t>The Industry Growth Centres (Growth Centres), announced as part of the Agenda, will be pivotal in driving business-to-business and business-to-research collaboration by helping define the needs (research and otherwise) of the sectors on which they focus. The CRC Programme can be the engine of innovative research to support the work of the Growth Centres and develop ideas identified by industry and Growth</w:t>
      </w:r>
      <w:r w:rsidRPr="009223E2">
        <w:rPr>
          <w:lang w:eastAsia="en-AU"/>
        </w:rPr>
        <w:t xml:space="preserve"> Centres, commercialise them, and take them to domestic and international markets. The programme should also continue its vital role in training the next generation of researchers and entrepreneurs, and inspiring cultural change in industry and research so that innovation and</w:t>
      </w:r>
      <w:r w:rsidR="00E56D09">
        <w:rPr>
          <w:lang w:eastAsia="en-AU"/>
        </w:rPr>
        <w:t xml:space="preserve"> collaboration become the norm.</w:t>
      </w:r>
    </w:p>
    <w:p w14:paraId="0CB0B396" w14:textId="77777777" w:rsidR="009223E2" w:rsidRPr="009223E2" w:rsidRDefault="009223E2" w:rsidP="002D34D5">
      <w:pPr>
        <w:pStyle w:val="BodyText"/>
        <w:rPr>
          <w:lang w:eastAsia="en-AU"/>
        </w:rPr>
      </w:pPr>
      <w:r w:rsidRPr="009223E2">
        <w:rPr>
          <w:lang w:eastAsia="en-AU"/>
        </w:rPr>
        <w:t>In recent times CRC Programme funding has been used to support initiatives which, while meaningful and worthwhile, have led to a dilution of funds available for the original objectives and a muddying of the programme’s purpose. To support the government’s priorities for applied science and research, the programme should have industry front and centre. It should be refocused and targeted to deliver outcomes for industry</w:t>
      </w:r>
      <w:r w:rsidR="00E56D09">
        <w:rPr>
          <w:lang w:eastAsia="en-AU"/>
        </w:rPr>
        <w:t xml:space="preserve"> through industry-led research.</w:t>
      </w:r>
    </w:p>
    <w:p w14:paraId="71E641A1" w14:textId="77777777" w:rsidR="009223E2" w:rsidRPr="009223E2" w:rsidRDefault="009223E2" w:rsidP="002D34D5">
      <w:pPr>
        <w:pStyle w:val="BodyText"/>
        <w:rPr>
          <w:lang w:eastAsia="en-AU"/>
        </w:rPr>
      </w:pPr>
      <w:r w:rsidRPr="009223E2">
        <w:rPr>
          <w:lang w:eastAsia="en-AU"/>
        </w:rPr>
        <w:t>While placing a priority on the growth sectors, the programme should continue to be available to all industry sectors to allow for building capability, promoting innovation and industry-research collaborative relationships in sectors that are not currently considered to be an area of existing compe</w:t>
      </w:r>
      <w:r w:rsidR="00E56D09">
        <w:rPr>
          <w:lang w:eastAsia="en-AU"/>
        </w:rPr>
        <w:t>titive advantage for Australia.</w:t>
      </w:r>
    </w:p>
    <w:p w14:paraId="2970A9E9" w14:textId="77777777" w:rsidR="009223E2" w:rsidRPr="009223E2" w:rsidRDefault="009223E2" w:rsidP="002D34D5">
      <w:pPr>
        <w:pStyle w:val="BodyText"/>
        <w:rPr>
          <w:lang w:eastAsia="en-AU"/>
        </w:rPr>
      </w:pPr>
      <w:r w:rsidRPr="009223E2">
        <w:rPr>
          <w:lang w:eastAsia="en-AU"/>
        </w:rPr>
        <w:t xml:space="preserve">Small and medium enterprises (SMEs) are a significant part of the Australian economy, accounting for more than two-thirds of GDP, national output and jobs. Much can be gained from having more SMEs involved in industry-research collaboration activities supported by the programme. There are, however, a number of perceived barriers to SME participation, which I believe can be addressed by providing a simpler entry mechanism and lower cost threshold to enable participation in the programme. A </w:t>
      </w:r>
      <w:r w:rsidRPr="009223E2">
        <w:rPr>
          <w:lang w:eastAsia="en-AU"/>
        </w:rPr>
        <w:lastRenderedPageBreak/>
        <w:t xml:space="preserve">new stream of activity, CRC </w:t>
      </w:r>
      <w:r w:rsidR="000429E3">
        <w:rPr>
          <w:lang w:eastAsia="en-AU"/>
        </w:rPr>
        <w:t>p</w:t>
      </w:r>
      <w:r w:rsidRPr="009223E2">
        <w:rPr>
          <w:lang w:eastAsia="en-AU"/>
        </w:rPr>
        <w:t>rojects (CRC-Ps), supporting industry-focused research projects, with shorter timeframes and smaller budgets should be introduced. The funding for this new activity should come from the</w:t>
      </w:r>
      <w:r w:rsidR="00E56D09">
        <w:rPr>
          <w:lang w:eastAsia="en-AU"/>
        </w:rPr>
        <w:t xml:space="preserve"> existing programme allocation.</w:t>
      </w:r>
    </w:p>
    <w:p w14:paraId="62332330" w14:textId="77777777" w:rsidR="009223E2" w:rsidRPr="009223E2" w:rsidRDefault="009223E2" w:rsidP="002D34D5">
      <w:pPr>
        <w:pStyle w:val="BodyText"/>
        <w:rPr>
          <w:lang w:eastAsia="en-AU"/>
        </w:rPr>
      </w:pPr>
      <w:r w:rsidRPr="009223E2">
        <w:rPr>
          <w:lang w:eastAsia="en-AU"/>
        </w:rPr>
        <w:t>A simplified selection and review process should be established, including a new, smaller, more industry-focused advisory group. The new arrangements should prioritise timely and cost effective research commercialisation and application of research outcomes for industry to lift the competitiveness and productivity of industry, while recognising the importance of research outputs to knowledge transfer and future career opportunities for researchers and postgraduate students. As far as possible the new process should make use of best practice frameworks, inclu</w:t>
      </w:r>
      <w:r w:rsidR="00E56D09">
        <w:rPr>
          <w:lang w:eastAsia="en-AU"/>
        </w:rPr>
        <w:t>ding for intellectual property.</w:t>
      </w:r>
    </w:p>
    <w:p w14:paraId="5ED9D695" w14:textId="77777777" w:rsidR="009223E2" w:rsidRPr="009223E2" w:rsidRDefault="009223E2" w:rsidP="002D34D5">
      <w:pPr>
        <w:pStyle w:val="BodyText"/>
        <w:rPr>
          <w:lang w:eastAsia="en-AU"/>
        </w:rPr>
      </w:pPr>
      <w:r w:rsidRPr="009223E2">
        <w:rPr>
          <w:lang w:eastAsia="en-AU"/>
        </w:rPr>
        <w:t>Streamlined administration is also needed to enhance programme efficiency. In addition to providing advice on applications, the advisory group should identify which existing CRCs could potentially link to Growth Centres. It should also assess the performance of existing CRCs against current contracts to determine which of them are on track to achieving stated outcomes, and which need to improve. Only those that are on track to delivering against their stated outcomes should continue for the period of t</w:t>
      </w:r>
      <w:r w:rsidR="00E56D09">
        <w:rPr>
          <w:lang w:eastAsia="en-AU"/>
        </w:rPr>
        <w:t>heir current funding agreement.</w:t>
      </w:r>
    </w:p>
    <w:p w14:paraId="6609EC6A" w14:textId="77777777" w:rsidR="009223E2" w:rsidRPr="009223E2" w:rsidRDefault="009223E2" w:rsidP="002D34D5">
      <w:pPr>
        <w:pStyle w:val="BodyText"/>
        <w:rPr>
          <w:lang w:eastAsia="en-AU"/>
        </w:rPr>
      </w:pPr>
      <w:r w:rsidRPr="009223E2">
        <w:rPr>
          <w:lang w:eastAsia="en-AU"/>
        </w:rPr>
        <w:t>Given the CRC model has proved successful, consideration should be given to rolling the model out across government to support the policy objectives of different portfolios. There is an existing example in the Defence Future Capability Technology Centre Programme which is funded by the Department of Defence and administered by the Depa</w:t>
      </w:r>
      <w:r w:rsidR="00E56D09">
        <w:rPr>
          <w:lang w:eastAsia="en-AU"/>
        </w:rPr>
        <w:t>rtment of Industry and Science.</w:t>
      </w:r>
    </w:p>
    <w:p w14:paraId="25BF99FE" w14:textId="77777777" w:rsidR="00B63006" w:rsidRPr="009223E2" w:rsidRDefault="009223E2" w:rsidP="002D34D5">
      <w:pPr>
        <w:pStyle w:val="BodyText"/>
      </w:pPr>
      <w:r w:rsidRPr="009223E2">
        <w:rPr>
          <w:lang w:eastAsia="en-AU"/>
        </w:rPr>
        <w:t>If the suite of recommendations outlined in this report is implemented, the programme will be well placed to support the government’s current agenda to boost the commercial returns from research while provid</w:t>
      </w:r>
      <w:r w:rsidR="00ED6204">
        <w:rPr>
          <w:lang w:eastAsia="en-AU"/>
        </w:rPr>
        <w:t xml:space="preserve">ing the flexibility required to </w:t>
      </w:r>
      <w:r>
        <w:rPr>
          <w:lang w:eastAsia="en-AU"/>
        </w:rPr>
        <w:t>r</w:t>
      </w:r>
      <w:r w:rsidRPr="009223E2">
        <w:rPr>
          <w:lang w:eastAsia="en-AU"/>
        </w:rPr>
        <w:t>espond to emerging economic challenges and opportunities.</w:t>
      </w:r>
    </w:p>
    <w:p w14:paraId="428365F0" w14:textId="77777777" w:rsidR="00C17EEC" w:rsidRDefault="00C17EEC" w:rsidP="002D34D5">
      <w:pPr>
        <w:pStyle w:val="BodyText"/>
        <w:rPr>
          <w:rFonts w:cs="Arial"/>
          <w:sz w:val="32"/>
          <w:szCs w:val="26"/>
        </w:rPr>
      </w:pPr>
      <w:r>
        <w:br w:type="page"/>
      </w:r>
    </w:p>
    <w:p w14:paraId="45EA78A9" w14:textId="77777777" w:rsidR="007D3955" w:rsidRDefault="007D3955" w:rsidP="00D53150">
      <w:pPr>
        <w:pStyle w:val="Heading3"/>
      </w:pPr>
      <w:bookmarkStart w:id="9" w:name="_Toc415042833"/>
      <w:r w:rsidRPr="00886F38">
        <w:lastRenderedPageBreak/>
        <w:t>Recommendations</w:t>
      </w:r>
      <w:bookmarkEnd w:id="9"/>
    </w:p>
    <w:p w14:paraId="4F23C861" w14:textId="77777777" w:rsidR="00D53150" w:rsidRDefault="00D53150" w:rsidP="00D53150">
      <w:pPr>
        <w:pStyle w:val="Heading3Italic"/>
      </w:pPr>
      <w:r>
        <w:t>Refocusing the programme</w:t>
      </w:r>
    </w:p>
    <w:p w14:paraId="2ACB1B0A" w14:textId="77777777" w:rsidR="00D53150" w:rsidRDefault="00D53150" w:rsidP="00D53150">
      <w:pPr>
        <w:pStyle w:val="Heading4Recommendation"/>
      </w:pPr>
      <w:r>
        <w:t>Recommendation 1</w:t>
      </w:r>
    </w:p>
    <w:p w14:paraId="4CD91464" w14:textId="77777777" w:rsidR="005816A1" w:rsidRPr="00886F38" w:rsidRDefault="000A30BD" w:rsidP="002D34D5">
      <w:pPr>
        <w:pStyle w:val="BodyText"/>
      </w:pPr>
      <w:r w:rsidRPr="00886F38">
        <w:t xml:space="preserve">As an integral part of </w:t>
      </w:r>
      <w:r w:rsidR="00886F38" w:rsidRPr="00886F38">
        <w:t xml:space="preserve">the </w:t>
      </w:r>
      <w:r w:rsidRPr="00886F38">
        <w:t xml:space="preserve">Australian Government </w:t>
      </w:r>
      <w:r w:rsidR="00886F38" w:rsidRPr="00886F38">
        <w:t>efforts to put science at the centre of industry policy t</w:t>
      </w:r>
      <w:r w:rsidR="00AF08DE" w:rsidRPr="00886F38">
        <w:t xml:space="preserve">he Cooperative Research Centres (CRC) Programme should continue. It is imperative however that it is refocused and </w:t>
      </w:r>
      <w:r w:rsidR="00EE1B3E" w:rsidRPr="00886F38">
        <w:t>targeted</w:t>
      </w:r>
      <w:r w:rsidR="00AF08DE" w:rsidRPr="00886F38">
        <w:t xml:space="preserve"> to achieve the Australian Government’s priorities fo</w:t>
      </w:r>
      <w:r w:rsidR="00C2674C">
        <w:t>r applied science and research.</w:t>
      </w:r>
    </w:p>
    <w:p w14:paraId="3EF01E4A" w14:textId="77777777" w:rsidR="00C17EEC" w:rsidRDefault="00AF08DE" w:rsidP="002D34D5">
      <w:pPr>
        <w:pStyle w:val="BodyText"/>
        <w:rPr>
          <w:rStyle w:val="Emphasis"/>
        </w:rPr>
      </w:pPr>
      <w:r w:rsidRPr="00A0107D">
        <w:rPr>
          <w:rStyle w:val="Emphasis"/>
        </w:rPr>
        <w:t>The review does not support the recommendation of the 2014 National Commission of Audit to abolish the CRC Programme and roll the funding into the Australian Research Council’s Linkage Program. The CRC Programme should be an industry</w:t>
      </w:r>
      <w:r w:rsidR="005F3DA2" w:rsidRPr="00A0107D">
        <w:rPr>
          <w:rStyle w:val="Emphasis"/>
        </w:rPr>
        <w:noBreakHyphen/>
      </w:r>
      <w:r w:rsidRPr="00A0107D">
        <w:rPr>
          <w:rStyle w:val="Emphasis"/>
        </w:rPr>
        <w:t>led scheme that enables industry to identify and champion collaborative applied research projects. The Linkage Program, while aimed at collaborative research, supports researcher</w:t>
      </w:r>
      <w:r w:rsidR="005F3DA2" w:rsidRPr="00A0107D">
        <w:rPr>
          <w:rStyle w:val="Emphasis"/>
        </w:rPr>
        <w:noBreakHyphen/>
      </w:r>
      <w:r w:rsidRPr="00A0107D">
        <w:rPr>
          <w:rStyle w:val="Emphasis"/>
        </w:rPr>
        <w:t>led projects that do not necessarily involve industry partners. Abolishing the CRC Program</w:t>
      </w:r>
      <w:r w:rsidR="00ED6204" w:rsidRPr="00A0107D">
        <w:rPr>
          <w:rStyle w:val="Emphasis"/>
        </w:rPr>
        <w:t>me</w:t>
      </w:r>
      <w:r w:rsidRPr="00A0107D">
        <w:rPr>
          <w:rStyle w:val="Emphasis"/>
        </w:rPr>
        <w:t xml:space="preserve"> and transferring its funding to the ARC Linkage scheme would risk even lower levels of industry</w:t>
      </w:r>
      <w:r w:rsidR="005F3DA2" w:rsidRPr="00A0107D">
        <w:rPr>
          <w:rStyle w:val="Emphasis"/>
        </w:rPr>
        <w:noBreakHyphen/>
      </w:r>
      <w:r w:rsidRPr="00A0107D">
        <w:rPr>
          <w:rStyle w:val="Emphasis"/>
        </w:rPr>
        <w:t>led collaborative research in Australia than is currently the c</w:t>
      </w:r>
      <w:r w:rsidR="00D53150">
        <w:rPr>
          <w:rStyle w:val="Emphasis"/>
        </w:rPr>
        <w:t>ase.</w:t>
      </w:r>
    </w:p>
    <w:p w14:paraId="1CC6CE2F" w14:textId="77777777" w:rsidR="00D53150" w:rsidRDefault="00D53150" w:rsidP="00D53150">
      <w:pPr>
        <w:pStyle w:val="Heading4Recommendation"/>
      </w:pPr>
      <w:r>
        <w:t>Recommendation 2</w:t>
      </w:r>
    </w:p>
    <w:p w14:paraId="11E097A0" w14:textId="77777777" w:rsidR="00605B5F" w:rsidRPr="00886F38" w:rsidRDefault="00605B5F" w:rsidP="002D34D5">
      <w:pPr>
        <w:pStyle w:val="BodyText"/>
      </w:pPr>
      <w:r w:rsidRPr="00886F38">
        <w:t xml:space="preserve">The programme objectives should be revised to put industry front and centre. </w:t>
      </w:r>
      <w:r w:rsidR="00C2674C">
        <w:t>The objectives should focus on:</w:t>
      </w:r>
    </w:p>
    <w:p w14:paraId="70259197" w14:textId="77777777" w:rsidR="00605B5F" w:rsidRPr="009F64E0" w:rsidRDefault="00605B5F" w:rsidP="009F64E0">
      <w:pPr>
        <w:pStyle w:val="ListBullet"/>
      </w:pPr>
      <w:r w:rsidRPr="009F64E0">
        <w:t>improving the competitiveness, productivity and sustainability of Australian industries, especially where Australia has a competitive strength including the recently announced growth sectors: Food and Agribusiness; Mining Equipment, Technology and Services; Medical Technologies and Pharmaceuticals; Advanced Manufacturing; and Oil, Gas and Energy Resources;</w:t>
      </w:r>
    </w:p>
    <w:p w14:paraId="6C4F3E18" w14:textId="77777777" w:rsidR="00605B5F" w:rsidRPr="00306DAD" w:rsidRDefault="00605B5F" w:rsidP="009F64E0">
      <w:pPr>
        <w:pStyle w:val="ListBullet"/>
      </w:pPr>
      <w:r w:rsidRPr="00306DAD">
        <w:t>establishing and supporting industry</w:t>
      </w:r>
      <w:r w:rsidR="005F3DA2" w:rsidRPr="00306DAD">
        <w:noBreakHyphen/>
      </w:r>
      <w:r w:rsidRPr="00306DAD">
        <w:t>led and outcome</w:t>
      </w:r>
      <w:r w:rsidR="005F3DA2" w:rsidRPr="00306DAD">
        <w:noBreakHyphen/>
      </w:r>
      <w:r w:rsidRPr="00306DAD">
        <w:t>focused collaborative research partnerships between industry and research organisations; and</w:t>
      </w:r>
    </w:p>
    <w:p w14:paraId="370E22AB" w14:textId="77777777" w:rsidR="00605B5F" w:rsidRPr="00306DAD" w:rsidRDefault="00605B5F" w:rsidP="009F64E0">
      <w:pPr>
        <w:pStyle w:val="ListBullet"/>
      </w:pPr>
      <w:r w:rsidRPr="00306DAD">
        <w:t>conducting high quality research to solve industry problems, such as improving or developing new products, processes or services, driving emerging technologies, and exploiting new national and international markets.</w:t>
      </w:r>
    </w:p>
    <w:p w14:paraId="3454CF04" w14:textId="77777777" w:rsidR="00F82231" w:rsidRPr="00A0107D" w:rsidRDefault="00605B5F" w:rsidP="002D34D5">
      <w:pPr>
        <w:pStyle w:val="BodyText"/>
        <w:rPr>
          <w:rStyle w:val="Emphasis"/>
        </w:rPr>
      </w:pPr>
      <w:r w:rsidRPr="00A0107D">
        <w:rPr>
          <w:rStyle w:val="Emphasis"/>
        </w:rPr>
        <w:t xml:space="preserve">These objectives should form the basis of revised programme guidelines to ensure future funding is directed to collaborative research that has a clear industry focus. </w:t>
      </w:r>
      <w:r w:rsidR="005F3DA2" w:rsidRPr="00A0107D">
        <w:rPr>
          <w:rStyle w:val="Emphasis"/>
        </w:rPr>
        <w:t>T</w:t>
      </w:r>
      <w:r w:rsidRPr="00A0107D">
        <w:rPr>
          <w:rStyle w:val="Emphasis"/>
        </w:rPr>
        <w:t>he success of the revised CRC Programme</w:t>
      </w:r>
      <w:r w:rsidR="005F3DA2" w:rsidRPr="00A0107D">
        <w:rPr>
          <w:rStyle w:val="Emphasis"/>
        </w:rPr>
        <w:t xml:space="preserve"> should be measured against these objectives</w:t>
      </w:r>
      <w:r w:rsidRPr="00A0107D">
        <w:rPr>
          <w:rStyle w:val="Emphasis"/>
        </w:rPr>
        <w:t>.</w:t>
      </w:r>
    </w:p>
    <w:p w14:paraId="34969E93" w14:textId="77777777" w:rsidR="00C17EEC" w:rsidRDefault="00C17EEC">
      <w:pPr>
        <w:spacing w:line="240" w:lineRule="auto"/>
        <w:rPr>
          <w:rStyle w:val="Strong"/>
        </w:rPr>
      </w:pPr>
      <w:r>
        <w:rPr>
          <w:rStyle w:val="Strong"/>
        </w:rPr>
        <w:br w:type="page"/>
      </w:r>
    </w:p>
    <w:p w14:paraId="114E4A3E" w14:textId="77777777" w:rsidR="00D53150" w:rsidRDefault="00D53150" w:rsidP="00D53150">
      <w:pPr>
        <w:pStyle w:val="Heading4Recommendation"/>
      </w:pPr>
      <w:r>
        <w:lastRenderedPageBreak/>
        <w:t>Recommendation 3</w:t>
      </w:r>
    </w:p>
    <w:p w14:paraId="0382E207" w14:textId="77777777" w:rsidR="00AF08DE" w:rsidRPr="00886F38" w:rsidRDefault="00AF08DE" w:rsidP="002D34D5">
      <w:pPr>
        <w:pStyle w:val="BodyText"/>
      </w:pPr>
      <w:r w:rsidRPr="00886F38">
        <w:t xml:space="preserve">The </w:t>
      </w:r>
      <w:r w:rsidR="00B95F63" w:rsidRPr="00886F38">
        <w:t>CRC P</w:t>
      </w:r>
      <w:r w:rsidRPr="00886F38">
        <w:t>rogramme should be structure</w:t>
      </w:r>
      <w:r w:rsidR="00C2674C">
        <w:t>d into two streams of activity:</w:t>
      </w:r>
    </w:p>
    <w:p w14:paraId="4F25CE2E" w14:textId="77777777" w:rsidR="00AF08DE" w:rsidRPr="00886F38" w:rsidRDefault="00AF08DE" w:rsidP="009F64E0">
      <w:pPr>
        <w:pStyle w:val="ListBullet"/>
      </w:pPr>
      <w:r w:rsidRPr="00886F38">
        <w:t>traditional CRCs to support medium</w:t>
      </w:r>
      <w:r w:rsidR="005F3DA2">
        <w:t>-</w:t>
      </w:r>
      <w:r w:rsidRPr="00886F38">
        <w:t xml:space="preserve"> to long</w:t>
      </w:r>
      <w:r w:rsidR="005F3DA2">
        <w:noBreakHyphen/>
      </w:r>
      <w:r w:rsidRPr="00886F38">
        <w:t>term i</w:t>
      </w:r>
      <w:r w:rsidR="00C2674C">
        <w:t>ndustry-led collaborations; and</w:t>
      </w:r>
    </w:p>
    <w:p w14:paraId="786397EB" w14:textId="77777777" w:rsidR="00AF08DE" w:rsidRPr="00886F38" w:rsidRDefault="00AF08DE" w:rsidP="009F64E0">
      <w:pPr>
        <w:pStyle w:val="ListBullet"/>
      </w:pPr>
      <w:r w:rsidRPr="00886F38">
        <w:t>CRC projects (CRC</w:t>
      </w:r>
      <w:r w:rsidR="005F3DA2">
        <w:noBreakHyphen/>
      </w:r>
      <w:r w:rsidRPr="00886F38">
        <w:t>P</w:t>
      </w:r>
      <w:r w:rsidR="00D5200D">
        <w:t>s</w:t>
      </w:r>
      <w:r w:rsidRPr="00886F38">
        <w:t>) to support short</w:t>
      </w:r>
      <w:r w:rsidR="005F3DA2">
        <w:noBreakHyphen/>
      </w:r>
      <w:r w:rsidR="00C2674C">
        <w:t>term, industry-led research.</w:t>
      </w:r>
    </w:p>
    <w:p w14:paraId="1FC81114" w14:textId="77777777" w:rsidR="00AF08DE" w:rsidRPr="00306DAD" w:rsidRDefault="00AF08DE" w:rsidP="002D34D5">
      <w:pPr>
        <w:pStyle w:val="BodyText"/>
        <w:rPr>
          <w:rStyle w:val="Emphasis"/>
        </w:rPr>
      </w:pPr>
      <w:r w:rsidRPr="00306DAD">
        <w:rPr>
          <w:rStyle w:val="Emphasis"/>
        </w:rPr>
        <w:t>CRC</w:t>
      </w:r>
      <w:r w:rsidR="005F3DA2" w:rsidRPr="00306DAD">
        <w:rPr>
          <w:rStyle w:val="Emphasis"/>
        </w:rPr>
        <w:noBreakHyphen/>
      </w:r>
      <w:r w:rsidRPr="00306DAD">
        <w:rPr>
          <w:rStyle w:val="Emphasis"/>
        </w:rPr>
        <w:t xml:space="preserve">Ps will be smaller collaborations operating on short project timelines with simpler governance and administration arrangements and less funding. </w:t>
      </w:r>
      <w:r w:rsidR="004D4F93" w:rsidRPr="00306DAD">
        <w:rPr>
          <w:rStyle w:val="Emphasis"/>
        </w:rPr>
        <w:t>The process of revising the programme guidelines should establish the selection criteria and details of the CRC</w:t>
      </w:r>
      <w:r w:rsidR="005F3DA2" w:rsidRPr="00306DAD">
        <w:rPr>
          <w:rStyle w:val="Emphasis"/>
        </w:rPr>
        <w:noBreakHyphen/>
      </w:r>
      <w:r w:rsidR="004D4F93" w:rsidRPr="00306DAD">
        <w:rPr>
          <w:rStyle w:val="Emphasis"/>
        </w:rPr>
        <w:t>P stream.</w:t>
      </w:r>
    </w:p>
    <w:p w14:paraId="5943E5BC" w14:textId="77777777" w:rsidR="00D53150" w:rsidRDefault="00D53150" w:rsidP="00D53150">
      <w:pPr>
        <w:pStyle w:val="Heading4Recommendation"/>
      </w:pPr>
      <w:r>
        <w:t>Recommendation 4</w:t>
      </w:r>
    </w:p>
    <w:p w14:paraId="1CD1435A" w14:textId="77777777" w:rsidR="00AF08DE" w:rsidRPr="00886F38" w:rsidRDefault="00AF08DE" w:rsidP="002D34D5">
      <w:pPr>
        <w:pStyle w:val="BodyText"/>
      </w:pPr>
      <w:r w:rsidRPr="00886F38">
        <w:t>CRCs and CRC-Ps should work with Growth Centres to share knowledge, experience and reso</w:t>
      </w:r>
      <w:r w:rsidR="00C2674C">
        <w:t>urces and achieve common goals.</w:t>
      </w:r>
    </w:p>
    <w:p w14:paraId="2311964F" w14:textId="77777777" w:rsidR="00AF08DE" w:rsidRPr="00A0107D" w:rsidRDefault="00AF08DE" w:rsidP="002D34D5">
      <w:pPr>
        <w:pStyle w:val="BodyText"/>
        <w:rPr>
          <w:rStyle w:val="Emphasis"/>
        </w:rPr>
      </w:pPr>
      <w:r w:rsidRPr="00A0107D">
        <w:rPr>
          <w:rStyle w:val="Emphasis"/>
        </w:rPr>
        <w:t xml:space="preserve">The review understands the focus of </w:t>
      </w:r>
      <w:r w:rsidR="00B40D40" w:rsidRPr="00A0107D">
        <w:rPr>
          <w:rStyle w:val="Emphasis"/>
        </w:rPr>
        <w:t xml:space="preserve">Growth Centres </w:t>
      </w:r>
      <w:r w:rsidR="00C2674C">
        <w:rPr>
          <w:rStyle w:val="Emphasis"/>
        </w:rPr>
        <w:t>will be:</w:t>
      </w:r>
    </w:p>
    <w:p w14:paraId="74C01A88" w14:textId="77777777" w:rsidR="00AF08DE" w:rsidRPr="002A6A80" w:rsidRDefault="00AF08DE" w:rsidP="002A6A80">
      <w:pPr>
        <w:pStyle w:val="ListBullet"/>
        <w:rPr>
          <w:i/>
        </w:rPr>
      </w:pPr>
      <w:r w:rsidRPr="002A6A80">
        <w:rPr>
          <w:i/>
        </w:rPr>
        <w:t>encouraging collaboration and the commercialisation of new products;</w:t>
      </w:r>
    </w:p>
    <w:p w14:paraId="08C6B857" w14:textId="77777777" w:rsidR="00AF08DE" w:rsidRPr="002A6A80" w:rsidRDefault="00AF08DE" w:rsidP="002A6A80">
      <w:pPr>
        <w:pStyle w:val="ListBullet"/>
        <w:rPr>
          <w:i/>
        </w:rPr>
      </w:pPr>
      <w:r w:rsidRPr="002A6A80">
        <w:rPr>
          <w:i/>
        </w:rPr>
        <w:t>enhancing management and improving workforce skills;</w:t>
      </w:r>
    </w:p>
    <w:p w14:paraId="4A9A887E" w14:textId="77777777" w:rsidR="00AF08DE" w:rsidRPr="002A6A80" w:rsidRDefault="00AF08DE" w:rsidP="002A6A80">
      <w:pPr>
        <w:pStyle w:val="ListBullet"/>
        <w:rPr>
          <w:i/>
        </w:rPr>
      </w:pPr>
      <w:r w:rsidRPr="002A6A80">
        <w:rPr>
          <w:i/>
        </w:rPr>
        <w:t>identifying opportunities to reduce regulatory burden; and</w:t>
      </w:r>
    </w:p>
    <w:p w14:paraId="25732E08" w14:textId="77777777" w:rsidR="00AF08DE" w:rsidRPr="002A6A80" w:rsidRDefault="00AF08DE" w:rsidP="002A6A80">
      <w:pPr>
        <w:pStyle w:val="ListBullet"/>
        <w:rPr>
          <w:i/>
        </w:rPr>
      </w:pPr>
      <w:r w:rsidRPr="002A6A80">
        <w:rPr>
          <w:i/>
        </w:rPr>
        <w:t>improving capabilities to engage with international markets and global supply chains.</w:t>
      </w:r>
    </w:p>
    <w:p w14:paraId="4EB99DBB" w14:textId="77777777" w:rsidR="00AF08DE" w:rsidRPr="00E97CAC" w:rsidRDefault="00AF08DE" w:rsidP="002D34D5">
      <w:pPr>
        <w:pStyle w:val="BodyText"/>
        <w:rPr>
          <w:rStyle w:val="Emphasis"/>
        </w:rPr>
      </w:pPr>
      <w:r w:rsidRPr="00E97CAC">
        <w:rPr>
          <w:rStyle w:val="Emphasis"/>
        </w:rPr>
        <w:t xml:space="preserve">In the context of the CRC Programme, </w:t>
      </w:r>
      <w:r w:rsidR="00E06637" w:rsidRPr="00E97CAC">
        <w:rPr>
          <w:rStyle w:val="Emphasis"/>
        </w:rPr>
        <w:t>Growth Centres may wish to:</w:t>
      </w:r>
    </w:p>
    <w:p w14:paraId="41E4EAF2" w14:textId="77777777" w:rsidR="00AF08DE" w:rsidRPr="002A6A80" w:rsidRDefault="00AF08DE" w:rsidP="002A6A80">
      <w:pPr>
        <w:pStyle w:val="ListBullet"/>
        <w:rPr>
          <w:i/>
        </w:rPr>
      </w:pPr>
      <w:r w:rsidRPr="002A6A80">
        <w:rPr>
          <w:i/>
        </w:rPr>
        <w:t xml:space="preserve">identify </w:t>
      </w:r>
      <w:r w:rsidR="00605B5F" w:rsidRPr="002A6A80">
        <w:rPr>
          <w:i/>
        </w:rPr>
        <w:t xml:space="preserve">and/or lead </w:t>
      </w:r>
      <w:r w:rsidRPr="002A6A80">
        <w:rPr>
          <w:i/>
        </w:rPr>
        <w:t>potential CRC or CRC-P participants and consortia;</w:t>
      </w:r>
    </w:p>
    <w:p w14:paraId="061621DB" w14:textId="77777777" w:rsidR="00AF08DE" w:rsidRPr="002A6A80" w:rsidRDefault="00AF08DE" w:rsidP="002A6A80">
      <w:pPr>
        <w:pStyle w:val="ListBullet"/>
        <w:rPr>
          <w:i/>
        </w:rPr>
      </w:pPr>
      <w:r w:rsidRPr="002A6A80">
        <w:rPr>
          <w:i/>
        </w:rPr>
        <w:t>drive high quality, industry focussed CRC or CRC-P applications; and</w:t>
      </w:r>
    </w:p>
    <w:p w14:paraId="1A1D7D2B" w14:textId="77777777" w:rsidR="00AF08DE" w:rsidRPr="002A6A80" w:rsidRDefault="00AF08DE" w:rsidP="002A6A80">
      <w:pPr>
        <w:pStyle w:val="ListBullet"/>
        <w:rPr>
          <w:i/>
        </w:rPr>
      </w:pPr>
      <w:r w:rsidRPr="002A6A80">
        <w:rPr>
          <w:i/>
        </w:rPr>
        <w:t>review investment proposals and activities of a CRC or CRC-P to provide an industry perspective and influence direction where appropriate.</w:t>
      </w:r>
    </w:p>
    <w:p w14:paraId="78578D58" w14:textId="77777777" w:rsidR="00D53150" w:rsidRDefault="00D53150" w:rsidP="00D53150">
      <w:pPr>
        <w:pStyle w:val="Heading4Recommendation"/>
      </w:pPr>
      <w:r>
        <w:t>Recommendation 5</w:t>
      </w:r>
    </w:p>
    <w:p w14:paraId="51D6680C" w14:textId="77777777" w:rsidR="00F82231" w:rsidRPr="00886F38" w:rsidRDefault="00F82231" w:rsidP="002D34D5">
      <w:pPr>
        <w:pStyle w:val="BodyText"/>
      </w:pPr>
      <w:r w:rsidRPr="00886F38">
        <w:t>Future CRC and CRC-P funding should be prioritised to support research that delivers outcomes in growth sectors. While the programme should prioritise these sectors it should not do so exclusively to ensure it can respond to emerging priorities and meritorious proposals from other sectors.</w:t>
      </w:r>
    </w:p>
    <w:p w14:paraId="29627099" w14:textId="77777777" w:rsidR="002D4B90" w:rsidRDefault="00F82231" w:rsidP="002D34D5">
      <w:pPr>
        <w:pStyle w:val="BodyText"/>
        <w:rPr>
          <w:rStyle w:val="Emphasis"/>
        </w:rPr>
      </w:pPr>
      <w:r w:rsidRPr="00D368AB">
        <w:rPr>
          <w:rStyle w:val="Emphasis"/>
        </w:rPr>
        <w:t>This recognises the need to build scale and depth in specialist areas important to the Australian economy, in the short term (through CRC-Ps) and over the medi</w:t>
      </w:r>
      <w:r w:rsidR="00C32F74">
        <w:rPr>
          <w:rStyle w:val="Emphasis"/>
        </w:rPr>
        <w:t>um to long term (through CRCs).</w:t>
      </w:r>
      <w:r w:rsidR="002D4B90">
        <w:rPr>
          <w:rStyle w:val="Emphasis"/>
        </w:rPr>
        <w:br w:type="page"/>
      </w:r>
    </w:p>
    <w:p w14:paraId="40866810" w14:textId="77777777" w:rsidR="00D53150" w:rsidRDefault="00D53150" w:rsidP="00D53150">
      <w:pPr>
        <w:pStyle w:val="Heading4Recommendation"/>
      </w:pPr>
      <w:r>
        <w:lastRenderedPageBreak/>
        <w:t>Recommendation 6</w:t>
      </w:r>
    </w:p>
    <w:p w14:paraId="7F52F66A" w14:textId="77777777" w:rsidR="00AF08DE" w:rsidRPr="00886F38" w:rsidRDefault="00AF08DE" w:rsidP="002D34D5">
      <w:pPr>
        <w:pStyle w:val="BodyText"/>
      </w:pPr>
      <w:r w:rsidRPr="00886F38">
        <w:t xml:space="preserve">Applicants for CRC funding should demonstrate that the proposed </w:t>
      </w:r>
      <w:r w:rsidR="009D23A7">
        <w:t xml:space="preserve">research and related </w:t>
      </w:r>
      <w:r w:rsidRPr="00886F38">
        <w:t>activities are in line with the revised programme objectives, and that the</w:t>
      </w:r>
      <w:r w:rsidR="009D23A7">
        <w:t>y</w:t>
      </w:r>
      <w:r w:rsidRPr="00886F38">
        <w:t xml:space="preserve"> will stimulate growth and lead to outcomes including, but not limited to: increased jobs, exports, productivity, integration into global supply chains, new technologies, products or services, increased revenues and intellectual pr</w:t>
      </w:r>
      <w:r w:rsidR="00212D08">
        <w:t>operty outputs such as patents.</w:t>
      </w:r>
    </w:p>
    <w:p w14:paraId="2CC44116" w14:textId="77777777" w:rsidR="00AF08DE" w:rsidRPr="00D368AB" w:rsidRDefault="00AF08DE" w:rsidP="002D34D5">
      <w:pPr>
        <w:pStyle w:val="BodyText"/>
        <w:rPr>
          <w:rStyle w:val="Emphasis"/>
        </w:rPr>
      </w:pPr>
      <w:r w:rsidRPr="00D368AB">
        <w:rPr>
          <w:rStyle w:val="Emphasis"/>
        </w:rPr>
        <w:t>These outcomes should be included i</w:t>
      </w:r>
      <w:r w:rsidR="00212D08">
        <w:rPr>
          <w:rStyle w:val="Emphasis"/>
        </w:rPr>
        <w:t>n revised programme guidelines.</w:t>
      </w:r>
    </w:p>
    <w:p w14:paraId="0001B726" w14:textId="77777777" w:rsidR="00D53150" w:rsidRDefault="00D53150" w:rsidP="00D53150">
      <w:pPr>
        <w:pStyle w:val="Heading4Recommendation"/>
      </w:pPr>
      <w:r>
        <w:t>Recommendation 7</w:t>
      </w:r>
    </w:p>
    <w:p w14:paraId="5CDBCB39" w14:textId="77777777" w:rsidR="00AF08DE" w:rsidRPr="00886F38" w:rsidRDefault="00AF08DE" w:rsidP="002D34D5">
      <w:pPr>
        <w:pStyle w:val="BodyText"/>
      </w:pPr>
      <w:r w:rsidRPr="00886F38">
        <w:t>Industry should be actively involved in the development of CRC and CRC-P proposals and the subsequent administration, governance and management of any partnershi</w:t>
      </w:r>
      <w:r w:rsidR="00212D08">
        <w:t>p funded through the programme.</w:t>
      </w:r>
    </w:p>
    <w:p w14:paraId="7710402B" w14:textId="77777777" w:rsidR="00AF08DE" w:rsidRPr="00D368AB" w:rsidRDefault="00AF08DE" w:rsidP="002D34D5">
      <w:pPr>
        <w:pStyle w:val="BodyText"/>
        <w:rPr>
          <w:rStyle w:val="Emphasis"/>
        </w:rPr>
      </w:pPr>
      <w:r w:rsidRPr="00D368AB">
        <w:rPr>
          <w:rStyle w:val="Emphasis"/>
        </w:rPr>
        <w:t>The revised programme guidelines should require industry to take a lead role in driving the collaboration, the articulation of the research challen</w:t>
      </w:r>
      <w:r w:rsidR="00212D08">
        <w:rPr>
          <w:rStyle w:val="Emphasis"/>
        </w:rPr>
        <w:t>ge and details of the proposal.</w:t>
      </w:r>
    </w:p>
    <w:p w14:paraId="457A9FFE" w14:textId="77777777" w:rsidR="00C17EEC" w:rsidRDefault="00C17EEC">
      <w:pPr>
        <w:spacing w:line="240" w:lineRule="auto"/>
        <w:rPr>
          <w:rStyle w:val="IntenseEmphasis"/>
          <w:color w:val="auto"/>
        </w:rPr>
      </w:pPr>
      <w:r>
        <w:rPr>
          <w:rStyle w:val="IntenseEmphasis"/>
          <w:color w:val="auto"/>
        </w:rPr>
        <w:br w:type="page"/>
      </w:r>
    </w:p>
    <w:p w14:paraId="0C589C2F" w14:textId="77777777" w:rsidR="00D53150" w:rsidRDefault="00D53150" w:rsidP="00D53150">
      <w:pPr>
        <w:pStyle w:val="Heading3Italic"/>
      </w:pPr>
      <w:r>
        <w:lastRenderedPageBreak/>
        <w:t>Lifting performance</w:t>
      </w:r>
    </w:p>
    <w:p w14:paraId="3E6C606F" w14:textId="77777777" w:rsidR="00D53150" w:rsidRDefault="00D53150" w:rsidP="00D53150">
      <w:pPr>
        <w:pStyle w:val="Heading4Recommendation"/>
      </w:pPr>
      <w:r>
        <w:t>Recommendation 8</w:t>
      </w:r>
    </w:p>
    <w:p w14:paraId="5EBC665A" w14:textId="77777777" w:rsidR="00AF08DE" w:rsidRPr="00886F38" w:rsidRDefault="00AF08DE" w:rsidP="002D34D5">
      <w:pPr>
        <w:pStyle w:val="BodyText"/>
      </w:pPr>
      <w:r w:rsidRPr="00886F38">
        <w:t>A simplified and more industry</w:t>
      </w:r>
      <w:r w:rsidR="008F0958" w:rsidRPr="00886F38">
        <w:t>-</w:t>
      </w:r>
      <w:r w:rsidRPr="00886F38">
        <w:t>focused selection and review process should be established, including a new, smaller advisory group. The new process should have a strong focus on industry expertise, management capabilities and rese</w:t>
      </w:r>
      <w:r w:rsidR="00212D08">
        <w:t>arch commercialisation skills.</w:t>
      </w:r>
    </w:p>
    <w:p w14:paraId="7CAF7757" w14:textId="77777777" w:rsidR="0024524B" w:rsidRPr="00D368AB" w:rsidRDefault="00AF08DE" w:rsidP="002D34D5">
      <w:pPr>
        <w:pStyle w:val="BodyText"/>
        <w:rPr>
          <w:rStyle w:val="Emphasis"/>
        </w:rPr>
      </w:pPr>
      <w:r w:rsidRPr="00D368AB">
        <w:rPr>
          <w:rStyle w:val="Emphasis"/>
        </w:rPr>
        <w:t>While the current CRC Committee has served the programme well</w:t>
      </w:r>
      <w:r w:rsidR="00784FEB" w:rsidRPr="00D368AB">
        <w:rPr>
          <w:rStyle w:val="Emphasis"/>
        </w:rPr>
        <w:t>, having regard to the original objectives of the programme</w:t>
      </w:r>
      <w:r w:rsidRPr="00D368AB">
        <w:rPr>
          <w:rStyle w:val="Emphasis"/>
        </w:rPr>
        <w:t>, the changes to the objectives and activities necessitate new selection and review processes.</w:t>
      </w:r>
    </w:p>
    <w:p w14:paraId="72822CFA" w14:textId="77777777" w:rsidR="00D53150" w:rsidRDefault="00D53150" w:rsidP="00D53150">
      <w:pPr>
        <w:pStyle w:val="Heading4Recommendation"/>
      </w:pPr>
      <w:r>
        <w:t>Recommendation 9</w:t>
      </w:r>
    </w:p>
    <w:p w14:paraId="07047413" w14:textId="77777777" w:rsidR="00AF08DE" w:rsidRPr="00886F38" w:rsidRDefault="00AF08DE" w:rsidP="002D34D5">
      <w:pPr>
        <w:pStyle w:val="BodyText"/>
      </w:pPr>
      <w:r w:rsidRPr="00886F38">
        <w:t>When assessing CRC applications regard should be had to:</w:t>
      </w:r>
    </w:p>
    <w:p w14:paraId="50E5BD1D" w14:textId="77777777" w:rsidR="000A30BD" w:rsidRPr="00886F38" w:rsidRDefault="000A30BD" w:rsidP="002D34D5">
      <w:pPr>
        <w:pStyle w:val="BodyText"/>
        <w:numPr>
          <w:ilvl w:val="0"/>
          <w:numId w:val="6"/>
        </w:numPr>
      </w:pPr>
      <w:r w:rsidRPr="00886F38">
        <w:t>the research programme. This should be high quality, based on identified industry priorities and have clearly articulated and tangible goals, includi</w:t>
      </w:r>
      <w:r w:rsidR="00212D08">
        <w:t>ng commercialisation potential;</w:t>
      </w:r>
    </w:p>
    <w:p w14:paraId="1894F4ED" w14:textId="77777777" w:rsidR="00AF08DE" w:rsidRPr="00886F38" w:rsidRDefault="00AF08DE" w:rsidP="002D34D5">
      <w:pPr>
        <w:pStyle w:val="BodyText"/>
        <w:numPr>
          <w:ilvl w:val="0"/>
          <w:numId w:val="6"/>
        </w:numPr>
      </w:pPr>
      <w:r w:rsidRPr="00886F38">
        <w:t>the proposed management team. CRCs should have senior, ongoing roles filled by industry in addition to a Chair and CEO with the skills and experience required to lead an organisation with diverse participant needs and outcomes;</w:t>
      </w:r>
    </w:p>
    <w:p w14:paraId="2584F773" w14:textId="77777777" w:rsidR="006B6FE8" w:rsidRPr="00886F38" w:rsidRDefault="00AF08DE" w:rsidP="002D34D5">
      <w:pPr>
        <w:pStyle w:val="BodyText"/>
        <w:numPr>
          <w:ilvl w:val="0"/>
          <w:numId w:val="6"/>
        </w:numPr>
      </w:pPr>
      <w:r w:rsidRPr="00886F38">
        <w:t>an industry</w:t>
      </w:r>
      <w:r w:rsidR="00605B5F" w:rsidRPr="00886F38">
        <w:t>-</w:t>
      </w:r>
      <w:r w:rsidRPr="00886F38">
        <w:t xml:space="preserve">focused education and training programme. This should build engagement, innovation and research and development capacity </w:t>
      </w:r>
      <w:r w:rsidR="00AF4CE9" w:rsidRPr="00886F38">
        <w:t>in</w:t>
      </w:r>
      <w:r w:rsidR="00605B5F" w:rsidRPr="00886F38">
        <w:t xml:space="preserve"> </w:t>
      </w:r>
      <w:r w:rsidR="005F3DA2" w:rsidRPr="00886F38">
        <w:t xml:space="preserve">both </w:t>
      </w:r>
      <w:r w:rsidR="00605B5F" w:rsidRPr="00886F38">
        <w:t xml:space="preserve">the industry </w:t>
      </w:r>
      <w:r w:rsidR="00AF4CE9" w:rsidRPr="00886F38">
        <w:t xml:space="preserve">and </w:t>
      </w:r>
      <w:r w:rsidR="00605B5F" w:rsidRPr="00886F38">
        <w:t>the research sectors</w:t>
      </w:r>
      <w:r w:rsidR="006B6FE8" w:rsidRPr="00886F38">
        <w:t>; and</w:t>
      </w:r>
    </w:p>
    <w:p w14:paraId="7915B7F6" w14:textId="77777777" w:rsidR="004502D0" w:rsidRPr="00886F38" w:rsidRDefault="006B6FE8" w:rsidP="002D34D5">
      <w:pPr>
        <w:pStyle w:val="BodyText"/>
        <w:numPr>
          <w:ilvl w:val="0"/>
          <w:numId w:val="6"/>
        </w:numPr>
      </w:pPr>
      <w:r w:rsidRPr="00886F38">
        <w:t>the broader industry impact of the proposed activities</w:t>
      </w:r>
      <w:r w:rsidR="00A031E9" w:rsidRPr="00886F38">
        <w:t>.</w:t>
      </w:r>
    </w:p>
    <w:p w14:paraId="513F599E" w14:textId="77777777" w:rsidR="00AF08DE" w:rsidRPr="00886F38" w:rsidRDefault="00AF08DE" w:rsidP="002D34D5">
      <w:pPr>
        <w:pStyle w:val="BodyText"/>
      </w:pPr>
      <w:r w:rsidRPr="00886F38">
        <w:t>When assessing CRC-P applications regard should be had to:</w:t>
      </w:r>
    </w:p>
    <w:p w14:paraId="065DE8FB" w14:textId="77777777" w:rsidR="000A30BD" w:rsidRPr="00886F38" w:rsidRDefault="000A30BD" w:rsidP="002D34D5">
      <w:pPr>
        <w:pStyle w:val="BodyText"/>
        <w:numPr>
          <w:ilvl w:val="0"/>
          <w:numId w:val="7"/>
        </w:numPr>
      </w:pPr>
      <w:r w:rsidRPr="00886F38">
        <w:t>the research project, which should be based on an identified industry priority and have clearly articulated and tangible goals, includi</w:t>
      </w:r>
      <w:r w:rsidR="00212D08">
        <w:t>ng commercialisation potential;</w:t>
      </w:r>
    </w:p>
    <w:p w14:paraId="5BBF8BD8" w14:textId="77777777" w:rsidR="00AF08DE" w:rsidRPr="00886F38" w:rsidRDefault="00AF08DE" w:rsidP="002D34D5">
      <w:pPr>
        <w:pStyle w:val="BodyText"/>
        <w:numPr>
          <w:ilvl w:val="0"/>
          <w:numId w:val="7"/>
        </w:numPr>
      </w:pPr>
      <w:r w:rsidRPr="00886F38">
        <w:t>h</w:t>
      </w:r>
      <w:r w:rsidR="00212D08">
        <w:t>ow the project will be managed;</w:t>
      </w:r>
    </w:p>
    <w:p w14:paraId="5E64D32E" w14:textId="77777777" w:rsidR="004502D0" w:rsidRPr="00886F38" w:rsidRDefault="00AF08DE" w:rsidP="002D34D5">
      <w:pPr>
        <w:pStyle w:val="BodyText"/>
        <w:numPr>
          <w:ilvl w:val="0"/>
          <w:numId w:val="7"/>
        </w:numPr>
      </w:pPr>
      <w:r w:rsidRPr="00886F38">
        <w:t xml:space="preserve">the industry participants and the business case for an industry-led research collaboration; </w:t>
      </w:r>
      <w:r w:rsidR="000A30BD" w:rsidRPr="00886F38">
        <w:t>and</w:t>
      </w:r>
    </w:p>
    <w:p w14:paraId="5D067343" w14:textId="77777777" w:rsidR="00AD75A5" w:rsidRPr="00886F38" w:rsidRDefault="006B6FE8" w:rsidP="002D34D5">
      <w:pPr>
        <w:pStyle w:val="BodyText"/>
        <w:numPr>
          <w:ilvl w:val="0"/>
          <w:numId w:val="7"/>
        </w:numPr>
      </w:pPr>
      <w:r w:rsidRPr="00886F38">
        <w:t>the broader industry impact of the proposed activities</w:t>
      </w:r>
      <w:r w:rsidR="00AF08DE" w:rsidRPr="00886F38">
        <w:t>.</w:t>
      </w:r>
    </w:p>
    <w:p w14:paraId="5B80AC3A" w14:textId="77777777" w:rsidR="00C17EEC" w:rsidRDefault="00C17EEC">
      <w:pPr>
        <w:spacing w:line="240" w:lineRule="auto"/>
        <w:rPr>
          <w:rStyle w:val="Strong"/>
        </w:rPr>
      </w:pPr>
      <w:r>
        <w:rPr>
          <w:rStyle w:val="Strong"/>
        </w:rPr>
        <w:br w:type="page"/>
      </w:r>
    </w:p>
    <w:p w14:paraId="725C1392" w14:textId="77777777" w:rsidR="00D53150" w:rsidRDefault="00D53150" w:rsidP="00D53150">
      <w:pPr>
        <w:pStyle w:val="Heading4Recommendation"/>
      </w:pPr>
      <w:r>
        <w:lastRenderedPageBreak/>
        <w:t>Recommendation 10</w:t>
      </w:r>
    </w:p>
    <w:p w14:paraId="5167B476" w14:textId="77777777" w:rsidR="00AF08DE" w:rsidRPr="00886F38" w:rsidRDefault="00AF08DE" w:rsidP="002D34D5">
      <w:pPr>
        <w:pStyle w:val="BodyText"/>
      </w:pPr>
      <w:r w:rsidRPr="00886F38">
        <w:t xml:space="preserve">All current CRCs should be reviewed </w:t>
      </w:r>
      <w:r w:rsidR="008F0958" w:rsidRPr="00886F38">
        <w:t xml:space="preserve">by the new advisory group </w:t>
      </w:r>
      <w:r w:rsidRPr="00886F38">
        <w:t xml:space="preserve">to ensure </w:t>
      </w:r>
      <w:r w:rsidR="00AD75A5" w:rsidRPr="00886F38">
        <w:t xml:space="preserve">that </w:t>
      </w:r>
      <w:r w:rsidRPr="00886F38">
        <w:t xml:space="preserve">they are performing in accordance with their funding agreement and are likely to deliver against their stated outcomes, as well as to determine any potential </w:t>
      </w:r>
      <w:r w:rsidR="00ED6204">
        <w:t>linkages</w:t>
      </w:r>
      <w:r w:rsidRPr="00886F38">
        <w:t xml:space="preserve"> with the Industry Growth Centres.</w:t>
      </w:r>
      <w:r w:rsidR="00605B5F" w:rsidRPr="00886F38">
        <w:t xml:space="preserve"> </w:t>
      </w:r>
      <w:r w:rsidR="00AD75A5" w:rsidRPr="00886F38">
        <w:t>Only t</w:t>
      </w:r>
      <w:r w:rsidR="00605B5F" w:rsidRPr="00886F38">
        <w:t xml:space="preserve">hose that are </w:t>
      </w:r>
      <w:r w:rsidR="00AD75A5" w:rsidRPr="00886F38">
        <w:t xml:space="preserve">on track to delivering against their stated outcomes </w:t>
      </w:r>
      <w:r w:rsidR="00605B5F" w:rsidRPr="00886F38">
        <w:t>should continue for the period of their current funding agreement.</w:t>
      </w:r>
    </w:p>
    <w:p w14:paraId="1282E66A" w14:textId="77777777" w:rsidR="00D53150" w:rsidRDefault="00D53150" w:rsidP="00D53150">
      <w:pPr>
        <w:pStyle w:val="Heading4Recommendation"/>
      </w:pPr>
      <w:r>
        <w:t>Recommendation 11</w:t>
      </w:r>
    </w:p>
    <w:p w14:paraId="42CE384A" w14:textId="77777777" w:rsidR="00AF08DE" w:rsidRPr="00886F38" w:rsidRDefault="00AF08DE" w:rsidP="002D34D5">
      <w:pPr>
        <w:pStyle w:val="BodyText"/>
      </w:pPr>
      <w:r w:rsidRPr="00886F38">
        <w:t xml:space="preserve">CRC funding should be limited to a maximum of </w:t>
      </w:r>
      <w:r w:rsidR="00ED6204">
        <w:t xml:space="preserve">up to </w:t>
      </w:r>
      <w:r w:rsidRPr="00886F38">
        <w:t xml:space="preserve">10 years with no extension of funding. Given the focus on shorter term research, CRC-P funding should be limited to a maximum of </w:t>
      </w:r>
      <w:r w:rsidR="00ED6204">
        <w:t xml:space="preserve">up to </w:t>
      </w:r>
      <w:r w:rsidRPr="00886F38">
        <w:t>3 year</w:t>
      </w:r>
      <w:r w:rsidR="00212D08">
        <w:t>s with no extension of funding.</w:t>
      </w:r>
    </w:p>
    <w:p w14:paraId="7C52492B" w14:textId="77777777" w:rsidR="00C17EEC" w:rsidRPr="00D368AB" w:rsidRDefault="00AF08DE" w:rsidP="002D34D5">
      <w:pPr>
        <w:pStyle w:val="BodyText"/>
        <w:rPr>
          <w:rStyle w:val="Emphasis"/>
        </w:rPr>
      </w:pPr>
      <w:r w:rsidRPr="00D368AB">
        <w:rPr>
          <w:rStyle w:val="Emphasis"/>
        </w:rPr>
        <w:t>Payments should be dependent on meeting</w:t>
      </w:r>
      <w:r w:rsidR="008F0958" w:rsidRPr="00D368AB">
        <w:rPr>
          <w:rStyle w:val="Emphasis"/>
        </w:rPr>
        <w:t xml:space="preserve"> agreed</w:t>
      </w:r>
      <w:r w:rsidRPr="00D368AB">
        <w:rPr>
          <w:rStyle w:val="Emphasis"/>
        </w:rPr>
        <w:t xml:space="preserve"> milestones and satisfactory performance reviews.</w:t>
      </w:r>
    </w:p>
    <w:p w14:paraId="7BCDF219" w14:textId="77777777" w:rsidR="00C17EEC" w:rsidRDefault="00C17EEC" w:rsidP="002D34D5">
      <w:pPr>
        <w:pStyle w:val="BodyText"/>
        <w:rPr>
          <w:rStyle w:val="IntenseEmphasis"/>
          <w:color w:val="auto"/>
        </w:rPr>
      </w:pPr>
      <w:r>
        <w:rPr>
          <w:rStyle w:val="IntenseEmphasis"/>
          <w:color w:val="auto"/>
        </w:rPr>
        <w:br w:type="page"/>
      </w:r>
    </w:p>
    <w:p w14:paraId="26CDB679" w14:textId="77777777" w:rsidR="00AF08DE" w:rsidRPr="00AC26F1" w:rsidRDefault="00AC26F1" w:rsidP="00AC26F1">
      <w:pPr>
        <w:pStyle w:val="Heading3Italic"/>
        <w:rPr>
          <w:rStyle w:val="IntenseEmphasis"/>
          <w:b/>
          <w:bCs w:val="0"/>
          <w:i/>
          <w:iCs w:val="0"/>
          <w:color w:val="auto"/>
        </w:rPr>
      </w:pPr>
      <w:r>
        <w:rPr>
          <w:rStyle w:val="IntenseEmphasis"/>
          <w:b/>
          <w:bCs w:val="0"/>
          <w:i/>
          <w:iCs w:val="0"/>
          <w:color w:val="auto"/>
        </w:rPr>
        <w:lastRenderedPageBreak/>
        <w:t>Streamlining administration</w:t>
      </w:r>
    </w:p>
    <w:p w14:paraId="3CDE1081" w14:textId="77777777" w:rsidR="00AC26F1" w:rsidRDefault="00AC26F1" w:rsidP="00AC26F1">
      <w:pPr>
        <w:pStyle w:val="Heading4Recommendation"/>
      </w:pPr>
      <w:r>
        <w:t>Recommendation 12</w:t>
      </w:r>
    </w:p>
    <w:p w14:paraId="2E2C08D2" w14:textId="77777777" w:rsidR="00AF08DE" w:rsidRPr="00886F38" w:rsidRDefault="00AF08DE" w:rsidP="002D34D5">
      <w:pPr>
        <w:pStyle w:val="BodyText"/>
      </w:pPr>
      <w:r w:rsidRPr="00886F38">
        <w:t xml:space="preserve">The application, selection, reporting and administrative requirements for </w:t>
      </w:r>
      <w:r w:rsidR="008F0958" w:rsidRPr="00886F38">
        <w:t xml:space="preserve">each stream of </w:t>
      </w:r>
      <w:r w:rsidRPr="00886F38">
        <w:t xml:space="preserve">the programme should be simplified and streamlined. </w:t>
      </w:r>
      <w:r w:rsidR="008F0958" w:rsidRPr="00886F38">
        <w:t>These processes should be clearly outlined in the revised programme guidelines.</w:t>
      </w:r>
    </w:p>
    <w:p w14:paraId="6A5B1F9A" w14:textId="77777777" w:rsidR="00AF08DE" w:rsidRPr="00D368AB" w:rsidRDefault="00AF08DE" w:rsidP="002D34D5">
      <w:pPr>
        <w:pStyle w:val="BodyText"/>
        <w:rPr>
          <w:rStyle w:val="Emphasis"/>
        </w:rPr>
      </w:pPr>
      <w:r w:rsidRPr="00D368AB">
        <w:rPr>
          <w:rStyle w:val="Emphasis"/>
        </w:rPr>
        <w:t xml:space="preserve">CRC applications should have </w:t>
      </w:r>
      <w:r w:rsidR="003B18DD" w:rsidRPr="00D368AB">
        <w:rPr>
          <w:rStyle w:val="Emphasis"/>
        </w:rPr>
        <w:t xml:space="preserve">an annual application round with </w:t>
      </w:r>
      <w:r w:rsidRPr="00D368AB">
        <w:rPr>
          <w:rStyle w:val="Emphasis"/>
        </w:rPr>
        <w:t>a revised two stage assessment process:</w:t>
      </w:r>
    </w:p>
    <w:p w14:paraId="44D84371" w14:textId="77777777" w:rsidR="00AF08DE" w:rsidRPr="002A6A80" w:rsidRDefault="00ED6204" w:rsidP="002A6A80">
      <w:pPr>
        <w:pStyle w:val="ListBullet"/>
        <w:rPr>
          <w:i/>
        </w:rPr>
      </w:pPr>
      <w:r w:rsidRPr="002A6A80">
        <w:rPr>
          <w:i/>
        </w:rPr>
        <w:t>s</w:t>
      </w:r>
      <w:r w:rsidR="00AF08DE" w:rsidRPr="002A6A80">
        <w:rPr>
          <w:i/>
        </w:rPr>
        <w:t>tage 1: A short online proposal. This approach aims to reduce the time, cost and</w:t>
      </w:r>
      <w:r w:rsidR="00212D08" w:rsidRPr="002A6A80">
        <w:rPr>
          <w:i/>
        </w:rPr>
        <w:t xml:space="preserve"> resource burden on applicants.</w:t>
      </w:r>
    </w:p>
    <w:p w14:paraId="37A0207D" w14:textId="77777777" w:rsidR="00AF08DE" w:rsidRPr="002A6A80" w:rsidRDefault="00ED6204" w:rsidP="002A6A80">
      <w:pPr>
        <w:pStyle w:val="ListBullet"/>
        <w:rPr>
          <w:i/>
        </w:rPr>
      </w:pPr>
      <w:r w:rsidRPr="002A6A80">
        <w:rPr>
          <w:i/>
        </w:rPr>
        <w:t>s</w:t>
      </w:r>
      <w:r w:rsidR="00AF08DE" w:rsidRPr="002A6A80">
        <w:rPr>
          <w:i/>
        </w:rPr>
        <w:t>tage 2:  If the Stage 1 application is successful, a full business case which meets the requirements as set out in the revised programme guidelines should be submitted.</w:t>
      </w:r>
    </w:p>
    <w:p w14:paraId="150B3E78" w14:textId="77777777" w:rsidR="00AF08DE" w:rsidRPr="00D368AB" w:rsidRDefault="00AF08DE" w:rsidP="002D34D5">
      <w:pPr>
        <w:pStyle w:val="BodyText"/>
        <w:rPr>
          <w:rStyle w:val="Emphasis"/>
        </w:rPr>
      </w:pPr>
      <w:r w:rsidRPr="00D368AB">
        <w:rPr>
          <w:rStyle w:val="Emphasis"/>
        </w:rPr>
        <w:t>CRC-Ps should undergo a single stage, online application process</w:t>
      </w:r>
      <w:r w:rsidR="008F0958" w:rsidRPr="00D368AB">
        <w:rPr>
          <w:rStyle w:val="Emphasis"/>
        </w:rPr>
        <w:t xml:space="preserve"> which is open to new applications up to three times a year</w:t>
      </w:r>
      <w:r w:rsidR="00212D08">
        <w:rPr>
          <w:rStyle w:val="Emphasis"/>
        </w:rPr>
        <w:t>.</w:t>
      </w:r>
    </w:p>
    <w:p w14:paraId="6B683A03" w14:textId="77777777" w:rsidR="005432CE" w:rsidRPr="00D368AB" w:rsidRDefault="005432CE" w:rsidP="002D34D5">
      <w:pPr>
        <w:pStyle w:val="BodyText"/>
        <w:rPr>
          <w:rStyle w:val="Emphasis"/>
        </w:rPr>
      </w:pPr>
      <w:r w:rsidRPr="00D368AB">
        <w:rPr>
          <w:rStyle w:val="Emphasis"/>
        </w:rPr>
        <w:t>Reporting and associated administrative requirements should ensure only information that is required is being collected</w:t>
      </w:r>
      <w:r w:rsidR="008F0958" w:rsidRPr="00D368AB">
        <w:rPr>
          <w:rStyle w:val="Emphasis"/>
        </w:rPr>
        <w:t>,</w:t>
      </w:r>
      <w:r w:rsidRPr="00D368AB">
        <w:rPr>
          <w:rStyle w:val="Emphasis"/>
        </w:rPr>
        <w:t xml:space="preserve"> while still retaining </w:t>
      </w:r>
      <w:r w:rsidR="0024524B" w:rsidRPr="00D368AB">
        <w:rPr>
          <w:rStyle w:val="Emphasis"/>
        </w:rPr>
        <w:t>accountability</w:t>
      </w:r>
      <w:r w:rsidRPr="00D368AB">
        <w:rPr>
          <w:rStyle w:val="Emphasis"/>
        </w:rPr>
        <w:t xml:space="preserve"> for Commonwealth funding.</w:t>
      </w:r>
    </w:p>
    <w:p w14:paraId="18867CAE" w14:textId="77777777" w:rsidR="00AC26F1" w:rsidRDefault="00AC26F1" w:rsidP="00AC26F1">
      <w:pPr>
        <w:pStyle w:val="Heading4Recommendation"/>
      </w:pPr>
      <w:r>
        <w:t>Recommendation 13</w:t>
      </w:r>
    </w:p>
    <w:p w14:paraId="7A69CECA" w14:textId="77777777" w:rsidR="00AF08DE" w:rsidRPr="00886F38" w:rsidRDefault="00AF08DE" w:rsidP="002D34D5">
      <w:pPr>
        <w:pStyle w:val="BodyText"/>
      </w:pPr>
      <w:r w:rsidRPr="00886F38">
        <w:t>Each new CRC should be established as an incorporated company, limited by guarantee. The composition of the board should reflect relevant experience and expertise. Funding for the CRC should be managed through an agreement between the company and the Commonwealth.</w:t>
      </w:r>
    </w:p>
    <w:p w14:paraId="482F0256" w14:textId="77777777" w:rsidR="00AF08DE" w:rsidRPr="00D368AB" w:rsidRDefault="00AF08DE" w:rsidP="002D34D5">
      <w:pPr>
        <w:pStyle w:val="BodyText"/>
        <w:rPr>
          <w:rStyle w:val="Emphasis"/>
        </w:rPr>
      </w:pPr>
      <w:r w:rsidRPr="00D368AB">
        <w:rPr>
          <w:rStyle w:val="Emphasis"/>
        </w:rPr>
        <w:t>Mandating a governance model for CRCs should reduce complexities and save time in establishing new CRCs.</w:t>
      </w:r>
    </w:p>
    <w:p w14:paraId="4E7966BF" w14:textId="77777777" w:rsidR="00AC26F1" w:rsidRDefault="00AC26F1" w:rsidP="00AC26F1">
      <w:pPr>
        <w:pStyle w:val="Heading4Recommendation"/>
      </w:pPr>
      <w:r>
        <w:t>Recommendation 14</w:t>
      </w:r>
    </w:p>
    <w:p w14:paraId="22678E7F" w14:textId="77777777" w:rsidR="00AF08DE" w:rsidRPr="00886F38" w:rsidRDefault="00AF08DE" w:rsidP="002D34D5">
      <w:pPr>
        <w:pStyle w:val="BodyText"/>
      </w:pPr>
      <w:r w:rsidRPr="00886F38">
        <w:t>Funding for each CRC-P should be managed through an agreement between an acceptable entity and the Commonwealth.</w:t>
      </w:r>
    </w:p>
    <w:p w14:paraId="79D26132" w14:textId="77777777" w:rsidR="00AF08DE" w:rsidRPr="00D368AB" w:rsidRDefault="00AF08DE" w:rsidP="002D34D5">
      <w:pPr>
        <w:pStyle w:val="BodyText"/>
        <w:rPr>
          <w:rStyle w:val="Emphasis"/>
        </w:rPr>
      </w:pPr>
      <w:r w:rsidRPr="00D368AB">
        <w:rPr>
          <w:rStyle w:val="Emphasis"/>
        </w:rPr>
        <w:t>CRC-Ps should have a simplified agreement with an acceptable entity which has responsibility to deliver the project. The entity should be nominated by industry.</w:t>
      </w:r>
    </w:p>
    <w:p w14:paraId="16E7AACF" w14:textId="77777777" w:rsidR="00AC26F1" w:rsidRDefault="00AC26F1" w:rsidP="00AC26F1">
      <w:pPr>
        <w:pStyle w:val="Heading4Recommendation"/>
      </w:pPr>
      <w:r>
        <w:t>Recommendation 15</w:t>
      </w:r>
    </w:p>
    <w:p w14:paraId="50909367" w14:textId="77777777" w:rsidR="002D4B90" w:rsidRDefault="00AF08DE" w:rsidP="002D34D5">
      <w:pPr>
        <w:pStyle w:val="BodyText"/>
      </w:pPr>
      <w:r w:rsidRPr="00886F38">
        <w:t>Intellectual Property (IP) agreements should be streamlined for CRCs and CRC-Ps and wherever possible they should use best practice</w:t>
      </w:r>
      <w:r w:rsidR="005432CE" w:rsidRPr="00886F38">
        <w:t>.</w:t>
      </w:r>
      <w:r w:rsidR="002D4B90">
        <w:br w:type="page"/>
      </w:r>
    </w:p>
    <w:p w14:paraId="5573A5D7" w14:textId="77777777" w:rsidR="00AC26F1" w:rsidRDefault="00AC26F1" w:rsidP="00AC26F1">
      <w:pPr>
        <w:pStyle w:val="Heading4Recommendation"/>
      </w:pPr>
      <w:r>
        <w:lastRenderedPageBreak/>
        <w:t>Recommendation 16</w:t>
      </w:r>
    </w:p>
    <w:p w14:paraId="50AE17A0" w14:textId="77777777" w:rsidR="00AF08DE" w:rsidRPr="00886F38" w:rsidRDefault="00AF08DE" w:rsidP="002D34D5">
      <w:pPr>
        <w:pStyle w:val="BodyText"/>
      </w:pPr>
      <w:r w:rsidRPr="00886F38">
        <w:t>The priority public good funding me</w:t>
      </w:r>
      <w:r w:rsidR="00AC26F1">
        <w:t>chanism should be discontinued.</w:t>
      </w:r>
    </w:p>
    <w:p w14:paraId="41CD2BE4" w14:textId="77777777" w:rsidR="00AF08DE" w:rsidRPr="00D368AB" w:rsidRDefault="00AF08DE" w:rsidP="002D34D5">
      <w:pPr>
        <w:pStyle w:val="BodyText"/>
        <w:rPr>
          <w:rStyle w:val="Emphasis"/>
        </w:rPr>
      </w:pPr>
      <w:r w:rsidRPr="00D368AB">
        <w:rPr>
          <w:rStyle w:val="Emphasis"/>
        </w:rPr>
        <w:t>CRC Programme funding inherently delivers public good by enabling industry</w:t>
      </w:r>
      <w:r w:rsidR="00880E72" w:rsidRPr="00D368AB">
        <w:rPr>
          <w:rStyle w:val="Emphasis"/>
        </w:rPr>
        <w:noBreakHyphen/>
      </w:r>
      <w:r w:rsidRPr="00D368AB">
        <w:rPr>
          <w:rStyle w:val="Emphasis"/>
        </w:rPr>
        <w:t>focused research on key issues. There is no need for a separate mechanism.</w:t>
      </w:r>
    </w:p>
    <w:p w14:paraId="7719B0B4" w14:textId="77777777" w:rsidR="00AC26F1" w:rsidRDefault="00AC26F1" w:rsidP="00AC26F1">
      <w:pPr>
        <w:pStyle w:val="Heading4Recommendation"/>
      </w:pPr>
      <w:r>
        <w:t>Recommendation 17</w:t>
      </w:r>
    </w:p>
    <w:p w14:paraId="2F9CD24B" w14:textId="77777777" w:rsidR="00AF08DE" w:rsidRPr="00886F38" w:rsidRDefault="00AF08DE" w:rsidP="002D34D5">
      <w:pPr>
        <w:pStyle w:val="BodyText"/>
      </w:pPr>
      <w:r w:rsidRPr="00886F38">
        <w:t xml:space="preserve">CRC performance data </w:t>
      </w:r>
      <w:r w:rsidR="008F0958" w:rsidRPr="00886F38">
        <w:t xml:space="preserve">collection </w:t>
      </w:r>
      <w:r w:rsidRPr="00886F38">
        <w:t>should be revised to align with revised pro</w:t>
      </w:r>
      <w:r w:rsidR="00AC26F1">
        <w:t>gramme objectives and outcomes.</w:t>
      </w:r>
    </w:p>
    <w:p w14:paraId="2E3C461D" w14:textId="77777777" w:rsidR="00AF08DE" w:rsidRPr="00D368AB" w:rsidRDefault="00AF08DE" w:rsidP="002D34D5">
      <w:pPr>
        <w:pStyle w:val="BodyText"/>
        <w:rPr>
          <w:rStyle w:val="Emphasis"/>
        </w:rPr>
      </w:pPr>
      <w:r w:rsidRPr="00D368AB">
        <w:rPr>
          <w:rStyle w:val="Emphasis"/>
        </w:rPr>
        <w:t xml:space="preserve">The collection of data for the programme should be reviewed, including identifying </w:t>
      </w:r>
      <w:r w:rsidR="008F0958" w:rsidRPr="00D368AB">
        <w:rPr>
          <w:rStyle w:val="Emphasis"/>
        </w:rPr>
        <w:t xml:space="preserve">which is </w:t>
      </w:r>
      <w:r w:rsidRPr="00D368AB">
        <w:rPr>
          <w:rStyle w:val="Emphasis"/>
        </w:rPr>
        <w:t>appropriate data to collect and the best way of collecting it. Wherever possible existing collection methods should be used</w:t>
      </w:r>
      <w:r w:rsidR="008F0958" w:rsidRPr="00D368AB">
        <w:rPr>
          <w:rStyle w:val="Emphasis"/>
        </w:rPr>
        <w:t xml:space="preserve"> so that ‘red tape’ is kept to a minimum</w:t>
      </w:r>
      <w:r w:rsidRPr="00D368AB">
        <w:rPr>
          <w:rStyle w:val="Emphasis"/>
        </w:rPr>
        <w:t>.</w:t>
      </w:r>
      <w:r w:rsidR="00AD75A5" w:rsidRPr="00D368AB">
        <w:rPr>
          <w:rStyle w:val="Emphasis"/>
        </w:rPr>
        <w:t xml:space="preserve"> </w:t>
      </w:r>
      <w:r w:rsidR="008F0958" w:rsidRPr="00D368AB">
        <w:rPr>
          <w:rStyle w:val="Emphasis"/>
        </w:rPr>
        <w:t>The National Survey of Research Commercialisation is a valuable resource for this purpose.</w:t>
      </w:r>
    </w:p>
    <w:p w14:paraId="595A8938" w14:textId="77777777" w:rsidR="00AF08DE" w:rsidRPr="00886F38" w:rsidRDefault="00AF08DE" w:rsidP="00A031E9">
      <w:pPr>
        <w:spacing w:after="120" w:line="240" w:lineRule="auto"/>
        <w:rPr>
          <w:rStyle w:val="Strong"/>
        </w:rPr>
      </w:pPr>
      <w:r w:rsidRPr="00886F38">
        <w:rPr>
          <w:rStyle w:val="Strong"/>
        </w:rPr>
        <w:t>Recommendation 18</w:t>
      </w:r>
    </w:p>
    <w:p w14:paraId="014F1C83" w14:textId="77777777" w:rsidR="00AF08DE" w:rsidRPr="00886F38" w:rsidRDefault="00AF08DE" w:rsidP="002D34D5">
      <w:pPr>
        <w:pStyle w:val="BodyText"/>
      </w:pPr>
      <w:r w:rsidRPr="00886F38">
        <w:t xml:space="preserve">The CRC Programme model should be used </w:t>
      </w:r>
      <w:r w:rsidR="0095493D" w:rsidRPr="00886F38">
        <w:t xml:space="preserve">and funded </w:t>
      </w:r>
      <w:r w:rsidRPr="00886F38">
        <w:t>by other Australian Government portfolios to achieve their policy objectives.</w:t>
      </w:r>
    </w:p>
    <w:p w14:paraId="53058808" w14:textId="77777777" w:rsidR="00072266" w:rsidRPr="00886F38" w:rsidRDefault="00072266" w:rsidP="002D34D5">
      <w:pPr>
        <w:pStyle w:val="BodyText"/>
      </w:pPr>
      <w:r w:rsidRPr="00886F38">
        <w:br w:type="page"/>
      </w:r>
    </w:p>
    <w:p w14:paraId="16408ED3" w14:textId="77777777" w:rsidR="007D3955" w:rsidRPr="00886F38" w:rsidRDefault="003B18F0" w:rsidP="005E4F89">
      <w:pPr>
        <w:pStyle w:val="Heading2"/>
      </w:pPr>
      <w:bookmarkStart w:id="10" w:name="_Toc415042834"/>
      <w:r w:rsidRPr="00886F38">
        <w:lastRenderedPageBreak/>
        <w:t>Part 2</w:t>
      </w:r>
      <w:r w:rsidR="00F16AF1" w:rsidRPr="00886F38">
        <w:t>: Findings against the Terms of Reference</w:t>
      </w:r>
      <w:bookmarkEnd w:id="10"/>
    </w:p>
    <w:p w14:paraId="45B3F384" w14:textId="77777777" w:rsidR="00F11611" w:rsidRPr="00886F38" w:rsidRDefault="00F16AF1" w:rsidP="002D34D5">
      <w:pPr>
        <w:pStyle w:val="BodyText"/>
      </w:pPr>
      <w:r w:rsidRPr="00886F38">
        <w:t xml:space="preserve">This review has evaluated the </w:t>
      </w:r>
      <w:r w:rsidR="005432CE" w:rsidRPr="00886F38">
        <w:t xml:space="preserve">performance of the </w:t>
      </w:r>
      <w:r w:rsidRPr="00886F38">
        <w:t>CRC Programme against the stated terms of reference (</w:t>
      </w:r>
      <w:r w:rsidR="00880E72">
        <w:t>Part 3</w:t>
      </w:r>
      <w:r w:rsidR="007F2ABA">
        <w:t xml:space="preserve"> Section 1.2</w:t>
      </w:r>
      <w:r w:rsidRPr="00886F38">
        <w:t>). In doing so, the review has also taken account of the Department of Finance’s Expenditure Review Principles</w:t>
      </w:r>
      <w:r w:rsidR="0095493D" w:rsidRPr="00886F38">
        <w:t xml:space="preserve"> as outlined below:</w:t>
      </w:r>
    </w:p>
    <w:p w14:paraId="2391F801" w14:textId="77777777" w:rsidR="00F16AF1" w:rsidRPr="00886F38" w:rsidRDefault="00F16AF1" w:rsidP="00EC361E">
      <w:pPr>
        <w:pStyle w:val="ListBullet"/>
      </w:pPr>
      <w:r w:rsidRPr="00886F38">
        <w:rPr>
          <w:i/>
        </w:rPr>
        <w:t>appropriateness</w:t>
      </w:r>
      <w:r w:rsidRPr="00886F38">
        <w:t xml:space="preserve"> is </w:t>
      </w:r>
      <w:r w:rsidR="0095493D" w:rsidRPr="00886F38">
        <w:t>addressed</w:t>
      </w:r>
      <w:r w:rsidR="003B5109">
        <w:t xml:space="preserve"> in terms of reference A and E;</w:t>
      </w:r>
    </w:p>
    <w:p w14:paraId="31E40B2A" w14:textId="77777777" w:rsidR="00F16AF1" w:rsidRPr="00886F38" w:rsidRDefault="00F16AF1" w:rsidP="00EC361E">
      <w:pPr>
        <w:pStyle w:val="ListBullet"/>
      </w:pPr>
      <w:r w:rsidRPr="00886F38">
        <w:rPr>
          <w:i/>
        </w:rPr>
        <w:t>effectiveness</w:t>
      </w:r>
      <w:r w:rsidRPr="00886F38">
        <w:t xml:space="preserve"> is </w:t>
      </w:r>
      <w:r w:rsidR="0095493D" w:rsidRPr="00886F38">
        <w:t>addressed</w:t>
      </w:r>
      <w:r w:rsidR="003B5109">
        <w:t xml:space="preserve"> in terms of reference B and C;</w:t>
      </w:r>
    </w:p>
    <w:p w14:paraId="148D2B11" w14:textId="77777777" w:rsidR="00F16AF1" w:rsidRPr="00886F38" w:rsidRDefault="00F16AF1" w:rsidP="00EC361E">
      <w:pPr>
        <w:pStyle w:val="ListBullet"/>
      </w:pPr>
      <w:r w:rsidRPr="00886F38">
        <w:rPr>
          <w:i/>
        </w:rPr>
        <w:t>efficiency</w:t>
      </w:r>
      <w:r w:rsidRPr="00886F38">
        <w:t xml:space="preserve"> is </w:t>
      </w:r>
      <w:r w:rsidR="0095493D" w:rsidRPr="00886F38">
        <w:t>addressed</w:t>
      </w:r>
      <w:r w:rsidR="00F11611" w:rsidRPr="00886F38">
        <w:t xml:space="preserve"> </w:t>
      </w:r>
      <w:r w:rsidRPr="00886F38">
        <w:t>in term of reference D;</w:t>
      </w:r>
    </w:p>
    <w:p w14:paraId="06B9F8BB" w14:textId="77777777" w:rsidR="00F16AF1" w:rsidRPr="00886F38" w:rsidRDefault="00F16AF1" w:rsidP="00EC361E">
      <w:pPr>
        <w:pStyle w:val="ListBullet"/>
      </w:pPr>
      <w:r w:rsidRPr="00886F38">
        <w:rPr>
          <w:i/>
        </w:rPr>
        <w:t>integration</w:t>
      </w:r>
      <w:r w:rsidRPr="00886F38">
        <w:t xml:space="preserve"> is </w:t>
      </w:r>
      <w:r w:rsidR="0095493D" w:rsidRPr="00886F38">
        <w:t>addressed</w:t>
      </w:r>
      <w:r w:rsidR="00F11611" w:rsidRPr="00886F38">
        <w:t xml:space="preserve"> </w:t>
      </w:r>
      <w:r w:rsidRPr="00886F38">
        <w:t>in term of reference A</w:t>
      </w:r>
      <w:r w:rsidR="005432CE" w:rsidRPr="00886F38">
        <w:t>;</w:t>
      </w:r>
    </w:p>
    <w:p w14:paraId="2787D156" w14:textId="77777777" w:rsidR="00F16AF1" w:rsidRPr="00886F38" w:rsidRDefault="00F16AF1" w:rsidP="00EC361E">
      <w:pPr>
        <w:pStyle w:val="ListBullet"/>
      </w:pPr>
      <w:r w:rsidRPr="00886F38">
        <w:rPr>
          <w:i/>
        </w:rPr>
        <w:t>performance assessment</w:t>
      </w:r>
      <w:r w:rsidRPr="00886F38">
        <w:t xml:space="preserve"> is </w:t>
      </w:r>
      <w:r w:rsidR="0095493D" w:rsidRPr="00886F38">
        <w:t>addressed</w:t>
      </w:r>
      <w:r w:rsidR="00F11611" w:rsidRPr="00886F38">
        <w:t xml:space="preserve"> </w:t>
      </w:r>
      <w:r w:rsidRPr="00886F38">
        <w:t>in terms of reference A and C; and</w:t>
      </w:r>
    </w:p>
    <w:p w14:paraId="20769AF3" w14:textId="77777777" w:rsidR="00F16AF1" w:rsidRPr="00886F38" w:rsidRDefault="00F16AF1" w:rsidP="00EC361E">
      <w:pPr>
        <w:pStyle w:val="ListBullet"/>
      </w:pPr>
      <w:r w:rsidRPr="00886F38">
        <w:rPr>
          <w:i/>
        </w:rPr>
        <w:t>strategic policy alignment</w:t>
      </w:r>
      <w:r w:rsidRPr="00886F38">
        <w:t xml:space="preserve"> is </w:t>
      </w:r>
      <w:r w:rsidR="0095493D" w:rsidRPr="00886F38">
        <w:t>addressed</w:t>
      </w:r>
      <w:r w:rsidR="00F11611" w:rsidRPr="00886F38">
        <w:t xml:space="preserve"> </w:t>
      </w:r>
      <w:r w:rsidRPr="00886F38">
        <w:t>in terms of reference A, B and C.</w:t>
      </w:r>
    </w:p>
    <w:p w14:paraId="0123136E" w14:textId="77777777" w:rsidR="00072266" w:rsidRPr="00886F38" w:rsidRDefault="00072266">
      <w:pPr>
        <w:spacing w:line="240" w:lineRule="auto"/>
        <w:rPr>
          <w:rFonts w:eastAsiaTheme="minorHAnsi" w:cs="Arial"/>
          <w:b/>
          <w:bCs/>
          <w:color w:val="auto"/>
          <w:sz w:val="32"/>
          <w:szCs w:val="26"/>
        </w:rPr>
      </w:pPr>
      <w:r w:rsidRPr="00886F38">
        <w:rPr>
          <w:color w:val="auto"/>
        </w:rPr>
        <w:br w:type="page"/>
      </w:r>
    </w:p>
    <w:p w14:paraId="39AD0A73" w14:textId="77777777" w:rsidR="00306DAD" w:rsidRDefault="00306DAD" w:rsidP="00F66D2E">
      <w:pPr>
        <w:pStyle w:val="Heading3"/>
        <w:ind w:left="0" w:firstLine="0"/>
        <w:sectPr w:rsidR="00306DAD" w:rsidSect="00DE1A96">
          <w:type w:val="continuous"/>
          <w:pgSz w:w="11906" w:h="16838"/>
          <w:pgMar w:top="1440" w:right="1274" w:bottom="1440" w:left="1440" w:header="708" w:footer="708" w:gutter="0"/>
          <w:cols w:space="566"/>
          <w:docGrid w:linePitch="360"/>
        </w:sectPr>
      </w:pPr>
    </w:p>
    <w:p w14:paraId="3E76AD0E" w14:textId="77777777" w:rsidR="00F16AF1" w:rsidRPr="00886F38" w:rsidRDefault="00F16AF1" w:rsidP="00F66D2E">
      <w:pPr>
        <w:pStyle w:val="Heading3"/>
        <w:ind w:left="0" w:firstLine="0"/>
      </w:pPr>
      <w:bookmarkStart w:id="11" w:name="_Toc415042835"/>
      <w:r w:rsidRPr="00886F38">
        <w:lastRenderedPageBreak/>
        <w:t>Term of Reference A</w:t>
      </w:r>
      <w:bookmarkEnd w:id="11"/>
    </w:p>
    <w:p w14:paraId="69D9B7C4" w14:textId="77777777" w:rsidR="00F16AF1" w:rsidRPr="00EC361E" w:rsidRDefault="00F16AF1" w:rsidP="00F16AF1">
      <w:pPr>
        <w:spacing w:line="240" w:lineRule="auto"/>
        <w:rPr>
          <w:rStyle w:val="Strong"/>
        </w:rPr>
      </w:pPr>
      <w:r w:rsidRPr="00EC361E">
        <w:rPr>
          <w:rStyle w:val="Strong"/>
        </w:rPr>
        <w:t>Is the CRC Programme the right vehicle for achieving the government’s priorities for applied science and research? If not, what sort of programme would be more effective?</w:t>
      </w:r>
    </w:p>
    <w:p w14:paraId="606BD78E" w14:textId="77777777" w:rsidR="00F16AF1" w:rsidRPr="00886F38" w:rsidRDefault="00F16AF1" w:rsidP="00EB0D4E">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40" w:lineRule="auto"/>
        <w:rPr>
          <w:rFonts w:eastAsiaTheme="minorHAnsi" w:cs="Arial"/>
          <w:color w:val="auto"/>
        </w:rPr>
      </w:pPr>
      <w:r w:rsidRPr="00886F38">
        <w:rPr>
          <w:rFonts w:eastAsiaTheme="minorHAnsi" w:cs="Arial"/>
          <w:color w:val="auto"/>
        </w:rPr>
        <w:t xml:space="preserve">A refocused and </w:t>
      </w:r>
      <w:r w:rsidR="00ED6204">
        <w:rPr>
          <w:rFonts w:eastAsiaTheme="minorHAnsi" w:cs="Arial"/>
          <w:color w:val="auto"/>
        </w:rPr>
        <w:t>better targeted CRC P</w:t>
      </w:r>
      <w:r w:rsidRPr="00886F38">
        <w:rPr>
          <w:rFonts w:eastAsiaTheme="minorHAnsi" w:cs="Arial"/>
          <w:color w:val="auto"/>
        </w:rPr>
        <w:t xml:space="preserve">rogramme </w:t>
      </w:r>
      <w:r w:rsidR="00F11611" w:rsidRPr="00886F38">
        <w:rPr>
          <w:rFonts w:eastAsiaTheme="minorHAnsi" w:cs="Arial"/>
          <w:color w:val="auto"/>
        </w:rPr>
        <w:t>will</w:t>
      </w:r>
      <w:r w:rsidR="008820B8" w:rsidRPr="00886F38">
        <w:rPr>
          <w:rFonts w:eastAsiaTheme="minorHAnsi" w:cs="Arial"/>
          <w:color w:val="auto"/>
        </w:rPr>
        <w:t xml:space="preserve"> </w:t>
      </w:r>
      <w:r w:rsidRPr="00886F38">
        <w:rPr>
          <w:rFonts w:eastAsiaTheme="minorHAnsi" w:cs="Arial"/>
          <w:color w:val="auto"/>
        </w:rPr>
        <w:t>achieve the government’s priorities for science and research.</w:t>
      </w:r>
    </w:p>
    <w:p w14:paraId="24395E5F" w14:textId="77777777" w:rsidR="00F16AF1" w:rsidRPr="00886F38" w:rsidRDefault="00F16AF1" w:rsidP="002D34D5">
      <w:pPr>
        <w:pStyle w:val="BodyText"/>
      </w:pPr>
      <w:r w:rsidRPr="00886F38">
        <w:t>In the 25 years since the CRC Programme was announced it has undergone a number of changes to its objectives and administrative processes, largely in response to past reviews. This review has been conducted to assist the Minister for Industry and Science to determine whether the programme is supporting the Australian Government’s policy objectives for applied science and research.</w:t>
      </w:r>
    </w:p>
    <w:p w14:paraId="47E618AF" w14:textId="77777777" w:rsidR="00F16AF1" w:rsidRPr="00886F38" w:rsidRDefault="00F16AF1" w:rsidP="002D34D5">
      <w:pPr>
        <w:pStyle w:val="BodyText"/>
      </w:pPr>
      <w:r w:rsidRPr="00886F38">
        <w:t xml:space="preserve">The </w:t>
      </w:r>
      <w:r w:rsidR="0095493D" w:rsidRPr="00886F38">
        <w:t xml:space="preserve">recently announced </w:t>
      </w:r>
      <w:r w:rsidRPr="00EC361E">
        <w:rPr>
          <w:rStyle w:val="Emphasis"/>
        </w:rPr>
        <w:t>Industry Innovation and Competitiveness Agenda</w:t>
      </w:r>
      <w:r w:rsidRPr="00886F38">
        <w:t xml:space="preserve"> and </w:t>
      </w:r>
      <w:r w:rsidRPr="00EC361E">
        <w:rPr>
          <w:rStyle w:val="Emphasis"/>
        </w:rPr>
        <w:t>Boosting the Commercial Returns from Research</w:t>
      </w:r>
      <w:r w:rsidRPr="00886F38">
        <w:t xml:space="preserve"> </w:t>
      </w:r>
      <w:r w:rsidR="005432CE" w:rsidRPr="00886F38">
        <w:t xml:space="preserve">strategy </w:t>
      </w:r>
      <w:r w:rsidRPr="00886F38">
        <w:t>articulate the government’s focus on, among other things, improving the translation of research into co</w:t>
      </w:r>
      <w:r w:rsidR="00EB0D4E">
        <w:t>mmercial outcomes for industry.</w:t>
      </w:r>
    </w:p>
    <w:p w14:paraId="614DD7ED" w14:textId="77777777" w:rsidR="00F16AF1" w:rsidRPr="00886F38" w:rsidRDefault="00F16AF1" w:rsidP="002D34D5">
      <w:pPr>
        <w:pStyle w:val="BodyText"/>
      </w:pPr>
      <w:r w:rsidRPr="00886F38">
        <w:t>In forming a view on whether the programme is the right vehicle for achieving the government</w:t>
      </w:r>
      <w:r w:rsidR="00764D03" w:rsidRPr="00886F38">
        <w:t>’</w:t>
      </w:r>
      <w:r w:rsidRPr="00886F38">
        <w:t>s priorities the review has paid particular attention to the sub-questions outlined in its terms of reference including:</w:t>
      </w:r>
    </w:p>
    <w:p w14:paraId="02617D96" w14:textId="77777777" w:rsidR="00F16AF1" w:rsidRPr="00886F38" w:rsidRDefault="00F16AF1" w:rsidP="00EC361E">
      <w:pPr>
        <w:pStyle w:val="ListBullet"/>
      </w:pPr>
      <w:r w:rsidRPr="00886F38">
        <w:t>whether the CRC Programme effectively encourages and facilitates industry and the research sector to work together to solve problems for business, help industries adapt to change, and improve economic outcomes for the nation?</w:t>
      </w:r>
    </w:p>
    <w:p w14:paraId="711B98D7" w14:textId="77777777" w:rsidR="00F16AF1" w:rsidRPr="00886F38" w:rsidRDefault="00F16AF1" w:rsidP="00EC361E">
      <w:pPr>
        <w:pStyle w:val="ListBullet"/>
      </w:pPr>
      <w:r w:rsidRPr="00886F38">
        <w:t>how the objective of the programme should be articulated in the current policy context?</w:t>
      </w:r>
    </w:p>
    <w:p w14:paraId="4AC35689" w14:textId="77777777" w:rsidR="00F16AF1" w:rsidRPr="00886F38" w:rsidRDefault="00F16AF1" w:rsidP="00EC361E">
      <w:pPr>
        <w:pStyle w:val="ListBullet"/>
      </w:pPr>
      <w:r w:rsidRPr="00886F38">
        <w:t>whether there are other domestic or international approaches to driving industry growth and competitiveness through applied science and research that might be more appropriate?</w:t>
      </w:r>
    </w:p>
    <w:p w14:paraId="42DB9BDD" w14:textId="77777777" w:rsidR="00F16AF1" w:rsidRPr="00886F38" w:rsidRDefault="00F16AF1" w:rsidP="002D34D5">
      <w:pPr>
        <w:pStyle w:val="BodyText"/>
      </w:pPr>
      <w:r w:rsidRPr="00886F38">
        <w:t>The review has drawn on stakeholder feedback from consultations and submissions received during the review process, programme data, the findings of previous reviews, international collaborative research policy, the 2014 National Commission of Audit and industry</w:t>
      </w:r>
      <w:r w:rsidR="008820B8" w:rsidRPr="00886F38">
        <w:t>-</w:t>
      </w:r>
      <w:r w:rsidRPr="00886F38">
        <w:t xml:space="preserve">research collaboration initiatives funded by </w:t>
      </w:r>
      <w:r w:rsidR="005432CE" w:rsidRPr="00886F38">
        <w:t xml:space="preserve">the </w:t>
      </w:r>
      <w:r w:rsidRPr="00886F38">
        <w:t>Commonwealth and state and territory governments.</w:t>
      </w:r>
    </w:p>
    <w:p w14:paraId="7DF73BCE" w14:textId="77777777" w:rsidR="00C17EEC" w:rsidRDefault="00C17EEC" w:rsidP="002D34D5">
      <w:pPr>
        <w:pStyle w:val="BodyText"/>
        <w:rPr>
          <w:sz w:val="28"/>
          <w:szCs w:val="28"/>
        </w:rPr>
      </w:pPr>
      <w:r>
        <w:br w:type="page"/>
      </w:r>
    </w:p>
    <w:p w14:paraId="10BE5BD4" w14:textId="77777777" w:rsidR="00F16AF1" w:rsidRPr="00886F38" w:rsidRDefault="00F16AF1" w:rsidP="00F421BE">
      <w:pPr>
        <w:pStyle w:val="Heading4"/>
        <w:ind w:left="0" w:firstLine="0"/>
        <w:rPr>
          <w:rFonts w:ascii="Arial" w:hAnsi="Arial" w:cs="Arial"/>
          <w:color w:val="auto"/>
        </w:rPr>
      </w:pPr>
      <w:bookmarkStart w:id="12" w:name="_Toc415042836"/>
      <w:r w:rsidRPr="00886F38">
        <w:rPr>
          <w:rFonts w:ascii="Arial" w:hAnsi="Arial" w:cs="Arial"/>
          <w:color w:val="auto"/>
        </w:rPr>
        <w:lastRenderedPageBreak/>
        <w:t>The CRC model</w:t>
      </w:r>
      <w:bookmarkEnd w:id="12"/>
    </w:p>
    <w:p w14:paraId="71D58F95" w14:textId="77777777" w:rsidR="00F16AF1" w:rsidRPr="00886F38" w:rsidRDefault="00F16AF1" w:rsidP="002D34D5">
      <w:pPr>
        <w:pStyle w:val="BodyText"/>
      </w:pPr>
      <w:r w:rsidRPr="00886F38">
        <w:t>Stakeholder feedback was positive, emphasising the importance of the programme in supporting industry-focused research and encouraging collaboration between indu</w:t>
      </w:r>
      <w:r w:rsidR="00EB0D4E">
        <w:t>stry and research in Australia.</w:t>
      </w:r>
    </w:p>
    <w:p w14:paraId="28F2307B" w14:textId="77777777" w:rsidR="00F16AF1" w:rsidRPr="00886F38" w:rsidRDefault="00F16AF1" w:rsidP="002D34D5">
      <w:pPr>
        <w:pStyle w:val="BodyText"/>
      </w:pPr>
      <w:r w:rsidRPr="00886F38">
        <w:t>The programme was described by some stakeholders as the ‘glue’ in Australian industry-research collaboration</w:t>
      </w:r>
      <w:r w:rsidR="008820B8" w:rsidRPr="00886F38">
        <w:t>,</w:t>
      </w:r>
      <w:r w:rsidRPr="00886F38">
        <w:t xml:space="preserve"> and by others as a unique avenue for industry to identify and solve its research challenges. The programme was also noted as an important funding source for universities to enable long term and complex industry-focused research through coll</w:t>
      </w:r>
      <w:r w:rsidR="00EB0D4E">
        <w:t>aboration.</w:t>
      </w:r>
    </w:p>
    <w:p w14:paraId="6E3AA0FE" w14:textId="77777777" w:rsidR="00F16AF1" w:rsidRPr="00886F38" w:rsidRDefault="00F16AF1" w:rsidP="002D34D5">
      <w:pPr>
        <w:pStyle w:val="BodyText"/>
      </w:pPr>
      <w:r w:rsidRPr="00886F38">
        <w:t>Some stakeholders expressed frustration with the programme, noting concerns about its structure and administration and that the aims of the programme were too diffuse. Others questioned whether the programme had strayed from its original objectives and had</w:t>
      </w:r>
      <w:r w:rsidR="005432CE" w:rsidRPr="00886F38">
        <w:t xml:space="preserve"> also</w:t>
      </w:r>
      <w:r w:rsidR="00EB0D4E">
        <w:t xml:space="preserve"> become inflexible.</w:t>
      </w:r>
    </w:p>
    <w:p w14:paraId="5A3F26F5" w14:textId="77777777" w:rsidR="007F2ABA" w:rsidRDefault="00F16AF1" w:rsidP="002D34D5">
      <w:pPr>
        <w:pStyle w:val="BodyText"/>
      </w:pPr>
      <w:r w:rsidRPr="00886F38">
        <w:t>Industry stakeholders saw the programme as capable of making an important contribution to improving global competitiveness</w:t>
      </w:r>
      <w:r w:rsidR="00EB0D4E">
        <w:t xml:space="preserve"> and encouraging collaboration.</w:t>
      </w:r>
    </w:p>
    <w:p w14:paraId="43C67A6B" w14:textId="77777777" w:rsidR="00F16AF1" w:rsidRPr="00886F38" w:rsidRDefault="00F16AF1" w:rsidP="002D34D5">
      <w:pPr>
        <w:pStyle w:val="BodyText"/>
      </w:pPr>
      <w:r w:rsidRPr="00886F38">
        <w:t>They highlighted a number of key factors that they believe increase the likelihood of tangible outcomes:</w:t>
      </w:r>
    </w:p>
    <w:p w14:paraId="3053268D" w14:textId="77777777" w:rsidR="00F16AF1" w:rsidRPr="00886F38" w:rsidRDefault="00F16AF1" w:rsidP="00EC361E">
      <w:pPr>
        <w:pStyle w:val="ListBullet"/>
      </w:pPr>
      <w:r w:rsidRPr="00886F38">
        <w:t>industry-identified research questions that are clear and commonly agreed, with flexibility in delivery to be able to respond to research developments and changing industry requirements;</w:t>
      </w:r>
    </w:p>
    <w:p w14:paraId="00FAB43C" w14:textId="77777777" w:rsidR="00F16AF1" w:rsidRPr="00886F38" w:rsidRDefault="00F16AF1" w:rsidP="00EC361E">
      <w:pPr>
        <w:pStyle w:val="ListBullet"/>
      </w:pPr>
      <w:r w:rsidRPr="00886F38">
        <w:t>industry leading the design and development of research programmes;</w:t>
      </w:r>
    </w:p>
    <w:p w14:paraId="2CE12070" w14:textId="77777777" w:rsidR="00F16AF1" w:rsidRPr="00886F38" w:rsidRDefault="00F16AF1" w:rsidP="00EC361E">
      <w:pPr>
        <w:pStyle w:val="ListBullet"/>
      </w:pPr>
      <w:r w:rsidRPr="00886F38">
        <w:t>senior figures from industry holding key positions in the governance, management and decision</w:t>
      </w:r>
      <w:r w:rsidR="008820B8" w:rsidRPr="00886F38">
        <w:t>-</w:t>
      </w:r>
      <w:r w:rsidRPr="00886F38">
        <w:t>making of CRCs; and</w:t>
      </w:r>
    </w:p>
    <w:p w14:paraId="53A63CD5" w14:textId="77777777" w:rsidR="00F16AF1" w:rsidRPr="00886F38" w:rsidRDefault="00F16AF1" w:rsidP="00EC361E">
      <w:pPr>
        <w:pStyle w:val="ListBullet"/>
      </w:pPr>
      <w:r w:rsidRPr="00886F38">
        <w:t>CRCs engaging researchers producing high quality research that also meets the needs of industry in a commercial environment.</w:t>
      </w:r>
    </w:p>
    <w:p w14:paraId="2B789C0C" w14:textId="77777777" w:rsidR="00F16AF1" w:rsidRPr="00886F38" w:rsidRDefault="00F16AF1" w:rsidP="002D34D5">
      <w:pPr>
        <w:pStyle w:val="BodyText"/>
      </w:pPr>
      <w:r w:rsidRPr="00886F38">
        <w:t>Where such factors were not in place, CRCs were seen by industry as less lik</w:t>
      </w:r>
      <w:r w:rsidR="00EB0D4E">
        <w:t>ely to deliver useful outcomes.</w:t>
      </w:r>
    </w:p>
    <w:p w14:paraId="4D07405D" w14:textId="77777777" w:rsidR="00F16AF1" w:rsidRPr="00886F38" w:rsidRDefault="00764D03" w:rsidP="002D34D5">
      <w:pPr>
        <w:pStyle w:val="BodyText"/>
      </w:pPr>
      <w:r w:rsidRPr="00886F38">
        <w:t>S</w:t>
      </w:r>
      <w:r w:rsidR="00F16AF1" w:rsidRPr="00886F38">
        <w:t>ome stakeholders argued that industry-research collaboration should be an end in itself (given the investment in skills, capabilities and collaborative networks), regardless of commercial return</w:t>
      </w:r>
      <w:r w:rsidRPr="00886F38">
        <w:t>. However</w:t>
      </w:r>
      <w:r w:rsidR="00F16AF1" w:rsidRPr="00886F38">
        <w:t xml:space="preserve">, the review believes a stronger industry focus for the programme will increase industry benefits </w:t>
      </w:r>
      <w:r w:rsidRPr="00886F38">
        <w:t xml:space="preserve">such as profitability, productivity and job-creation, </w:t>
      </w:r>
      <w:r w:rsidR="00F16AF1" w:rsidRPr="00886F38">
        <w:t>and promote skills and career pathways</w:t>
      </w:r>
      <w:r w:rsidR="00EB0D4E">
        <w:t xml:space="preserve"> in both industry and research.</w:t>
      </w:r>
    </w:p>
    <w:p w14:paraId="2A3D1EFB" w14:textId="77777777" w:rsidR="00F16AF1" w:rsidRPr="00886F38" w:rsidRDefault="00F16AF1" w:rsidP="00F421BE">
      <w:pPr>
        <w:pStyle w:val="Heading4"/>
        <w:ind w:left="0" w:firstLine="0"/>
        <w:rPr>
          <w:rFonts w:ascii="Arial" w:hAnsi="Arial" w:cs="Arial"/>
          <w:color w:val="auto"/>
        </w:rPr>
      </w:pPr>
      <w:bookmarkStart w:id="13" w:name="_Toc415042837"/>
      <w:r w:rsidRPr="00886F38">
        <w:rPr>
          <w:rFonts w:ascii="Arial" w:hAnsi="Arial" w:cs="Arial"/>
          <w:color w:val="auto"/>
        </w:rPr>
        <w:lastRenderedPageBreak/>
        <w:t>Continue with a new focus</w:t>
      </w:r>
      <w:bookmarkEnd w:id="13"/>
    </w:p>
    <w:p w14:paraId="05DA4BF1" w14:textId="77777777" w:rsidR="00F16AF1" w:rsidRPr="00886F38" w:rsidRDefault="00F16AF1" w:rsidP="002D34D5">
      <w:pPr>
        <w:pStyle w:val="BodyText"/>
      </w:pPr>
      <w:r w:rsidRPr="00886F38">
        <w:t>The review recommends the programme continue but with a clear focus on industry-led research.</w:t>
      </w:r>
    </w:p>
    <w:p w14:paraId="22A01E57" w14:textId="77777777" w:rsidR="00F16AF1" w:rsidRPr="00886F38" w:rsidRDefault="00F16AF1" w:rsidP="002D34D5">
      <w:pPr>
        <w:pStyle w:val="BodyText"/>
      </w:pPr>
      <w:r w:rsidRPr="00886F38">
        <w:t>The current programme objective is:</w:t>
      </w:r>
    </w:p>
    <w:p w14:paraId="73B8B583" w14:textId="77777777" w:rsidR="00F16AF1" w:rsidRPr="00886F38" w:rsidRDefault="00F16AF1" w:rsidP="002D34D5">
      <w:pPr>
        <w:pStyle w:val="BodyText"/>
      </w:pPr>
      <w:r w:rsidRPr="00886F38">
        <w:t>to deliver significant economic, environmental and social benefits to Australia by supporting end-user driven research partnerships between publicly funded researchers and end-users to address clearly articulated, major challenges that require medium to l</w:t>
      </w:r>
      <w:r w:rsidR="00EB0D4E">
        <w:t>ong-term collaborative efforts.</w:t>
      </w:r>
    </w:p>
    <w:p w14:paraId="10184E7D" w14:textId="77777777" w:rsidR="00F16AF1" w:rsidRPr="00886F38" w:rsidRDefault="00F16AF1" w:rsidP="002D34D5">
      <w:pPr>
        <w:pStyle w:val="BodyText"/>
      </w:pPr>
      <w:r w:rsidRPr="00886F38">
        <w:t>The review agrees with many stakeholders that the purpose of the programme has become muddied over time and has become an ‘everything to everyone’ initiative and that ‘end-user driven research’, as stated in the current programme objective, is too broad. ‘End-user’ means any public or private organisation, government department or agency, not for profit, community organisation or individual with the abili</w:t>
      </w:r>
      <w:r w:rsidR="00EB0D4E">
        <w:t>ty to utilise research outputs.</w:t>
      </w:r>
    </w:p>
    <w:p w14:paraId="0F87DA78" w14:textId="77777777" w:rsidR="00F16AF1" w:rsidRPr="00886F38" w:rsidRDefault="00F16AF1" w:rsidP="002D34D5">
      <w:pPr>
        <w:pStyle w:val="BodyText"/>
      </w:pPr>
      <w:r w:rsidRPr="00886F38">
        <w:t xml:space="preserve">There was some stakeholder feedback from industry participants in previous CRCs that a weakness in the programme was the potential for research agendas to be dominated by researchers with ‘pet interests’. These stakeholders also </w:t>
      </w:r>
      <w:r w:rsidR="005432CE" w:rsidRPr="00886F38">
        <w:t xml:space="preserve">stated </w:t>
      </w:r>
      <w:r w:rsidRPr="00886F38">
        <w:t>that there was insufficient emphasis on commercial outcomes.</w:t>
      </w:r>
    </w:p>
    <w:p w14:paraId="69D4E4E3" w14:textId="77777777" w:rsidR="00F16AF1" w:rsidRPr="00886F38" w:rsidRDefault="00F16AF1" w:rsidP="002D34D5">
      <w:pPr>
        <w:pStyle w:val="BodyText"/>
      </w:pPr>
      <w:r w:rsidRPr="00886F38">
        <w:t>To better support the government’s priorities for applied science and research, the programme objectives should be amended to put industry front and centre. The focus should be on solving industry problems and encouraging industry to take the lead in collaborative resea</w:t>
      </w:r>
      <w:r w:rsidR="00EB0D4E">
        <w:t>rch and development activities.</w:t>
      </w:r>
    </w:p>
    <w:p w14:paraId="275DDA9E" w14:textId="77777777" w:rsidR="00F16AF1" w:rsidRPr="00886F38" w:rsidRDefault="00F16AF1" w:rsidP="002D34D5">
      <w:pPr>
        <w:pStyle w:val="BodyText"/>
      </w:pPr>
      <w:r w:rsidRPr="00886F38">
        <w:t>The</w:t>
      </w:r>
      <w:r w:rsidR="00EB0D4E">
        <w:t xml:space="preserve"> objectives should focus on:</w:t>
      </w:r>
    </w:p>
    <w:p w14:paraId="5698A66E" w14:textId="77777777" w:rsidR="00F16AF1" w:rsidRPr="00886F38" w:rsidRDefault="00F16AF1" w:rsidP="00EC361E">
      <w:pPr>
        <w:pStyle w:val="ListBullet"/>
      </w:pPr>
      <w:r w:rsidRPr="00886F38">
        <w:t>improving the competitiveness, productivity and sustainability of Australian industries, especially where Australia has a competitive strength including the recently announced growth sectors: Food and Agribusiness; Mining Equipment, Technology and Services; Medical Technologies and Pharmaceuticals; Advanced Manufacturing; and Oil, Gas and Energy Resources;</w:t>
      </w:r>
    </w:p>
    <w:p w14:paraId="3935AB4B" w14:textId="77777777" w:rsidR="00F16AF1" w:rsidRPr="00886F38" w:rsidRDefault="00F16AF1" w:rsidP="00EC361E">
      <w:pPr>
        <w:pStyle w:val="ListBullet"/>
      </w:pPr>
      <w:r w:rsidRPr="00886F38">
        <w:t>establishing and supporting industry-led and outcome</w:t>
      </w:r>
      <w:r w:rsidR="008820B8" w:rsidRPr="00886F38">
        <w:t>-</w:t>
      </w:r>
      <w:r w:rsidRPr="00886F38">
        <w:t>focused collaborative research partnerships between indu</w:t>
      </w:r>
      <w:r w:rsidR="005432CE" w:rsidRPr="00886F38">
        <w:t>stry and research organisations</w:t>
      </w:r>
      <w:r w:rsidRPr="00886F38">
        <w:t>; and</w:t>
      </w:r>
    </w:p>
    <w:p w14:paraId="5AF93436" w14:textId="77777777" w:rsidR="00F16AF1" w:rsidRPr="00886F38" w:rsidRDefault="00F16AF1" w:rsidP="00EC361E">
      <w:pPr>
        <w:pStyle w:val="ListBullet"/>
      </w:pPr>
      <w:r w:rsidRPr="00886F38">
        <w:t>conducting high quality research to solve industry problems, such as improving or developing new products, processes or services, driving emerging technologies, and exploiting new national and international markets.</w:t>
      </w:r>
    </w:p>
    <w:p w14:paraId="2554DEE6" w14:textId="77777777" w:rsidR="00C17EEC" w:rsidRDefault="00C17EEC">
      <w:pPr>
        <w:spacing w:line="240" w:lineRule="auto"/>
        <w:rPr>
          <w:rFonts w:eastAsiaTheme="minorHAnsi"/>
          <w:color w:val="auto"/>
          <w:szCs w:val="20"/>
        </w:rPr>
      </w:pPr>
      <w:r>
        <w:br w:type="page"/>
      </w:r>
    </w:p>
    <w:p w14:paraId="43F7EAE1" w14:textId="77777777" w:rsidR="00F16AF1" w:rsidRPr="00886F38" w:rsidRDefault="00F16AF1" w:rsidP="002D34D5">
      <w:pPr>
        <w:pStyle w:val="BodyText"/>
      </w:pPr>
      <w:r w:rsidRPr="00886F38">
        <w:lastRenderedPageBreak/>
        <w:t>Industry stakeholders agreed the most successful CRCs are those where industry is involved at the outset of the project and where the research programme is driven by challenges identified by industry. A number of submissions noted the advantage of projects being informed by road mapping exercises on research and development by industry peak bodies. Advantages cited included relevance, shared vision and take</w:t>
      </w:r>
      <w:r w:rsidR="0036739E">
        <w:noBreakHyphen/>
      </w:r>
      <w:r w:rsidRPr="00886F38">
        <w:t>up of outcomes.</w:t>
      </w:r>
    </w:p>
    <w:p w14:paraId="18FAA4F7" w14:textId="77777777" w:rsidR="00F16AF1" w:rsidRPr="00886F38" w:rsidRDefault="00F16AF1" w:rsidP="002D34D5">
      <w:pPr>
        <w:pStyle w:val="BodyText"/>
      </w:pPr>
      <w:r w:rsidRPr="00886F38">
        <w:t xml:space="preserve">Applicants should be required to demonstrate that the proposed </w:t>
      </w:r>
      <w:r w:rsidR="009D23A7">
        <w:t xml:space="preserve">research and related </w:t>
      </w:r>
      <w:r w:rsidRPr="00886F38">
        <w:t>activities will stimulate growth and lead to outcomes including, but not limited to: increased jobs, exports, productivity, integration into global supply chains, new technologies, products or services, increased revenues and intellectual property outputs such as patents.</w:t>
      </w:r>
    </w:p>
    <w:p w14:paraId="6297486F" w14:textId="77777777" w:rsidR="00F16AF1" w:rsidRPr="00886F38" w:rsidRDefault="00F16AF1" w:rsidP="002D34D5">
      <w:pPr>
        <w:pStyle w:val="BodyText"/>
      </w:pPr>
      <w:r w:rsidRPr="00886F38">
        <w:t>Co-location of industry partners and researchers is useful and helps ensure industry buy-in and input to the research process. The review notes that while this is not always possible, c</w:t>
      </w:r>
      <w:r w:rsidR="00EB0D4E">
        <w:t>o-location should be supported.</w:t>
      </w:r>
    </w:p>
    <w:p w14:paraId="60C2A6B6" w14:textId="77777777" w:rsidR="00F16AF1" w:rsidRPr="00886F38" w:rsidRDefault="00F16AF1" w:rsidP="00F421BE">
      <w:pPr>
        <w:pStyle w:val="Heading4"/>
        <w:ind w:left="0" w:firstLine="0"/>
        <w:rPr>
          <w:rFonts w:ascii="Arial" w:hAnsi="Arial" w:cs="Arial"/>
          <w:color w:val="auto"/>
        </w:rPr>
      </w:pPr>
      <w:bookmarkStart w:id="14" w:name="_Toc415042838"/>
      <w:r w:rsidRPr="00886F38">
        <w:rPr>
          <w:rFonts w:ascii="Arial" w:hAnsi="Arial" w:cs="Arial"/>
          <w:color w:val="auto"/>
        </w:rPr>
        <w:t>International experience</w:t>
      </w:r>
      <w:bookmarkEnd w:id="14"/>
    </w:p>
    <w:p w14:paraId="26826C89" w14:textId="77777777" w:rsidR="00F16AF1" w:rsidRPr="00886F38" w:rsidRDefault="00F16AF1" w:rsidP="002D34D5">
      <w:pPr>
        <w:pStyle w:val="BodyText"/>
      </w:pPr>
      <w:r w:rsidRPr="00886F38">
        <w:t>This review has considered successful international models and policy trends and notes that most developed countries fund initiatives to support applied research and industry</w:t>
      </w:r>
      <w:r w:rsidR="008820B8" w:rsidRPr="00886F38">
        <w:t>-</w:t>
      </w:r>
      <w:r w:rsidRPr="00886F38">
        <w:t xml:space="preserve">research collaboration. Two models that were of particular interest to the review are Germany’s </w:t>
      </w:r>
      <w:proofErr w:type="spellStart"/>
      <w:r w:rsidRPr="00886F38">
        <w:t>Fraunhofer</w:t>
      </w:r>
      <w:proofErr w:type="spellEnd"/>
      <w:r w:rsidRPr="00886F38">
        <w:t xml:space="preserve"> Institutes and Catapult Centres in the U</w:t>
      </w:r>
      <w:r w:rsidR="005432CE" w:rsidRPr="00886F38">
        <w:t xml:space="preserve">nited </w:t>
      </w:r>
      <w:r w:rsidRPr="00886F38">
        <w:t>K</w:t>
      </w:r>
      <w:r w:rsidR="005432CE" w:rsidRPr="00886F38">
        <w:t>ingdom</w:t>
      </w:r>
      <w:r w:rsidR="00EB0D4E">
        <w:t>.</w:t>
      </w:r>
    </w:p>
    <w:p w14:paraId="748A8421" w14:textId="77777777" w:rsidR="00F16AF1" w:rsidRPr="00886F38" w:rsidRDefault="00F16AF1" w:rsidP="002D34D5">
      <w:pPr>
        <w:pStyle w:val="BodyText"/>
      </w:pPr>
      <w:proofErr w:type="spellStart"/>
      <w:r w:rsidRPr="00886F38">
        <w:t>Fraunhofer</w:t>
      </w:r>
      <w:proofErr w:type="spellEnd"/>
      <w:r w:rsidRPr="00886F38">
        <w:t xml:space="preserve"> Institutes have been operating since 1973. They conduct applied research in specific fields such as health, security and energy based on priorities determined by government and industry partners. The Institutes have forged strong collaborative partnerships between industry, universities and other research organisations by bringing parties together to address key research challenges. The Institutes are cooperatively funded by government and industry and are managed by a governing board that inc</w:t>
      </w:r>
      <w:r w:rsidR="00EB0D4E">
        <w:t>ludes industry representatives.</w:t>
      </w:r>
    </w:p>
    <w:p w14:paraId="00FBE752" w14:textId="77777777" w:rsidR="00F16AF1" w:rsidRPr="00886F38" w:rsidRDefault="00F16AF1" w:rsidP="002D34D5">
      <w:pPr>
        <w:pStyle w:val="BodyText"/>
      </w:pPr>
      <w:r w:rsidRPr="00886F38">
        <w:t>The Catapult Centres initiative is relatively new, but a recent evaluation indicated that it is already achieving</w:t>
      </w:r>
      <w:r w:rsidR="0036739E">
        <w:t xml:space="preserve"> strong results in the UK </w:t>
      </w:r>
      <w:r w:rsidR="005432CE" w:rsidRPr="00886F38">
        <w:t xml:space="preserve">through </w:t>
      </w:r>
      <w:r w:rsidRPr="00886F38">
        <w:t xml:space="preserve">lifting collaboration and boosting innovation in critical industries. The Catapult Centres were established by the UK government in response to many of the same challenges that exist in Australia including low levels of collaboration between business and researchers, poor engagement with </w:t>
      </w:r>
      <w:r w:rsidR="005432CE" w:rsidRPr="00886F38">
        <w:t>s</w:t>
      </w:r>
      <w:r w:rsidRPr="00886F38">
        <w:t xml:space="preserve">mall to </w:t>
      </w:r>
      <w:r w:rsidR="005432CE" w:rsidRPr="00886F38">
        <w:t>m</w:t>
      </w:r>
      <w:r w:rsidRPr="00886F38">
        <w:t xml:space="preserve">edium </w:t>
      </w:r>
      <w:r w:rsidR="005432CE" w:rsidRPr="00886F38">
        <w:t>e</w:t>
      </w:r>
      <w:r w:rsidRPr="00886F38">
        <w:t>nterprises (SME</w:t>
      </w:r>
      <w:r w:rsidR="005432CE" w:rsidRPr="00886F38">
        <w:t>s</w:t>
      </w:r>
      <w:r w:rsidRPr="00886F38">
        <w:t>) and the need to diversify the national economy beyond a few strong sectors. Catapult Centres operate as independent, not-for-profit</w:t>
      </w:r>
      <w:r w:rsidR="005432CE" w:rsidRPr="00886F38">
        <w:t>,</w:t>
      </w:r>
      <w:r w:rsidRPr="00886F38">
        <w:t xml:space="preserve"> limited guarantee companies, each specialising in a different area of technology. They are funded with a mixture of core public funding, </w:t>
      </w:r>
      <w:r w:rsidRPr="00886F38">
        <w:lastRenderedPageBreak/>
        <w:t>competitively-awarded collaborative research grants, and industry-funded research contrac</w:t>
      </w:r>
      <w:r w:rsidR="00EB0D4E">
        <w:t>ts (about one-third from each).</w:t>
      </w:r>
    </w:p>
    <w:p w14:paraId="5AE5D588" w14:textId="77777777" w:rsidR="00F16AF1" w:rsidRPr="00886F38" w:rsidRDefault="00F16AF1" w:rsidP="002D34D5">
      <w:pPr>
        <w:pStyle w:val="BodyText"/>
      </w:pPr>
      <w:r w:rsidRPr="00886F38">
        <w:t xml:space="preserve">If the modifications recommended by this review are implemented, the CRC Programme will come to share many of the features </w:t>
      </w:r>
      <w:r w:rsidR="0095493D" w:rsidRPr="00886F38">
        <w:t>of t</w:t>
      </w:r>
      <w:r w:rsidRPr="00886F38">
        <w:t xml:space="preserve">he </w:t>
      </w:r>
      <w:proofErr w:type="spellStart"/>
      <w:r w:rsidRPr="00886F38">
        <w:t>Fraunhofer</w:t>
      </w:r>
      <w:proofErr w:type="spellEnd"/>
      <w:r w:rsidRPr="00886F38">
        <w:t xml:space="preserve"> and Catapult initiatives</w:t>
      </w:r>
      <w:r w:rsidR="0095493D" w:rsidRPr="00886F38">
        <w:t>. They</w:t>
      </w:r>
      <w:r w:rsidRPr="00886F38">
        <w:t xml:space="preserve"> are important to note in the context of this review because both have a strong industry focus in their programme objectives and administration, and undertake prioritised applied research based on needs identified by both industry and government as important to the German and UK national economies. They also use cooperative funding from government and industry, and have clear governance structures that i</w:t>
      </w:r>
      <w:r w:rsidR="00EB0D4E">
        <w:t>nclude industry representation.</w:t>
      </w:r>
    </w:p>
    <w:p w14:paraId="3E3DAAB5" w14:textId="77777777" w:rsidR="00F16AF1" w:rsidRPr="00886F38" w:rsidRDefault="00F16AF1" w:rsidP="00F421BE">
      <w:pPr>
        <w:pStyle w:val="Heading4"/>
        <w:ind w:left="0" w:firstLine="0"/>
        <w:rPr>
          <w:rFonts w:ascii="Arial" w:hAnsi="Arial" w:cs="Arial"/>
          <w:color w:val="auto"/>
        </w:rPr>
      </w:pPr>
      <w:bookmarkStart w:id="15" w:name="_Toc415042839"/>
      <w:r w:rsidRPr="00886F38">
        <w:rPr>
          <w:rFonts w:ascii="Arial" w:hAnsi="Arial" w:cs="Arial"/>
          <w:color w:val="auto"/>
        </w:rPr>
        <w:t>Previous programme reviews and findings</w:t>
      </w:r>
      <w:bookmarkEnd w:id="15"/>
    </w:p>
    <w:p w14:paraId="5ECAC110" w14:textId="77777777" w:rsidR="00F16AF1" w:rsidRPr="00886F38" w:rsidRDefault="00F16AF1" w:rsidP="002D34D5">
      <w:pPr>
        <w:pStyle w:val="BodyText"/>
      </w:pPr>
      <w:r w:rsidRPr="00886F38">
        <w:t xml:space="preserve">The CRC Programme has been examined many times over its 25 years of operation, most recently by Howard Partners (2003), Insight Economics (2006), Professor Mary O’Kane (2008) and The Allen Consulting Group (2012). </w:t>
      </w:r>
      <w:r w:rsidR="0095493D" w:rsidRPr="00886F38">
        <w:t>They looked at its effectiveness in meeting government objectives</w:t>
      </w:r>
      <w:r w:rsidR="0003692C" w:rsidRPr="00886F38">
        <w:t>,</w:t>
      </w:r>
      <w:r w:rsidR="0095493D" w:rsidRPr="00886F38">
        <w:t xml:space="preserve"> focusing on economic and policy priorities </w:t>
      </w:r>
      <w:r w:rsidR="00FB1DE3" w:rsidRPr="00886F38">
        <w:t>as well as</w:t>
      </w:r>
      <w:r w:rsidR="0095493D" w:rsidRPr="00886F38">
        <w:t xml:space="preserve"> administrative issues.</w:t>
      </w:r>
    </w:p>
    <w:p w14:paraId="235D5E74" w14:textId="77777777" w:rsidR="00F16AF1" w:rsidRPr="00886F38" w:rsidRDefault="00F16AF1" w:rsidP="002D34D5">
      <w:pPr>
        <w:pStyle w:val="BodyText"/>
      </w:pPr>
      <w:r w:rsidRPr="00886F38">
        <w:t xml:space="preserve">Howard Partners found the programme to be effective, noting that </w:t>
      </w:r>
      <w:r w:rsidR="008820B8" w:rsidRPr="00886F38">
        <w:t>“</w:t>
      </w:r>
      <w:r w:rsidRPr="00886F38">
        <w:t xml:space="preserve">CRCs have performed a vitally important role in transforming publicly funded discoveries and inventions into products and businesses that are </w:t>
      </w:r>
      <w:r w:rsidR="008820B8" w:rsidRPr="00886F38">
        <w:t>‘</w:t>
      </w:r>
      <w:r w:rsidRPr="00886F38">
        <w:t>investment ready</w:t>
      </w:r>
      <w:r w:rsidR="005432CE" w:rsidRPr="00886F38">
        <w:t>’</w:t>
      </w:r>
      <w:r w:rsidRPr="00886F38">
        <w:t xml:space="preserve">”. The report suggested streamlining administration to promote an outcomes focus in application, management and reporting processes and </w:t>
      </w:r>
      <w:r w:rsidR="008820B8" w:rsidRPr="00886F38">
        <w:t xml:space="preserve">to </w:t>
      </w:r>
      <w:r w:rsidRPr="00886F38">
        <w:t xml:space="preserve">reduce burden. Howard Partners also suggested more focus </w:t>
      </w:r>
      <w:r w:rsidR="00764D03" w:rsidRPr="00886F38">
        <w:t xml:space="preserve">when undertaking project planning and in governance </w:t>
      </w:r>
      <w:r w:rsidRPr="00886F38">
        <w:t>on commercialisation, including spinout companies</w:t>
      </w:r>
      <w:r w:rsidR="00764D03" w:rsidRPr="00886F38">
        <w:t>.</w:t>
      </w:r>
    </w:p>
    <w:p w14:paraId="4FFD413C" w14:textId="77777777" w:rsidR="00F16AF1" w:rsidRPr="00886F38" w:rsidRDefault="00F16AF1" w:rsidP="002D34D5">
      <w:pPr>
        <w:pStyle w:val="BodyText"/>
      </w:pPr>
      <w:r w:rsidRPr="00886F38">
        <w:t>Insight Economics, in its economic impact study, found that the CRC Programme was delivering very clear net benefits for Australian economic welfare and that for each dollar invested in the CRC Programme, Australian gross domestic product was cumulatively $1.16 higher than it would otherwise have been.</w:t>
      </w:r>
    </w:p>
    <w:p w14:paraId="41BC845F" w14:textId="77777777" w:rsidR="00F16AF1" w:rsidRPr="00886F38" w:rsidRDefault="00F16AF1" w:rsidP="002D34D5">
      <w:pPr>
        <w:pStyle w:val="BodyText"/>
      </w:pPr>
      <w:r w:rsidRPr="00886F38">
        <w:t xml:space="preserve">Professor O’Kane noted the programme as iconic and highly influential, having been copied by several countries. She suggested modifications to better align objectives to clearly-articulated major challenges, to ensure </w:t>
      </w:r>
      <w:r w:rsidR="00764D03" w:rsidRPr="00886F38">
        <w:t xml:space="preserve">that </w:t>
      </w:r>
      <w:r w:rsidRPr="00886F38">
        <w:t xml:space="preserve">a wider range of industry and service end-users participate and </w:t>
      </w:r>
      <w:r w:rsidR="00276F20">
        <w:t xml:space="preserve">to </w:t>
      </w:r>
      <w:r w:rsidR="00EB0D4E">
        <w:t>increase flexibility.</w:t>
      </w:r>
    </w:p>
    <w:p w14:paraId="782F07BA" w14:textId="77777777" w:rsidR="00F16AF1" w:rsidRPr="00886F38" w:rsidRDefault="00F16AF1" w:rsidP="002D34D5">
      <w:pPr>
        <w:pStyle w:val="BodyText"/>
      </w:pPr>
      <w:r w:rsidRPr="00886F38">
        <w:t>The Allen Consulting Group, in its report on the economic</w:t>
      </w:r>
      <w:r w:rsidR="00764D03" w:rsidRPr="00886F38">
        <w:t>,</w:t>
      </w:r>
      <w:r w:rsidRPr="00886F38">
        <w:t xml:space="preserve"> social and environmental impacts of the CRC Programme, found good returns on investment in the programme, estimating $14.5 billion of gross direct economic impacts and community benefits exceeding</w:t>
      </w:r>
      <w:r w:rsidR="00EB0D4E">
        <w:t xml:space="preserve"> the cost of investment by 3:1.</w:t>
      </w:r>
    </w:p>
    <w:p w14:paraId="3F4854E5" w14:textId="77777777" w:rsidR="00F16AF1" w:rsidRPr="00886F38" w:rsidRDefault="00F16AF1" w:rsidP="002D34D5">
      <w:pPr>
        <w:pStyle w:val="BodyText"/>
      </w:pPr>
      <w:r w:rsidRPr="00886F38">
        <w:lastRenderedPageBreak/>
        <w:t>Each of the above confirmed the programme has been successful in bringing together industry and researchers, delivering products to market, training industry-ready PhD graduates and more broadly improving the lives of Australians. They also concluded that the programme provides a strong economic re</w:t>
      </w:r>
      <w:r w:rsidR="00EB0D4E">
        <w:t>turn for government investment.</w:t>
      </w:r>
    </w:p>
    <w:p w14:paraId="54EDA570" w14:textId="77777777" w:rsidR="00F16AF1" w:rsidRPr="00886F38" w:rsidRDefault="00F16AF1" w:rsidP="00F421BE">
      <w:pPr>
        <w:pStyle w:val="Heading4"/>
        <w:ind w:left="0" w:firstLine="0"/>
        <w:rPr>
          <w:rFonts w:ascii="Arial" w:hAnsi="Arial" w:cs="Arial"/>
          <w:color w:val="auto"/>
        </w:rPr>
      </w:pPr>
      <w:bookmarkStart w:id="16" w:name="_Toc415042840"/>
      <w:r w:rsidRPr="00886F38">
        <w:rPr>
          <w:rFonts w:ascii="Arial" w:hAnsi="Arial" w:cs="Arial"/>
          <w:color w:val="auto"/>
        </w:rPr>
        <w:t>National Commission of Audit</w:t>
      </w:r>
      <w:bookmarkEnd w:id="16"/>
    </w:p>
    <w:p w14:paraId="3BF0A822" w14:textId="77777777" w:rsidR="00F16AF1" w:rsidRPr="00886F38" w:rsidRDefault="00F16AF1" w:rsidP="002D34D5">
      <w:pPr>
        <w:pStyle w:val="BodyText"/>
      </w:pPr>
      <w:r w:rsidRPr="00886F38">
        <w:t>The review also considered the 2014 National Commission of Audit recommendation to abolish the programme and roll its funding into the ARC Linkage Program.</w:t>
      </w:r>
    </w:p>
    <w:p w14:paraId="1A6EF027" w14:textId="77777777" w:rsidR="00F16AF1" w:rsidRPr="00886F38" w:rsidRDefault="00F16AF1" w:rsidP="002D34D5">
      <w:pPr>
        <w:pStyle w:val="BodyText"/>
      </w:pPr>
      <w:r w:rsidRPr="00886F38">
        <w:t>The review does not support this recommendation.</w:t>
      </w:r>
    </w:p>
    <w:p w14:paraId="2CFFCCCE" w14:textId="77777777" w:rsidR="00F16AF1" w:rsidRPr="00886F38" w:rsidRDefault="00F16AF1" w:rsidP="002D34D5">
      <w:pPr>
        <w:pStyle w:val="BodyText"/>
      </w:pPr>
      <w:r w:rsidRPr="00886F38">
        <w:t>While on the surface it can appear that the two programmes are about the same thing – linking research and industry – in fact the two programm</w:t>
      </w:r>
      <w:r w:rsidR="00EB0D4E">
        <w:t>es are fundamentally different.</w:t>
      </w:r>
    </w:p>
    <w:p w14:paraId="6C60BCFF" w14:textId="77777777" w:rsidR="00F16AF1" w:rsidRPr="00886F38" w:rsidRDefault="00F16AF1" w:rsidP="002D34D5">
      <w:pPr>
        <w:pStyle w:val="BodyText"/>
      </w:pPr>
      <w:r w:rsidRPr="00886F38">
        <w:t xml:space="preserve">The ARC Linkage Program is researcher-led, is only open to applications from university researchers, and </w:t>
      </w:r>
      <w:r w:rsidR="005432CE" w:rsidRPr="00886F38">
        <w:t>‘</w:t>
      </w:r>
      <w:r w:rsidRPr="00886F38">
        <w:t>supports the growth of research partnerships between university-based researchers and researchers in other sectors in Australia and overseas that generate new knowledge, technologies and innovations</w:t>
      </w:r>
      <w:r w:rsidR="005432CE" w:rsidRPr="00886F38">
        <w:t>’</w:t>
      </w:r>
      <w:r w:rsidR="00EB0D4E">
        <w:t>.</w:t>
      </w:r>
    </w:p>
    <w:p w14:paraId="563F6B63" w14:textId="77777777" w:rsidR="00F16AF1" w:rsidRPr="00886F38" w:rsidRDefault="00F16AF1" w:rsidP="002D34D5">
      <w:pPr>
        <w:pStyle w:val="BodyText"/>
      </w:pPr>
      <w:r w:rsidRPr="00886F38">
        <w:t>There is no requirement to collaborate with industry and the majority of grants do not have industry partners. The 2015 Funding Rules specify:</w:t>
      </w:r>
    </w:p>
    <w:p w14:paraId="5A078C41" w14:textId="77777777" w:rsidR="00F16AF1" w:rsidRPr="00474FD8" w:rsidRDefault="00F16AF1" w:rsidP="00F16AF1">
      <w:pPr>
        <w:spacing w:before="120" w:after="120" w:line="240" w:lineRule="auto"/>
        <w:rPr>
          <w:rStyle w:val="Emphasis"/>
        </w:rPr>
      </w:pPr>
      <w:r w:rsidRPr="00474FD8">
        <w:rPr>
          <w:rStyle w:val="Emphasis"/>
        </w:rPr>
        <w:t>The objectives of the Linkage Program are to deliver outcomes of benefit to Australia and build Australia’s research and innovatio</w:t>
      </w:r>
      <w:r w:rsidR="00EB0D4E">
        <w:rPr>
          <w:rStyle w:val="Emphasis"/>
        </w:rPr>
        <w:t>n capacity through support for:</w:t>
      </w:r>
    </w:p>
    <w:p w14:paraId="6E9C8AE7" w14:textId="77777777" w:rsidR="00F16AF1" w:rsidRPr="00A85440" w:rsidRDefault="00DE6DE0" w:rsidP="00A85440">
      <w:pPr>
        <w:pStyle w:val="Bodytext-a"/>
      </w:pPr>
      <w:r w:rsidRPr="00A85440">
        <w:t xml:space="preserve">a) </w:t>
      </w:r>
      <w:r w:rsidR="00F16AF1" w:rsidRPr="00A85440">
        <w:t>collaborative research between university-based researchers and researchers in other sectors;</w:t>
      </w:r>
    </w:p>
    <w:p w14:paraId="0689B256" w14:textId="77777777" w:rsidR="00F16AF1" w:rsidRPr="00A85440" w:rsidRDefault="00DE6DE0" w:rsidP="00A85440">
      <w:pPr>
        <w:pStyle w:val="Bodytext-a"/>
      </w:pPr>
      <w:r w:rsidRPr="00A85440">
        <w:t xml:space="preserve">b) </w:t>
      </w:r>
      <w:r w:rsidR="00F16AF1" w:rsidRPr="00A85440">
        <w:t>research training and career opportunities that enable Australian and international researchers and research students to work with in</w:t>
      </w:r>
      <w:r w:rsidR="00EB0D4E">
        <w:t>dustry and other end-users; and</w:t>
      </w:r>
    </w:p>
    <w:p w14:paraId="6B8B4ECD" w14:textId="77777777" w:rsidR="00F16AF1" w:rsidRPr="00A85440" w:rsidRDefault="00DE6DE0" w:rsidP="00A85440">
      <w:pPr>
        <w:pStyle w:val="Bodytext-a"/>
      </w:pPr>
      <w:r w:rsidRPr="00A85440">
        <w:t xml:space="preserve">c) </w:t>
      </w:r>
      <w:r w:rsidR="00F16AF1" w:rsidRPr="00A85440">
        <w:t>research in priority areas.</w:t>
      </w:r>
    </w:p>
    <w:p w14:paraId="5A5B0C33" w14:textId="77777777" w:rsidR="00764D03" w:rsidRPr="00886F38" w:rsidRDefault="00764D03" w:rsidP="002D34D5">
      <w:pPr>
        <w:pStyle w:val="BodyText"/>
      </w:pPr>
      <w:r w:rsidRPr="00886F38">
        <w:t>The revised objectives for the CRC Programme recommended in this review and the ingredients for success outlined by industry stakeholders w</w:t>
      </w:r>
      <w:r w:rsidR="00F757EF" w:rsidRPr="00886F38">
        <w:t xml:space="preserve">ould </w:t>
      </w:r>
      <w:r w:rsidRPr="00886F38">
        <w:t xml:space="preserve">not be met by the ARC Linkage Program. </w:t>
      </w:r>
      <w:r w:rsidR="00F16AF1" w:rsidRPr="00886F38">
        <w:t>The CRC Programme should be an industry-led scheme that enables industry to identify and champion collaborative applied research projects.</w:t>
      </w:r>
    </w:p>
    <w:p w14:paraId="71EFF8C9" w14:textId="77777777" w:rsidR="00F16AF1" w:rsidRPr="00886F38" w:rsidRDefault="00F16AF1" w:rsidP="002D34D5">
      <w:pPr>
        <w:pStyle w:val="BodyText"/>
      </w:pPr>
      <w:r w:rsidRPr="00886F38">
        <w:t>Indeed, abolishing the CRC Programme and transferring its funding to the ARC Linkage Program would risk even lower levels of industry-led collaborative research in Austral</w:t>
      </w:r>
      <w:r w:rsidR="00EB0D4E">
        <w:t>ia than is currently the case.</w:t>
      </w:r>
    </w:p>
    <w:p w14:paraId="1E282551" w14:textId="77777777" w:rsidR="00F16AF1" w:rsidRPr="00886F38" w:rsidRDefault="00F16AF1" w:rsidP="00F421BE">
      <w:pPr>
        <w:pStyle w:val="Heading4"/>
        <w:ind w:left="0" w:firstLine="0"/>
        <w:rPr>
          <w:rFonts w:ascii="Arial" w:hAnsi="Arial" w:cs="Arial"/>
          <w:color w:val="auto"/>
        </w:rPr>
      </w:pPr>
      <w:bookmarkStart w:id="17" w:name="_Toc415042841"/>
      <w:r w:rsidRPr="00886F38">
        <w:rPr>
          <w:rFonts w:ascii="Arial" w:hAnsi="Arial" w:cs="Arial"/>
          <w:color w:val="auto"/>
        </w:rPr>
        <w:lastRenderedPageBreak/>
        <w:t xml:space="preserve">Public </w:t>
      </w:r>
      <w:r w:rsidR="005432CE" w:rsidRPr="00886F38">
        <w:rPr>
          <w:rFonts w:ascii="Arial" w:hAnsi="Arial" w:cs="Arial"/>
          <w:color w:val="auto"/>
        </w:rPr>
        <w:t>g</w:t>
      </w:r>
      <w:r w:rsidRPr="00886F38">
        <w:rPr>
          <w:rFonts w:ascii="Arial" w:hAnsi="Arial" w:cs="Arial"/>
          <w:color w:val="auto"/>
        </w:rPr>
        <w:t>ood</w:t>
      </w:r>
      <w:bookmarkEnd w:id="17"/>
    </w:p>
    <w:p w14:paraId="052C564B" w14:textId="77777777" w:rsidR="00F16AF1" w:rsidRPr="00886F38" w:rsidRDefault="00F16AF1" w:rsidP="002D34D5">
      <w:pPr>
        <w:pStyle w:val="BodyText"/>
      </w:pPr>
      <w:r w:rsidRPr="00886F38">
        <w:t>The term ‘public good’ was raised by many stakeholders during the review process. It quickly became apparent that definitions of this term varied widely.</w:t>
      </w:r>
    </w:p>
    <w:p w14:paraId="10F721C3" w14:textId="77777777" w:rsidR="00F16AF1" w:rsidRPr="00886F38" w:rsidRDefault="00F16AF1" w:rsidP="002D34D5">
      <w:pPr>
        <w:pStyle w:val="BodyText"/>
      </w:pPr>
      <w:r w:rsidRPr="00886F38">
        <w:t>Following the O’Kane review, the objectives of the programme were reframed to include social and environmental benefits described as ‘reinstating public good’. In addition, in 2013 a ‘priority public good funding mechanism’ was introduced to allow funding for relevant CRCs to be extended.</w:t>
      </w:r>
    </w:p>
    <w:p w14:paraId="73D6F740" w14:textId="77777777" w:rsidR="00F16AF1" w:rsidRPr="00886F38" w:rsidRDefault="00F16AF1" w:rsidP="002D34D5">
      <w:pPr>
        <w:pStyle w:val="BodyText"/>
      </w:pPr>
      <w:r w:rsidRPr="00886F38">
        <w:t xml:space="preserve">The review recognises government support </w:t>
      </w:r>
      <w:r w:rsidR="006F5FE8" w:rsidRPr="00886F38">
        <w:t xml:space="preserve">for </w:t>
      </w:r>
      <w:r w:rsidRPr="00886F38">
        <w:t xml:space="preserve">the </w:t>
      </w:r>
      <w:r w:rsidR="006F5FE8" w:rsidRPr="00886F38">
        <w:t>CRC P</w:t>
      </w:r>
      <w:r w:rsidRPr="00886F38">
        <w:t xml:space="preserve">rogramme is for the benefit of the public. Whether a collaboration is focused on growing Australian businesses, developing environmental solutions, or improving health outcomes, each has benefits for the taxpayer, and therefore </w:t>
      </w:r>
      <w:r w:rsidR="00764D03" w:rsidRPr="00886F38">
        <w:t xml:space="preserve">is </w:t>
      </w:r>
      <w:r w:rsidRPr="00886F38">
        <w:t xml:space="preserve">a </w:t>
      </w:r>
      <w:r w:rsidR="008820B8" w:rsidRPr="00886F38">
        <w:t>‘</w:t>
      </w:r>
      <w:r w:rsidRPr="00886F38">
        <w:t>public good</w:t>
      </w:r>
      <w:r w:rsidR="008820B8" w:rsidRPr="00886F38">
        <w:t>’</w:t>
      </w:r>
      <w:r w:rsidR="00EB0D4E">
        <w:t>.</w:t>
      </w:r>
    </w:p>
    <w:p w14:paraId="18D8420C" w14:textId="77777777" w:rsidR="00F16AF1" w:rsidRPr="00886F38" w:rsidRDefault="00F16AF1" w:rsidP="002D34D5">
      <w:pPr>
        <w:pStyle w:val="BodyText"/>
      </w:pPr>
      <w:r w:rsidRPr="00886F38">
        <w:t>CRC Programme funding inherently delivers public good by enabling industry-focused research on key issues. There is no need for a separate mechanism and therefore the priority public good funding me</w:t>
      </w:r>
      <w:r w:rsidR="00EB0D4E">
        <w:t>chanism should be discontinued.</w:t>
      </w:r>
    </w:p>
    <w:p w14:paraId="3B6A7A23" w14:textId="77777777" w:rsidR="00F16AF1" w:rsidRPr="00886F38" w:rsidRDefault="00F16AF1" w:rsidP="00F421BE">
      <w:pPr>
        <w:pStyle w:val="Heading4"/>
        <w:ind w:left="0" w:firstLine="0"/>
        <w:rPr>
          <w:rFonts w:ascii="Arial" w:hAnsi="Arial" w:cs="Arial"/>
          <w:color w:val="auto"/>
        </w:rPr>
      </w:pPr>
      <w:bookmarkStart w:id="18" w:name="_Toc415042842"/>
      <w:r w:rsidRPr="00886F38">
        <w:rPr>
          <w:rFonts w:ascii="Arial" w:hAnsi="Arial" w:cs="Arial"/>
          <w:color w:val="auto"/>
        </w:rPr>
        <w:t>Linking to Industry Growth Centres</w:t>
      </w:r>
      <w:bookmarkEnd w:id="18"/>
    </w:p>
    <w:p w14:paraId="7EDC57E5" w14:textId="77777777" w:rsidR="00F16AF1" w:rsidRPr="00886F38" w:rsidRDefault="00F16AF1" w:rsidP="002D34D5">
      <w:pPr>
        <w:pStyle w:val="BodyText"/>
      </w:pPr>
      <w:r w:rsidRPr="00886F38">
        <w:rPr>
          <w:rStyle w:val="BodyTextChar"/>
          <w:rFonts w:cs="Arial"/>
        </w:rPr>
        <w:t>The new Industry Growth Centres</w:t>
      </w:r>
      <w:r w:rsidR="00B40D40" w:rsidRPr="00886F38">
        <w:rPr>
          <w:rStyle w:val="BodyTextChar"/>
          <w:rFonts w:cs="Arial"/>
        </w:rPr>
        <w:t xml:space="preserve"> (Growth Centres)</w:t>
      </w:r>
      <w:r w:rsidRPr="00886F38">
        <w:rPr>
          <w:rStyle w:val="BodyTextChar"/>
          <w:rFonts w:cs="Arial"/>
        </w:rPr>
        <w:t>, announced as part of the</w:t>
      </w:r>
      <w:r w:rsidRPr="00886F38">
        <w:t xml:space="preserve"> </w:t>
      </w:r>
      <w:r w:rsidRPr="00886F38">
        <w:rPr>
          <w:rStyle w:val="Emphasis"/>
          <w:rFonts w:cs="Arial"/>
        </w:rPr>
        <w:t>Industry Innovation and Competitiveness Agenda</w:t>
      </w:r>
      <w:r w:rsidRPr="00886F38">
        <w:t>, are a key part of the government’s strategy to improve the competitiveness of the Australian economy throug</w:t>
      </w:r>
      <w:r w:rsidR="00EB0D4E">
        <w:t>h innovation and collaboration.</w:t>
      </w:r>
    </w:p>
    <w:p w14:paraId="6624DB75" w14:textId="77777777" w:rsidR="00C254BA" w:rsidRDefault="00F16AF1" w:rsidP="002D34D5">
      <w:pPr>
        <w:pStyle w:val="BodyText"/>
      </w:pPr>
      <w:r w:rsidRPr="00886F38">
        <w:t xml:space="preserve">The review could not properly consider the CRC Programme without considering the relationship between </w:t>
      </w:r>
      <w:r w:rsidR="006F5FE8" w:rsidRPr="00886F38">
        <w:t>the programme</w:t>
      </w:r>
      <w:r w:rsidRPr="00886F38">
        <w:t xml:space="preserve"> and the proposed </w:t>
      </w:r>
      <w:r w:rsidR="00F757EF" w:rsidRPr="00886F38">
        <w:t>Growth Centres</w:t>
      </w:r>
      <w:r w:rsidR="00EB0D4E">
        <w:t>.</w:t>
      </w:r>
    </w:p>
    <w:p w14:paraId="2F040DAB" w14:textId="77777777" w:rsidR="00F16AF1" w:rsidRPr="00886F38" w:rsidRDefault="00F16AF1" w:rsidP="002D34D5">
      <w:pPr>
        <w:pStyle w:val="BodyText"/>
      </w:pPr>
      <w:r w:rsidRPr="00886F38">
        <w:t xml:space="preserve">Many review submissions and discussions focused on how the two measures could operate side by side. The review understands this issue was also raised during </w:t>
      </w:r>
      <w:r w:rsidR="004C7492" w:rsidRPr="00886F38">
        <w:t>Growth Centres</w:t>
      </w:r>
      <w:r w:rsidRPr="00886F38">
        <w:t xml:space="preserve"> consultations which took place shortly after the programme review consultations concluded.</w:t>
      </w:r>
    </w:p>
    <w:p w14:paraId="498D1DC1" w14:textId="77777777" w:rsidR="002D4B90" w:rsidRDefault="00F16AF1" w:rsidP="002D34D5">
      <w:pPr>
        <w:pStyle w:val="BodyText"/>
      </w:pPr>
      <w:r w:rsidRPr="00886F38">
        <w:t xml:space="preserve">Initially </w:t>
      </w:r>
      <w:r w:rsidR="004C7492" w:rsidRPr="00886F38">
        <w:t>Growth Centres</w:t>
      </w:r>
      <w:r w:rsidRPr="00886F38">
        <w:t xml:space="preserve"> will focus on five industry sectors to lift competitiveness and productivity in areas where Australia has competitive strengths. The five sectors are Food and Agribusiness; Mining Equipment, Technology and Services; Medical Technologies and Pharmaceuticals; Advanced Manufacturing; and Oil, Gas and Energy Resources. </w:t>
      </w:r>
      <w:r w:rsidR="004C7492" w:rsidRPr="00886F38">
        <w:t>Growth Centres</w:t>
      </w:r>
      <w:r w:rsidRPr="00886F38">
        <w:t xml:space="preserve"> will also facilitate engagement between enabling </w:t>
      </w:r>
      <w:r w:rsidR="00DC744F" w:rsidRPr="00886F38">
        <w:t xml:space="preserve">capabilities, </w:t>
      </w:r>
      <w:r w:rsidRPr="00886F38">
        <w:t>services and technologies, such as information and communications technology.</w:t>
      </w:r>
      <w:r w:rsidR="002D4B90">
        <w:br w:type="page"/>
      </w:r>
    </w:p>
    <w:p w14:paraId="45BB5DA3" w14:textId="77777777" w:rsidR="00F16AF1" w:rsidRPr="00886F38" w:rsidRDefault="00F16AF1" w:rsidP="00EC361E">
      <w:pPr>
        <w:pStyle w:val="ListBullet"/>
      </w:pPr>
      <w:r w:rsidRPr="00886F38">
        <w:lastRenderedPageBreak/>
        <w:t xml:space="preserve">The review understands the focus of </w:t>
      </w:r>
      <w:r w:rsidR="004C7492" w:rsidRPr="00886F38">
        <w:t>Growth Centres</w:t>
      </w:r>
      <w:r w:rsidR="00EB0D4E">
        <w:t xml:space="preserve"> will be:</w:t>
      </w:r>
    </w:p>
    <w:p w14:paraId="40041EF7" w14:textId="77777777" w:rsidR="00F16AF1" w:rsidRPr="00886F38" w:rsidRDefault="00F16AF1" w:rsidP="00EC361E">
      <w:pPr>
        <w:pStyle w:val="ListBullet"/>
      </w:pPr>
      <w:r w:rsidRPr="00886F38">
        <w:t>encouraging collaboration and the commercialisation of new products;</w:t>
      </w:r>
    </w:p>
    <w:p w14:paraId="7924C105" w14:textId="77777777" w:rsidR="00F16AF1" w:rsidRPr="00886F38" w:rsidRDefault="00F16AF1" w:rsidP="00EC361E">
      <w:pPr>
        <w:pStyle w:val="ListBullet"/>
      </w:pPr>
      <w:r w:rsidRPr="00886F38">
        <w:t>enhancing management and improving workforce skills;</w:t>
      </w:r>
    </w:p>
    <w:p w14:paraId="120DCE1C" w14:textId="77777777" w:rsidR="00F16AF1" w:rsidRPr="00886F38" w:rsidRDefault="00F16AF1" w:rsidP="00EC361E">
      <w:pPr>
        <w:pStyle w:val="ListBullet"/>
      </w:pPr>
      <w:r w:rsidRPr="00886F38">
        <w:t>identifying opportunities to reduce regulatory burden; and</w:t>
      </w:r>
    </w:p>
    <w:p w14:paraId="36A8D43A" w14:textId="77777777" w:rsidR="00F16AF1" w:rsidRPr="00886F38" w:rsidRDefault="00F16AF1" w:rsidP="00EC361E">
      <w:pPr>
        <w:pStyle w:val="ListBullet"/>
      </w:pPr>
      <w:r w:rsidRPr="00886F38">
        <w:t>improving capabilities to engage with international markets and global supply chains.</w:t>
      </w:r>
    </w:p>
    <w:p w14:paraId="05E27690" w14:textId="77777777" w:rsidR="00F16AF1" w:rsidRPr="00886F38" w:rsidRDefault="00D04540" w:rsidP="002D34D5">
      <w:pPr>
        <w:pStyle w:val="BodyText"/>
      </w:pPr>
      <w:r>
        <w:t>T</w:t>
      </w:r>
      <w:r w:rsidR="00F16AF1" w:rsidRPr="00886F38">
        <w:t>he Minister for Industry</w:t>
      </w:r>
      <w:r>
        <w:t xml:space="preserve"> and Science has now</w:t>
      </w:r>
      <w:r w:rsidR="00F16AF1" w:rsidRPr="00886F38">
        <w:t xml:space="preserve"> announced </w:t>
      </w:r>
      <w:r>
        <w:t xml:space="preserve">all of the </w:t>
      </w:r>
      <w:r w:rsidR="004C7492" w:rsidRPr="00886F38">
        <w:t>Growth Centre</w:t>
      </w:r>
      <w:r w:rsidR="00F16AF1" w:rsidRPr="00886F38">
        <w:t xml:space="preserve"> chairs. The chairs will each be assisted by a facilitator </w:t>
      </w:r>
      <w:r w:rsidR="00DC744F" w:rsidRPr="00886F38">
        <w:t>to develop a Growth Centre proposal for consideration by government</w:t>
      </w:r>
      <w:r w:rsidR="00F16AF1" w:rsidRPr="00886F38">
        <w:t xml:space="preserve">. The review understands that </w:t>
      </w:r>
      <w:r w:rsidR="00DC744F" w:rsidRPr="00886F38">
        <w:t xml:space="preserve">the facilitation process is expected to </w:t>
      </w:r>
      <w:r w:rsidR="00F16AF1" w:rsidRPr="00886F38">
        <w:t xml:space="preserve">occur during the first half of 2015. </w:t>
      </w:r>
      <w:r w:rsidR="00DE5E05" w:rsidRPr="00DE5E05">
        <w:t>Growth Centres are expected to be up and running by the middle of the year. The Advanced Manufacturing; Food and Agribusiness; and Mining Equipment, Technology and Services Growth Centres are expected to be operational first.</w:t>
      </w:r>
    </w:p>
    <w:p w14:paraId="5BEB1C59" w14:textId="77777777" w:rsidR="00FB1DE3" w:rsidRPr="00886F38" w:rsidRDefault="00FB1DE3" w:rsidP="002D34D5">
      <w:pPr>
        <w:pStyle w:val="BodyText"/>
      </w:pPr>
      <w:r w:rsidRPr="00886F38">
        <w:t xml:space="preserve">As outlined in the Growth Centres Initiative Programme Guidelines, in its first year each Growth Centre will develop and implement a </w:t>
      </w:r>
      <w:r w:rsidRPr="00DE0679">
        <w:t>Sector</w:t>
      </w:r>
      <w:r w:rsidRPr="00886F38">
        <w:t xml:space="preserve"> Competitiveness Plan. The plan will identify issues applicable to that key growth sector and priority actions required to enhance competitiveness and include the following elements:</w:t>
      </w:r>
    </w:p>
    <w:p w14:paraId="65AB5859" w14:textId="77777777" w:rsidR="00DE6DE0" w:rsidRPr="00A85440" w:rsidRDefault="00ED6204" w:rsidP="00A85440">
      <w:pPr>
        <w:pStyle w:val="ListAlphabet"/>
      </w:pPr>
      <w:r w:rsidRPr="00A85440">
        <w:t>a</w:t>
      </w:r>
      <w:r w:rsidR="00FB1DE3" w:rsidRPr="00A85440">
        <w:t xml:space="preserve"> description of the key growth sector’s expected future challenges and opportunities, particularly in relation to the four key themes: regulatory reform; industry-research collaboration and commercialisation; global supply chains and market access; and skills and workforce development, and an outline of actions to be undertaken to respond to these challenges and opportunities in order to accelerate the productivity and competitiveness of the sector. This will include how the Growth Centres will take an active role in coordinating R&amp;D and disseminating knowledge across the sector;</w:t>
      </w:r>
    </w:p>
    <w:p w14:paraId="79693C40" w14:textId="77777777" w:rsidR="00DE6DE0" w:rsidRPr="00A85440" w:rsidRDefault="00ED6204" w:rsidP="00A85440">
      <w:pPr>
        <w:pStyle w:val="ListAlphabet"/>
      </w:pPr>
      <w:r w:rsidRPr="00A85440">
        <w:t>a</w:t>
      </w:r>
      <w:r w:rsidR="00FB1DE3" w:rsidRPr="00A85440">
        <w:t xml:space="preserve"> Regulation Reform Agenda, which considers Commonwealth Government, State and/or Territory Government, Local Government, international and intra-industry regulations, as appropriate to its sector and details recommendations for reform. Each Growth Centre will consult broadly across the Commonwealth Government and State and/or Territory Government in developing it’s Regulation Reform Agenda; and</w:t>
      </w:r>
    </w:p>
    <w:p w14:paraId="55394EFF" w14:textId="77777777" w:rsidR="00FB1DE3" w:rsidRPr="00A85440" w:rsidRDefault="00ED6204" w:rsidP="00A85440">
      <w:pPr>
        <w:pStyle w:val="ListAlphabet"/>
      </w:pPr>
      <w:r w:rsidRPr="00A85440">
        <w:t>a</w:t>
      </w:r>
      <w:r w:rsidR="00FB1DE3" w:rsidRPr="00A85440">
        <w:t>n analysis of Industry Knowledge Priorities which set out the industry research needs of, and commercialisation opportunities in, its sector. The Industry Knowledge Priorities will be developed with reference to research being undertaken domestically and globally, and to the national research priorities endorsed by the Commonwealth Science Council. The Industry Knowledge Priorities will be disseminated to the research community to inform their future industry-led research.</w:t>
      </w:r>
    </w:p>
    <w:p w14:paraId="12986E1F" w14:textId="77777777" w:rsidR="00F16AF1" w:rsidRPr="00886F38" w:rsidRDefault="00F16AF1" w:rsidP="002D34D5">
      <w:pPr>
        <w:pStyle w:val="BodyText"/>
      </w:pPr>
      <w:r w:rsidRPr="00886F38">
        <w:t xml:space="preserve">In response to element c), the CRC Programme can be the engine of innovative research to support the work of the </w:t>
      </w:r>
      <w:r w:rsidR="00135FF2" w:rsidRPr="00886F38">
        <w:t>Growth Centres</w:t>
      </w:r>
      <w:r w:rsidRPr="00886F38">
        <w:t xml:space="preserve"> to develop ideas, commercialise </w:t>
      </w:r>
      <w:r w:rsidRPr="00886F38">
        <w:lastRenderedPageBreak/>
        <w:t xml:space="preserve">them, and take them to domestic and international markets. CRCs should work with </w:t>
      </w:r>
      <w:r w:rsidR="00135FF2" w:rsidRPr="00886F38">
        <w:t>Growth Centres</w:t>
      </w:r>
      <w:r w:rsidRPr="00886F38">
        <w:t xml:space="preserve"> to address common goals and align priorities.</w:t>
      </w:r>
    </w:p>
    <w:p w14:paraId="7CC55ACC" w14:textId="77777777" w:rsidR="00FB1DE3" w:rsidRPr="00886F38" w:rsidRDefault="00FB1DE3" w:rsidP="00DE0679">
      <w:pPr>
        <w:pStyle w:val="ListBullet"/>
      </w:pPr>
      <w:r w:rsidRPr="00886F38">
        <w:t>In the context of the CRC Programme, Growth Centres may wish to:</w:t>
      </w:r>
    </w:p>
    <w:p w14:paraId="3A394583" w14:textId="77777777" w:rsidR="00FB1DE3" w:rsidRPr="00886F38" w:rsidRDefault="00FB1DE3" w:rsidP="00DE0679">
      <w:pPr>
        <w:pStyle w:val="ListBullet"/>
      </w:pPr>
      <w:r w:rsidRPr="00886F38">
        <w:t>identify and/or lead potential CRC or CRC-P participants and consortia;</w:t>
      </w:r>
    </w:p>
    <w:p w14:paraId="422C80BE" w14:textId="77777777" w:rsidR="00FB1DE3" w:rsidRPr="00886F38" w:rsidRDefault="00FB1DE3" w:rsidP="00DE0679">
      <w:pPr>
        <w:pStyle w:val="ListBullet"/>
      </w:pPr>
      <w:r w:rsidRPr="00886F38">
        <w:t>drive high quality, industry focussed CRC or CRC-P applications; and</w:t>
      </w:r>
    </w:p>
    <w:p w14:paraId="4053BDCF" w14:textId="77777777" w:rsidR="00FB1DE3" w:rsidRPr="00886F38" w:rsidRDefault="00FB1DE3" w:rsidP="00DE0679">
      <w:pPr>
        <w:pStyle w:val="ListBullet"/>
      </w:pPr>
      <w:r w:rsidRPr="00886F38">
        <w:t>review investment proposals and activities of a CRC or CRC-P to provide an industry perspective and influence direction where appropriate.</w:t>
      </w:r>
    </w:p>
    <w:p w14:paraId="67A57E4C" w14:textId="77777777" w:rsidR="00F16AF1" w:rsidRPr="00886F38" w:rsidRDefault="00F16AF1" w:rsidP="002D34D5">
      <w:pPr>
        <w:pStyle w:val="BodyText"/>
      </w:pPr>
      <w:r w:rsidRPr="00886F38">
        <w:t xml:space="preserve">Existing CRCs should work with the Department of Industry and Science to identify how they can link with </w:t>
      </w:r>
      <w:r w:rsidR="00135FF2" w:rsidRPr="00886F38">
        <w:t>Growth Centres</w:t>
      </w:r>
      <w:r w:rsidRPr="00886F38">
        <w:t>. This may include the development of a memorandum of understanding to articul</w:t>
      </w:r>
      <w:r w:rsidR="00A751F9">
        <w:t>ate roles and responsibilities.</w:t>
      </w:r>
    </w:p>
    <w:p w14:paraId="52EB0A1E" w14:textId="77777777" w:rsidR="00F16AF1" w:rsidRPr="00886F38" w:rsidRDefault="00F16AF1" w:rsidP="00F16AF1">
      <w:pPr>
        <w:spacing w:line="240" w:lineRule="auto"/>
        <w:rPr>
          <w:rFonts w:eastAsiaTheme="minorHAnsi" w:cs="Arial"/>
          <w:color w:val="auto"/>
        </w:rPr>
      </w:pPr>
      <w:r w:rsidRPr="00886F38">
        <w:rPr>
          <w:rFonts w:eastAsiaTheme="minorHAnsi" w:cs="Arial"/>
          <w:color w:val="auto"/>
        </w:rPr>
        <w:br w:type="page"/>
      </w:r>
    </w:p>
    <w:p w14:paraId="1DEFF8F1" w14:textId="77777777" w:rsidR="001B22B5" w:rsidRPr="00886F38" w:rsidRDefault="001B22B5" w:rsidP="001B22B5">
      <w:pPr>
        <w:pStyle w:val="Heading3"/>
        <w:ind w:left="0" w:firstLine="0"/>
      </w:pPr>
      <w:bookmarkStart w:id="19" w:name="_Toc415042843"/>
      <w:r w:rsidRPr="00886F38">
        <w:lastRenderedPageBreak/>
        <w:t>Term of Reference B</w:t>
      </w:r>
      <w:bookmarkEnd w:id="19"/>
    </w:p>
    <w:p w14:paraId="1A2DF970" w14:textId="77777777" w:rsidR="00F16AF1" w:rsidRPr="00886F38" w:rsidRDefault="00F16AF1" w:rsidP="00F16AF1">
      <w:pPr>
        <w:spacing w:line="240" w:lineRule="auto"/>
        <w:rPr>
          <w:rStyle w:val="Strong"/>
        </w:rPr>
      </w:pPr>
      <w:r w:rsidRPr="00886F38">
        <w:rPr>
          <w:rStyle w:val="Strong"/>
        </w:rPr>
        <w:t>How can the government’s investment in the CRC Programme better deliver outcomes for industry?</w:t>
      </w:r>
    </w:p>
    <w:p w14:paraId="70C706E4" w14:textId="77777777" w:rsidR="00F16AF1" w:rsidRPr="00886F38" w:rsidRDefault="00F16AF1" w:rsidP="00A751F9">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40" w:lineRule="auto"/>
        <w:rPr>
          <w:rFonts w:eastAsiaTheme="minorHAnsi" w:cs="Arial"/>
          <w:color w:val="auto"/>
        </w:rPr>
      </w:pPr>
      <w:r w:rsidRPr="00886F38">
        <w:rPr>
          <w:rFonts w:eastAsiaTheme="minorHAnsi" w:cs="Arial"/>
          <w:color w:val="auto"/>
        </w:rPr>
        <w:t xml:space="preserve">Industry needs to be front and centre. The </w:t>
      </w:r>
      <w:r w:rsidR="006F5FE8" w:rsidRPr="00886F38">
        <w:rPr>
          <w:rFonts w:eastAsiaTheme="minorHAnsi" w:cs="Arial"/>
          <w:color w:val="auto"/>
        </w:rPr>
        <w:t>CRC P</w:t>
      </w:r>
      <w:r w:rsidRPr="00886F38">
        <w:rPr>
          <w:rFonts w:eastAsiaTheme="minorHAnsi" w:cs="Arial"/>
          <w:color w:val="auto"/>
        </w:rPr>
        <w:t>rogramme should be refocused and targeted to deliver outcomes for industry, and greater ease of access for SMEs.</w:t>
      </w:r>
    </w:p>
    <w:p w14:paraId="1E60446D" w14:textId="77777777" w:rsidR="00F16AF1" w:rsidRPr="00886F38" w:rsidRDefault="00F16AF1" w:rsidP="002D34D5">
      <w:pPr>
        <w:pStyle w:val="BodyText"/>
      </w:pPr>
      <w:r w:rsidRPr="00886F38">
        <w:t>The review has considered the design and delivery of the programme to determine how it can deliver better outcomes for industry and analysis has focused on the following sub-questions from the terms of reference:</w:t>
      </w:r>
    </w:p>
    <w:p w14:paraId="6E2DDD24" w14:textId="77777777" w:rsidR="000A30BD" w:rsidRPr="00886F38" w:rsidRDefault="00ED6204" w:rsidP="00DE0679">
      <w:pPr>
        <w:pStyle w:val="ListBullet"/>
      </w:pPr>
      <w:r>
        <w:t>to what extent does the p</w:t>
      </w:r>
      <w:r w:rsidR="000A30BD" w:rsidRPr="00886F38">
        <w:t>rogramme address the needs of small and medium enterprises?</w:t>
      </w:r>
    </w:p>
    <w:p w14:paraId="70899C38" w14:textId="77777777" w:rsidR="000A30BD" w:rsidRPr="00886F38" w:rsidRDefault="00ED6204" w:rsidP="00DE0679">
      <w:pPr>
        <w:pStyle w:val="ListBullet"/>
      </w:pPr>
      <w:r>
        <w:t>t</w:t>
      </w:r>
      <w:r w:rsidR="000A30BD" w:rsidRPr="00886F38">
        <w:t>o what extent are the research activities undertaken driven by industry as opposed to research organisations?</w:t>
      </w:r>
    </w:p>
    <w:p w14:paraId="6A3B10FE" w14:textId="77777777" w:rsidR="00886F38" w:rsidRPr="00886F38" w:rsidRDefault="00ED6204" w:rsidP="00DE0679">
      <w:pPr>
        <w:pStyle w:val="ListBullet"/>
      </w:pPr>
      <w:r>
        <w:t>d</w:t>
      </w:r>
      <w:r w:rsidR="00886F38" w:rsidRPr="00886F38">
        <w:t>o the governance, intellectual property (IP) and other commercialisation-related practices of CRCs inhibit the application of CRC-driven research? How can this be addressed?</w:t>
      </w:r>
    </w:p>
    <w:p w14:paraId="7707DBD4" w14:textId="77777777" w:rsidR="000A30BD" w:rsidRPr="00886F38" w:rsidRDefault="00ED6204" w:rsidP="00DE0679">
      <w:pPr>
        <w:pStyle w:val="ListBullet"/>
      </w:pPr>
      <w:r>
        <w:t>d</w:t>
      </w:r>
      <w:r w:rsidR="000A30BD" w:rsidRPr="00886F38">
        <w:t>o ‘priority areas’ assist in</w:t>
      </w:r>
      <w:r w:rsidR="00A751F9">
        <w:t xml:space="preserve"> meeting the needs of industry?</w:t>
      </w:r>
    </w:p>
    <w:p w14:paraId="03894204" w14:textId="77777777" w:rsidR="00F16AF1" w:rsidRPr="00886F38" w:rsidRDefault="00F16AF1" w:rsidP="001B22B5">
      <w:pPr>
        <w:pStyle w:val="Heading4"/>
        <w:ind w:left="0" w:firstLine="0"/>
        <w:rPr>
          <w:rFonts w:ascii="Arial" w:hAnsi="Arial" w:cs="Arial"/>
          <w:color w:val="auto"/>
        </w:rPr>
      </w:pPr>
      <w:bookmarkStart w:id="20" w:name="_Toc415042844"/>
      <w:r w:rsidRPr="00886F38">
        <w:rPr>
          <w:rFonts w:ascii="Arial" w:hAnsi="Arial" w:cs="Arial"/>
          <w:color w:val="auto"/>
        </w:rPr>
        <w:t xml:space="preserve">A new way to engage </w:t>
      </w:r>
      <w:r w:rsidR="006F5FE8" w:rsidRPr="00886F38">
        <w:rPr>
          <w:rFonts w:ascii="Arial" w:hAnsi="Arial" w:cs="Arial"/>
          <w:color w:val="auto"/>
        </w:rPr>
        <w:t>s</w:t>
      </w:r>
      <w:r w:rsidRPr="00886F38">
        <w:rPr>
          <w:rFonts w:ascii="Arial" w:hAnsi="Arial" w:cs="Arial"/>
          <w:color w:val="auto"/>
        </w:rPr>
        <w:t xml:space="preserve">mall to </w:t>
      </w:r>
      <w:r w:rsidR="006F5FE8" w:rsidRPr="00886F38">
        <w:rPr>
          <w:rFonts w:ascii="Arial" w:hAnsi="Arial" w:cs="Arial"/>
          <w:color w:val="auto"/>
        </w:rPr>
        <w:t>m</w:t>
      </w:r>
      <w:r w:rsidRPr="00886F38">
        <w:rPr>
          <w:rFonts w:ascii="Arial" w:hAnsi="Arial" w:cs="Arial"/>
          <w:color w:val="auto"/>
        </w:rPr>
        <w:t xml:space="preserve">edium </w:t>
      </w:r>
      <w:r w:rsidR="006F5FE8" w:rsidRPr="00886F38">
        <w:rPr>
          <w:rFonts w:ascii="Arial" w:hAnsi="Arial" w:cs="Arial"/>
          <w:color w:val="auto"/>
        </w:rPr>
        <w:t>e</w:t>
      </w:r>
      <w:r w:rsidRPr="00886F38">
        <w:rPr>
          <w:rFonts w:ascii="Arial" w:hAnsi="Arial" w:cs="Arial"/>
          <w:color w:val="auto"/>
        </w:rPr>
        <w:t>nterprises (SMEs)</w:t>
      </w:r>
      <w:bookmarkEnd w:id="20"/>
    </w:p>
    <w:p w14:paraId="43B63971" w14:textId="77777777" w:rsidR="00F16AF1" w:rsidRPr="00886F38" w:rsidRDefault="00F16AF1" w:rsidP="002D34D5">
      <w:pPr>
        <w:pStyle w:val="BodyText"/>
      </w:pPr>
      <w:r w:rsidRPr="00886F38">
        <w:t>In addition to the changes to put industry front and centre as previously outlined, particular attention has been given to making the progr</w:t>
      </w:r>
      <w:r w:rsidR="00A751F9">
        <w:t>amme easier for SMEs to access.</w:t>
      </w:r>
    </w:p>
    <w:p w14:paraId="40C68169" w14:textId="77777777" w:rsidR="000B6433" w:rsidRPr="00886F38" w:rsidRDefault="00F16AF1" w:rsidP="002D34D5">
      <w:pPr>
        <w:pStyle w:val="BodyText"/>
      </w:pPr>
      <w:r w:rsidRPr="00886F38">
        <w:t xml:space="preserve">Some SME participants of past and present CRCs were very positive about the benefits of their participation in the programme, in some cases noting that the outcomes were above and beyond what they expected. The models put in place for SME engagement by the CRC for Spatial Information and by the Deep Exploration Technologies CRC were examples of </w:t>
      </w:r>
      <w:r w:rsidR="00A751F9">
        <w:t>real and meaningful engagement.</w:t>
      </w:r>
    </w:p>
    <w:p w14:paraId="1A5F7F6D" w14:textId="77777777" w:rsidR="00C254BA" w:rsidRPr="00886F38" w:rsidRDefault="00C254BA" w:rsidP="002D34D5">
      <w:pPr>
        <w:pStyle w:val="BodyText"/>
      </w:pPr>
      <w:r w:rsidRPr="00886F38">
        <w:t xml:space="preserve">However the predominant view was that the programme was not sufficiently flexible to encourage SMEs participation given time, cost and resource constraints. The importance of SMEs to the Australian economy should not be underestimated and the programme must be more flexible </w:t>
      </w:r>
      <w:r w:rsidR="00A751F9">
        <w:t>to encourage SME participation.</w:t>
      </w:r>
    </w:p>
    <w:p w14:paraId="5CA829C0" w14:textId="77777777" w:rsidR="00FB5826" w:rsidRDefault="00FB5826" w:rsidP="002D34D5">
      <w:pPr>
        <w:pStyle w:val="BodyText"/>
      </w:pPr>
      <w:r w:rsidRPr="00886F38">
        <w:t xml:space="preserve">SMEs are not always able to commit to a CRC for the life of the funding agreement. Some SMEs may wish to participate only for a specific period of time and then depart the programme. The CRC for Spatial Information </w:t>
      </w:r>
      <w:r w:rsidR="00B81C21" w:rsidRPr="00886F38">
        <w:t xml:space="preserve">has adopted a model using a </w:t>
      </w:r>
      <w:r w:rsidRPr="00886F38">
        <w:t>participant unit trust company 43pl to encourage and facil</w:t>
      </w:r>
      <w:r w:rsidR="00A751F9">
        <w:t>itate flexible SME engagement.</w:t>
      </w:r>
    </w:p>
    <w:p w14:paraId="3A568A95" w14:textId="77777777" w:rsidR="00CC66C6" w:rsidRPr="00886F38" w:rsidRDefault="00CC66C6" w:rsidP="002D34D5">
      <w:pPr>
        <w:pStyle w:val="BodyText"/>
      </w:pPr>
      <w:r w:rsidRPr="00886F38">
        <w:lastRenderedPageBreak/>
        <w:t>Experience from other programmes</w:t>
      </w:r>
      <w:r w:rsidRPr="00886F38">
        <w:rPr>
          <w:vertAlign w:val="superscript"/>
        </w:rPr>
        <w:footnoteReference w:id="1"/>
      </w:r>
      <w:r w:rsidRPr="00886F38">
        <w:t xml:space="preserve"> shows that up to three-quarters of SMEs will maintain their involvement in a research collaboration or establish new partnerships following their first government-supported project.</w:t>
      </w:r>
    </w:p>
    <w:p w14:paraId="250F5C2F" w14:textId="77777777" w:rsidR="00CC66C6" w:rsidRPr="00886F38" w:rsidRDefault="00CC66C6" w:rsidP="002D34D5">
      <w:pPr>
        <w:pStyle w:val="BodyText"/>
      </w:pPr>
      <w:r w:rsidRPr="00886F38">
        <w:t>This is compelling evidence and the review recommends establishing a second activity stream called CRC-Projects (CRC-Ps) to comple</w:t>
      </w:r>
      <w:r w:rsidR="00A751F9">
        <w:t>ment the traditional CRC model.</w:t>
      </w:r>
    </w:p>
    <w:p w14:paraId="595039AF" w14:textId="77777777" w:rsidR="00CC66C6" w:rsidRPr="00886F38" w:rsidRDefault="00CC66C6" w:rsidP="002D34D5">
      <w:pPr>
        <w:pStyle w:val="BodyText"/>
      </w:pPr>
      <w:r w:rsidRPr="00886F38">
        <w:t>CRC-Ps should support collaborative research activities with simpler goals, shorter timeframes (up to three years) and smaller budge</w:t>
      </w:r>
      <w:r w:rsidR="00A751F9">
        <w:t>ts (up to $3 million in total).</w:t>
      </w:r>
    </w:p>
    <w:p w14:paraId="75C1DAC5" w14:textId="77777777" w:rsidR="00CC66C6" w:rsidRPr="00886F38" w:rsidRDefault="00CC66C6" w:rsidP="002D34D5">
      <w:pPr>
        <w:pStyle w:val="BodyText"/>
      </w:pPr>
      <w:r w:rsidRPr="00886F38">
        <w:t xml:space="preserve">Wherever possible, CRC-Ps should be linked to Growth Centre knowledge priority areas. They should be discrete, stand-alone projects designed to benefit SMEs in particular, by solving problems and increasing their capacity to grow </w:t>
      </w:r>
      <w:r w:rsidR="00A751F9">
        <w:t>and adapt in changing markets.</w:t>
      </w:r>
    </w:p>
    <w:p w14:paraId="28F29C7F" w14:textId="77777777" w:rsidR="00CC66C6" w:rsidRPr="00886F38" w:rsidRDefault="00CC66C6" w:rsidP="002D34D5">
      <w:pPr>
        <w:pStyle w:val="BodyText"/>
      </w:pPr>
      <w:r w:rsidRPr="00886F38">
        <w:t xml:space="preserve">CRC-Ps should also have simpler application, management and governance arrangements, have more flexible administration, and use simple, best practice templates such as those that will be available through the </w:t>
      </w:r>
      <w:r w:rsidR="00A751F9">
        <w:t>soon to be released IP Toolkit.</w:t>
      </w:r>
    </w:p>
    <w:p w14:paraId="7E6A8162" w14:textId="77777777" w:rsidR="009D3D35" w:rsidRPr="00CC66C6" w:rsidRDefault="00FB5826" w:rsidP="002D34D5">
      <w:pPr>
        <w:pStyle w:val="BodyText"/>
        <w:rPr>
          <w:rStyle w:val="Strong"/>
        </w:rPr>
      </w:pPr>
      <w:r w:rsidRPr="00CC66C6">
        <w:rPr>
          <w:rStyle w:val="Strong"/>
        </w:rPr>
        <w:t xml:space="preserve">Case study: </w:t>
      </w:r>
      <w:r w:rsidR="009D3D35" w:rsidRPr="00CC66C6">
        <w:rPr>
          <w:rStyle w:val="Strong"/>
        </w:rPr>
        <w:t>43pl facilitates SME engagement in the CRC for Spatial Information</w:t>
      </w:r>
    </w:p>
    <w:p w14:paraId="56F29738" w14:textId="77777777" w:rsidR="00CC66C6" w:rsidRPr="00CC66C6" w:rsidRDefault="00CC66C6" w:rsidP="002D34D5">
      <w:pPr>
        <w:pStyle w:val="BodyText"/>
      </w:pPr>
      <w:r w:rsidRPr="00CC66C6">
        <w:t>SMEs are deeply integrated into the activities of the CRC for Spatial Information (CRCSI), and the CRC established, at the outset, a unique structure to facilitate th</w:t>
      </w:r>
      <w:r w:rsidR="00A751F9">
        <w:t>eir engagement and involvement.</w:t>
      </w:r>
    </w:p>
    <w:p w14:paraId="33A01A88" w14:textId="77777777" w:rsidR="00CC66C6" w:rsidRPr="00CC66C6" w:rsidRDefault="00CC66C6" w:rsidP="002D34D5">
      <w:pPr>
        <w:pStyle w:val="BodyText"/>
      </w:pPr>
      <w:r w:rsidRPr="00CC66C6">
        <w:t>43pl Pty Ltd (43pl), a unit trust and essential participant of the CRC, allows SMEs in the spatial information sector to purchase units through which they can participate in the CRC with appropriate flexibility. This permits each member SME to access CRCSI intellectual property and participate in all CRC activities, but at the same time significantly reduces the SME’s costs of involvement. 43pl assumes indemnity for each member SME, and the administrative costs and Company Secretary function for the company are provided by the CRC. Board directors are from representative member companies from across Australia and New Zealand and are electe</w:t>
      </w:r>
      <w:r w:rsidR="00A751F9">
        <w:t>d through a nomination process.</w:t>
      </w:r>
    </w:p>
    <w:p w14:paraId="2026AF6C" w14:textId="77777777" w:rsidR="00CC66C6" w:rsidRPr="00CC66C6" w:rsidRDefault="00CC66C6" w:rsidP="002D34D5">
      <w:pPr>
        <w:pStyle w:val="BodyText"/>
      </w:pPr>
      <w:r w:rsidRPr="00CC66C6">
        <w:lastRenderedPageBreak/>
        <w:t xml:space="preserve">Members of 43pl are not necessarily involved in CRC projects, but all CRC projects usually have 43pl participation. All unit trust contributions are applied to the CRC. The company has grown from its initial 39 members, and membership continues to fluctuate </w:t>
      </w:r>
      <w:r w:rsidRPr="00CC66C6">
        <w:rPr>
          <w:color w:val="000000"/>
        </w:rPr>
        <w:t>as companies join, merge, leave the industry, spin off new companies or choose to leave the CRC. Nearly 100 companies have benefitted from 43pl membership over the last ten years.</w:t>
      </w:r>
    </w:p>
    <w:p w14:paraId="072477D0" w14:textId="77777777" w:rsidR="00CC66C6" w:rsidRPr="00CC66C6" w:rsidRDefault="00CC66C6" w:rsidP="002D34D5">
      <w:pPr>
        <w:pStyle w:val="BodyText"/>
      </w:pPr>
      <w:r w:rsidRPr="00CC66C6">
        <w:t>B</w:t>
      </w:r>
      <w:r w:rsidR="00A751F9">
        <w:t>enefits to member SMEs include:</w:t>
      </w:r>
    </w:p>
    <w:p w14:paraId="1D15152C" w14:textId="77777777" w:rsidR="00CC66C6" w:rsidRPr="00CC66C6" w:rsidRDefault="00CC66C6" w:rsidP="00CC66C6">
      <w:pPr>
        <w:pStyle w:val="ListBullet"/>
        <w:rPr>
          <w:rFonts w:eastAsiaTheme="minorHAnsi"/>
        </w:rPr>
      </w:pPr>
      <w:r w:rsidRPr="00CC66C6">
        <w:rPr>
          <w:rFonts w:eastAsiaTheme="minorHAnsi"/>
        </w:rPr>
        <w:t>Equity in the intellectual property of the CRC in proportion to the aggregate cash payments</w:t>
      </w:r>
      <w:r>
        <w:t>;</w:t>
      </w:r>
    </w:p>
    <w:p w14:paraId="4CD9EBB6" w14:textId="77777777" w:rsidR="00CC66C6" w:rsidRPr="00CC66C6" w:rsidRDefault="00CC66C6" w:rsidP="00CC66C6">
      <w:pPr>
        <w:pStyle w:val="ListBullet"/>
        <w:rPr>
          <w:rFonts w:eastAsiaTheme="minorHAnsi"/>
        </w:rPr>
      </w:pPr>
      <w:r w:rsidRPr="00CC66C6">
        <w:rPr>
          <w:rFonts w:eastAsiaTheme="minorHAnsi"/>
        </w:rPr>
        <w:t xml:space="preserve">involvement in a cluster or ecosystem of spatial companies, clients and researchers, which reduces the barriers to innovation, collaboration and R&amp;D as well as providing neutral ground on which </w:t>
      </w:r>
      <w:r>
        <w:t>to meet clients and suppliers;</w:t>
      </w:r>
    </w:p>
    <w:p w14:paraId="5F347DD5" w14:textId="77777777" w:rsidR="00CC66C6" w:rsidRPr="00CC66C6" w:rsidRDefault="00CC66C6" w:rsidP="00CC66C6">
      <w:pPr>
        <w:pStyle w:val="ListBullet"/>
        <w:rPr>
          <w:rFonts w:eastAsiaTheme="minorHAnsi"/>
        </w:rPr>
      </w:pPr>
      <w:r w:rsidRPr="00CC66C6">
        <w:rPr>
          <w:rFonts w:eastAsiaTheme="minorHAnsi"/>
        </w:rPr>
        <w:t>attendance at the CRCSI member-only annual conferences</w:t>
      </w:r>
      <w:r>
        <w:t>;</w:t>
      </w:r>
    </w:p>
    <w:p w14:paraId="7BCC309D" w14:textId="77777777" w:rsidR="00CC66C6" w:rsidRPr="00CC66C6" w:rsidRDefault="00CC66C6" w:rsidP="00CC66C6">
      <w:pPr>
        <w:pStyle w:val="ListBullet"/>
        <w:rPr>
          <w:rFonts w:eastAsiaTheme="minorHAnsi"/>
        </w:rPr>
      </w:pPr>
      <w:r w:rsidRPr="00CC66C6">
        <w:rPr>
          <w:rFonts w:eastAsiaTheme="minorHAnsi"/>
        </w:rPr>
        <w:t>project engagement through 43pl participation being sought in all CRC projects</w:t>
      </w:r>
      <w:r>
        <w:t>;</w:t>
      </w:r>
    </w:p>
    <w:p w14:paraId="6371E7E0" w14:textId="77777777" w:rsidR="00CC66C6" w:rsidRPr="00CC66C6" w:rsidRDefault="00CC66C6" w:rsidP="00CC66C6">
      <w:pPr>
        <w:pStyle w:val="ListBullet"/>
        <w:rPr>
          <w:rFonts w:eastAsiaTheme="minorHAnsi"/>
        </w:rPr>
      </w:pPr>
      <w:r w:rsidRPr="00CC66C6">
        <w:rPr>
          <w:rFonts w:eastAsiaTheme="minorHAnsi"/>
        </w:rPr>
        <w:t>equal status in all projects with the same privileges as government agencies and universities</w:t>
      </w:r>
      <w:r>
        <w:t>;</w:t>
      </w:r>
    </w:p>
    <w:p w14:paraId="23D96B59" w14:textId="77777777" w:rsidR="00CC66C6" w:rsidRPr="00CC66C6" w:rsidRDefault="00CC66C6" w:rsidP="00CC66C6">
      <w:pPr>
        <w:pStyle w:val="ListBullet"/>
        <w:rPr>
          <w:rFonts w:eastAsiaTheme="minorHAnsi"/>
        </w:rPr>
      </w:pPr>
      <w:r w:rsidRPr="00CC66C6">
        <w:rPr>
          <w:rFonts w:eastAsiaTheme="minorHAnsi"/>
        </w:rPr>
        <w:t>option to participate on the Board and in project governance</w:t>
      </w:r>
      <w:r>
        <w:t>;</w:t>
      </w:r>
    </w:p>
    <w:p w14:paraId="66F7E92E" w14:textId="77777777" w:rsidR="00CC66C6" w:rsidRPr="00CC66C6" w:rsidRDefault="00CC66C6" w:rsidP="00CC66C6">
      <w:pPr>
        <w:pStyle w:val="ListBullet"/>
        <w:rPr>
          <w:rFonts w:eastAsiaTheme="minorHAnsi"/>
        </w:rPr>
      </w:pPr>
      <w:r w:rsidRPr="00CC66C6">
        <w:rPr>
          <w:rFonts w:eastAsiaTheme="minorHAnsi"/>
        </w:rPr>
        <w:t>involvement in commercial activities to provide services to CRCSI projects (worth millions of dollars to dozens of companies over the last ten years)</w:t>
      </w:r>
      <w:r>
        <w:t>;</w:t>
      </w:r>
    </w:p>
    <w:p w14:paraId="4FB97E39" w14:textId="77777777" w:rsidR="00CC66C6" w:rsidRPr="00CC66C6" w:rsidRDefault="00CC66C6" w:rsidP="00CC66C6">
      <w:pPr>
        <w:pStyle w:val="ListBullet"/>
        <w:rPr>
          <w:rFonts w:eastAsiaTheme="minorHAnsi"/>
          <w:b/>
          <w:bCs/>
        </w:rPr>
      </w:pPr>
      <w:r w:rsidRPr="00CC66C6">
        <w:rPr>
          <w:rFonts w:eastAsiaTheme="minorHAnsi"/>
        </w:rPr>
        <w:t>preferential access to R&amp;D initiatives and CRCSI IP for commercialisation</w:t>
      </w:r>
      <w:r>
        <w:t>;</w:t>
      </w:r>
    </w:p>
    <w:p w14:paraId="1A2C3BDB" w14:textId="77777777" w:rsidR="00CC66C6" w:rsidRPr="00CC66C6" w:rsidRDefault="00CC66C6" w:rsidP="00CC66C6">
      <w:pPr>
        <w:pStyle w:val="ListBullet"/>
        <w:rPr>
          <w:rFonts w:eastAsiaTheme="minorHAnsi"/>
        </w:rPr>
      </w:pPr>
      <w:r w:rsidRPr="00CC66C6">
        <w:rPr>
          <w:rFonts w:eastAsiaTheme="minorHAnsi"/>
        </w:rPr>
        <w:t>skills development and capacity building, including the recruitment of CRCSI postgraduate students</w:t>
      </w:r>
      <w:r>
        <w:t>;</w:t>
      </w:r>
    </w:p>
    <w:p w14:paraId="2E0110A9" w14:textId="77777777" w:rsidR="00CC66C6" w:rsidRPr="00CC66C6" w:rsidRDefault="00CC66C6" w:rsidP="00CC66C6">
      <w:pPr>
        <w:pStyle w:val="ListBullet"/>
        <w:rPr>
          <w:rFonts w:eastAsiaTheme="minorHAnsi"/>
        </w:rPr>
      </w:pPr>
      <w:r w:rsidRPr="00CC66C6">
        <w:rPr>
          <w:rFonts w:eastAsiaTheme="minorHAnsi"/>
        </w:rPr>
        <w:t>networking into government and academia, both nationally and internationally, to bring end-user and researcher together, so the SME can participate where their niche expertise can be best applied</w:t>
      </w:r>
      <w:r>
        <w:t>;</w:t>
      </w:r>
    </w:p>
    <w:p w14:paraId="79E8DD89" w14:textId="77777777" w:rsidR="00CC66C6" w:rsidRPr="00CC66C6" w:rsidRDefault="00CC66C6" w:rsidP="00CC66C6">
      <w:pPr>
        <w:pStyle w:val="ListBullet"/>
        <w:rPr>
          <w:rFonts w:eastAsiaTheme="minorHAnsi"/>
        </w:rPr>
      </w:pPr>
      <w:r w:rsidRPr="00CC66C6">
        <w:rPr>
          <w:rFonts w:eastAsiaTheme="minorHAnsi"/>
        </w:rPr>
        <w:t>assistance with the development of submissions for grant funds for innovation and business development</w:t>
      </w:r>
      <w:r>
        <w:t>;</w:t>
      </w:r>
      <w:r w:rsidRPr="00CC66C6">
        <w:rPr>
          <w:rFonts w:eastAsiaTheme="minorHAnsi"/>
        </w:rPr>
        <w:t xml:space="preserve"> </w:t>
      </w:r>
      <w:r>
        <w:t>and</w:t>
      </w:r>
    </w:p>
    <w:p w14:paraId="7587CF2C" w14:textId="77777777" w:rsidR="00CC66C6" w:rsidRPr="00CC66C6" w:rsidRDefault="00CC66C6" w:rsidP="00CC66C6">
      <w:pPr>
        <w:pStyle w:val="ListBullet"/>
        <w:rPr>
          <w:rFonts w:eastAsiaTheme="minorHAnsi"/>
        </w:rPr>
      </w:pPr>
      <w:r>
        <w:t>a</w:t>
      </w:r>
      <w:r w:rsidRPr="00CC66C6">
        <w:rPr>
          <w:rFonts w:eastAsiaTheme="minorHAnsi"/>
        </w:rPr>
        <w:t>ssistance with technical advice on the develo</w:t>
      </w:r>
      <w:r w:rsidR="00A751F9">
        <w:rPr>
          <w:rFonts w:eastAsiaTheme="minorHAnsi"/>
        </w:rPr>
        <w:t>pment of intellectual property.</w:t>
      </w:r>
    </w:p>
    <w:p w14:paraId="7623B54E" w14:textId="77777777" w:rsidR="00DE0679" w:rsidRDefault="00DE0679">
      <w:pPr>
        <w:spacing w:line="240" w:lineRule="auto"/>
        <w:rPr>
          <w:rFonts w:eastAsiaTheme="minorHAnsi"/>
          <w:color w:val="auto"/>
          <w:sz w:val="20"/>
          <w:szCs w:val="20"/>
        </w:rPr>
      </w:pPr>
      <w:r>
        <w:br w:type="page"/>
      </w:r>
    </w:p>
    <w:p w14:paraId="52EF67F2" w14:textId="77777777" w:rsidR="0045112D" w:rsidRPr="00886F38" w:rsidRDefault="0045112D" w:rsidP="0045112D">
      <w:pPr>
        <w:pStyle w:val="Heading4"/>
        <w:ind w:left="0" w:firstLine="0"/>
        <w:rPr>
          <w:rFonts w:ascii="Arial" w:hAnsi="Arial" w:cs="Arial"/>
          <w:color w:val="auto"/>
        </w:rPr>
      </w:pPr>
      <w:bookmarkStart w:id="21" w:name="_Toc415042845"/>
      <w:r w:rsidRPr="00886F38">
        <w:rPr>
          <w:rFonts w:ascii="Arial" w:hAnsi="Arial" w:cs="Arial"/>
          <w:color w:val="auto"/>
        </w:rPr>
        <w:lastRenderedPageBreak/>
        <w:t>Industry driving research</w:t>
      </w:r>
      <w:bookmarkEnd w:id="21"/>
    </w:p>
    <w:p w14:paraId="45739D6F" w14:textId="77777777" w:rsidR="007B004A" w:rsidRPr="00886F38" w:rsidRDefault="0045112D" w:rsidP="002D34D5">
      <w:pPr>
        <w:pStyle w:val="BodyText"/>
      </w:pPr>
      <w:r w:rsidRPr="00886F38">
        <w:t xml:space="preserve">The proposed revised programme objectives </w:t>
      </w:r>
      <w:r w:rsidR="007B004A" w:rsidRPr="00886F38">
        <w:t>are all about putting industry front and centre. The proposed introduction of the CRC-P activity stream is about making it easier for SMEs to be involved and engaged. The connection to the Growth Centres is about getting better targeting of research to match industry needs.</w:t>
      </w:r>
    </w:p>
    <w:p w14:paraId="7F6B8216" w14:textId="77777777" w:rsidR="007B004A" w:rsidRPr="00886F38" w:rsidRDefault="007B004A" w:rsidP="002D34D5">
      <w:pPr>
        <w:pStyle w:val="BodyText"/>
      </w:pPr>
      <w:r w:rsidRPr="00886F38">
        <w:t xml:space="preserve">The revised </w:t>
      </w:r>
      <w:r w:rsidR="0045112D" w:rsidRPr="00886F38">
        <w:t xml:space="preserve">guidelines should </w:t>
      </w:r>
      <w:r w:rsidRPr="00886F38">
        <w:t xml:space="preserve">make it clear that industry needs to be the partner driving these collaborations. Industry should describe the problem, be involved in pulling together the right players to solve it on both the industry and the research sides, </w:t>
      </w:r>
      <w:r w:rsidR="00F71287">
        <w:t xml:space="preserve">and </w:t>
      </w:r>
      <w:r w:rsidRPr="00886F38">
        <w:t>work on the solutio</w:t>
      </w:r>
      <w:r w:rsidR="00A751F9">
        <w:t>n alongside the researchers.</w:t>
      </w:r>
    </w:p>
    <w:p w14:paraId="5A6A933B" w14:textId="77777777" w:rsidR="00F16AF1" w:rsidRPr="00886F38" w:rsidRDefault="00F16AF1" w:rsidP="001B22B5">
      <w:pPr>
        <w:pStyle w:val="Heading4"/>
        <w:ind w:left="0" w:firstLine="0"/>
        <w:rPr>
          <w:rFonts w:ascii="Arial" w:hAnsi="Arial" w:cs="Arial"/>
          <w:color w:val="auto"/>
        </w:rPr>
      </w:pPr>
      <w:bookmarkStart w:id="22" w:name="_Toc415042846"/>
      <w:r w:rsidRPr="00886F38">
        <w:rPr>
          <w:rFonts w:ascii="Arial" w:hAnsi="Arial" w:cs="Arial"/>
          <w:color w:val="auto"/>
        </w:rPr>
        <w:t>Focus on the problem that needs to be solved</w:t>
      </w:r>
      <w:bookmarkEnd w:id="22"/>
    </w:p>
    <w:p w14:paraId="459F2768" w14:textId="77777777" w:rsidR="00F16AF1" w:rsidRPr="00886F38" w:rsidRDefault="00F16AF1" w:rsidP="002D34D5">
      <w:pPr>
        <w:pStyle w:val="BodyText"/>
      </w:pPr>
      <w:r w:rsidRPr="00886F38">
        <w:t>The proposed revision of the programme’s objectives signals a sh</w:t>
      </w:r>
      <w:bookmarkStart w:id="23" w:name="CursorPositionBM"/>
      <w:bookmarkEnd w:id="23"/>
      <w:r w:rsidRPr="00886F38">
        <w:t xml:space="preserve">ift in focus to solving a problem, rather than establishing an organisation. This should address a persistent criticism of the programme, raised frequently by stakeholders, namely that CRCs </w:t>
      </w:r>
      <w:r w:rsidR="006F5FE8" w:rsidRPr="00886F38">
        <w:t xml:space="preserve">aim to gain further support and continue operating well </w:t>
      </w:r>
      <w:r w:rsidRPr="00886F38">
        <w:t>beyond the original timeframes.</w:t>
      </w:r>
    </w:p>
    <w:p w14:paraId="05B7ACFB" w14:textId="77777777" w:rsidR="00F16AF1" w:rsidRPr="00886F38" w:rsidRDefault="00F16AF1" w:rsidP="002D34D5">
      <w:pPr>
        <w:pStyle w:val="BodyText"/>
      </w:pPr>
      <w:r w:rsidRPr="00886F38">
        <w:t xml:space="preserve">The average life of a CRC is </w:t>
      </w:r>
      <w:r w:rsidR="006F5FE8" w:rsidRPr="00886F38">
        <w:t>12</w:t>
      </w:r>
      <w:r w:rsidR="00A751F9">
        <w:t xml:space="preserve"> years.</w:t>
      </w:r>
    </w:p>
    <w:p w14:paraId="7273D7BF" w14:textId="77777777" w:rsidR="00F16AF1" w:rsidRPr="00886F38" w:rsidRDefault="006A6F43" w:rsidP="002D34D5">
      <w:pPr>
        <w:pStyle w:val="BodyText"/>
      </w:pPr>
      <w:r w:rsidRPr="00886F38">
        <w:t>The</w:t>
      </w:r>
      <w:r w:rsidR="00F16AF1" w:rsidRPr="00886F38">
        <w:t xml:space="preserve"> review </w:t>
      </w:r>
      <w:r w:rsidR="009D3D35" w:rsidRPr="00886F38">
        <w:t>notes</w:t>
      </w:r>
      <w:r w:rsidR="00F16AF1" w:rsidRPr="00886F38">
        <w:t xml:space="preserve"> that </w:t>
      </w:r>
      <w:r w:rsidRPr="00886F38">
        <w:t xml:space="preserve">many </w:t>
      </w:r>
      <w:r w:rsidR="00F16AF1" w:rsidRPr="00886F38">
        <w:t xml:space="preserve">CRCs </w:t>
      </w:r>
      <w:r w:rsidR="009D3D35" w:rsidRPr="00886F38">
        <w:t xml:space="preserve">have </w:t>
      </w:r>
      <w:r w:rsidR="00F16AF1" w:rsidRPr="00886F38">
        <w:t>extend</w:t>
      </w:r>
      <w:r w:rsidR="009D3D35" w:rsidRPr="00886F38">
        <w:t>ed</w:t>
      </w:r>
      <w:r w:rsidR="00F16AF1" w:rsidRPr="00886F38">
        <w:t xml:space="preserve"> their existence through re-bidding (</w:t>
      </w:r>
      <w:r w:rsidR="006F5FE8" w:rsidRPr="00886F38">
        <w:t>many</w:t>
      </w:r>
      <w:r w:rsidR="00F16AF1" w:rsidRPr="00886F38">
        <w:t xml:space="preserve"> have </w:t>
      </w:r>
      <w:r w:rsidR="006F5FE8" w:rsidRPr="00886F38">
        <w:t>received three or four separate funding terms</w:t>
      </w:r>
      <w:r w:rsidR="00F16AF1" w:rsidRPr="00886F38">
        <w:t>)</w:t>
      </w:r>
      <w:r w:rsidR="001D2D38" w:rsidRPr="00886F38">
        <w:t>.</w:t>
      </w:r>
      <w:r w:rsidR="00F16AF1" w:rsidRPr="00886F38">
        <w:t xml:space="preserve"> This review also notes that a limit of 15 years was placed on funding for CRCs following the O’Kane review (recognising that </w:t>
      </w:r>
      <w:r w:rsidR="006F5FE8" w:rsidRPr="00886F38">
        <w:t xml:space="preserve">the O’Kane review </w:t>
      </w:r>
      <w:r w:rsidR="00CF14C0">
        <w:t>recommended a</w:t>
      </w:r>
      <w:r w:rsidR="00F16AF1" w:rsidRPr="00886F38">
        <w:t xml:space="preserve"> limit of 10 ye</w:t>
      </w:r>
      <w:r w:rsidR="00A751F9">
        <w:t>ars).</w:t>
      </w:r>
    </w:p>
    <w:p w14:paraId="6128ADED" w14:textId="77777777" w:rsidR="00F16AF1" w:rsidRPr="00886F38" w:rsidRDefault="00F16AF1" w:rsidP="002D34D5">
      <w:pPr>
        <w:pStyle w:val="BodyText"/>
      </w:pPr>
      <w:r w:rsidRPr="00886F38">
        <w:t>There are inherent tensions between managing a CRC to deliver tangible outcomes in the specified time period (to provide a benefit to industry), building and maintaining a collaborative, trusting relationship between participants (to foster more collaboration), and delivering high quality, sometimes long-term, research (to solve the problem and provide benefits to researchers). All are important goals and all are recognised in the revised objectives for the programme.</w:t>
      </w:r>
    </w:p>
    <w:p w14:paraId="70A53A61" w14:textId="77777777" w:rsidR="00F16AF1" w:rsidRPr="00886F38" w:rsidRDefault="00F16AF1" w:rsidP="002D34D5">
      <w:pPr>
        <w:pStyle w:val="BodyText"/>
      </w:pPr>
      <w:r w:rsidRPr="00886F38">
        <w:t>Completion of the research programme and delivering a solution to the problem should be recognised as success for a CRC and a CRC-P. Success should not be defined by the duration of the activity.</w:t>
      </w:r>
    </w:p>
    <w:p w14:paraId="0DBDA0EA" w14:textId="77777777" w:rsidR="00F16AF1" w:rsidRPr="00886F38" w:rsidRDefault="00F16AF1" w:rsidP="002D34D5">
      <w:pPr>
        <w:pStyle w:val="BodyText"/>
      </w:pPr>
      <w:r w:rsidRPr="00886F38">
        <w:t>Whi</w:t>
      </w:r>
      <w:r w:rsidR="00CF14C0">
        <w:t>le having a clear plan for wind-</w:t>
      </w:r>
      <w:r w:rsidRPr="00886F38">
        <w:t xml:space="preserve">up is important, it should not be an activity that diverts significant resources away from the core activity of solving the problem. In recent years, transition planning has come to mean planning for self-sufficiency. This should not be the goal. Limiting the duration of funding, and not allowing extensions, will make it clear that the focus should be on delivering tangible outcomes from the CRC or CRC-P within the funding period, without unnecessary distractions such as </w:t>
      </w:r>
      <w:r w:rsidRPr="00886F38">
        <w:lastRenderedPageBreak/>
        <w:t xml:space="preserve">preparing for re-bids or transition planning. </w:t>
      </w:r>
      <w:r w:rsidR="000B6433" w:rsidRPr="00886F38">
        <w:t>CRCs should still demonstrate that they have a plan for the end of t</w:t>
      </w:r>
      <w:r w:rsidR="00ED6204">
        <w:t>he collaboration, and this should</w:t>
      </w:r>
      <w:r w:rsidR="000B6433" w:rsidRPr="00886F38">
        <w:t xml:space="preserve"> form part of the ongoing assessment and review process.</w:t>
      </w:r>
    </w:p>
    <w:p w14:paraId="3ED2E648" w14:textId="77777777" w:rsidR="001D2D38" w:rsidRPr="00886F38" w:rsidRDefault="000B6433" w:rsidP="002D34D5">
      <w:pPr>
        <w:pStyle w:val="BodyText"/>
      </w:pPr>
      <w:r w:rsidRPr="00886F38">
        <w:t xml:space="preserve">This review therefore recommends a limit of a single term of </w:t>
      </w:r>
      <w:r w:rsidR="001D2D38" w:rsidRPr="00886F38">
        <w:t>up to</w:t>
      </w:r>
      <w:r w:rsidRPr="00886F38">
        <w:t>10 years for CRCs, although it is not expected that every CRC would require a funding period this long. Applicants should be realistic about the time required to achieve expected outcomes.</w:t>
      </w:r>
    </w:p>
    <w:p w14:paraId="3BD9379E" w14:textId="77777777" w:rsidR="00F16AF1" w:rsidRPr="00886F38" w:rsidRDefault="00F16AF1" w:rsidP="006A6F43">
      <w:pPr>
        <w:pStyle w:val="Heading4"/>
        <w:ind w:left="0" w:firstLine="0"/>
        <w:rPr>
          <w:rFonts w:ascii="Arial" w:hAnsi="Arial" w:cs="Arial"/>
          <w:color w:val="auto"/>
        </w:rPr>
      </w:pPr>
      <w:bookmarkStart w:id="24" w:name="_Toc415042847"/>
      <w:r w:rsidRPr="00886F38">
        <w:rPr>
          <w:rFonts w:ascii="Arial" w:hAnsi="Arial" w:cs="Arial"/>
          <w:color w:val="auto"/>
        </w:rPr>
        <w:t>Governance</w:t>
      </w:r>
      <w:bookmarkEnd w:id="24"/>
    </w:p>
    <w:p w14:paraId="17376B9D" w14:textId="77777777" w:rsidR="00F16AF1" w:rsidRPr="00886F38" w:rsidRDefault="001D2D38" w:rsidP="002D34D5">
      <w:pPr>
        <w:pStyle w:val="BodyText"/>
      </w:pPr>
      <w:r w:rsidRPr="00886F38">
        <w:t>Currently, a</w:t>
      </w:r>
      <w:r w:rsidR="006F5FE8" w:rsidRPr="00886F38">
        <w:t xml:space="preserve">ll CRCs must employ a governance model which demonstrates good practice in its design and execution. The CRC Programme guidelines provide flexibility for CRCs to determine the most appropriate model. </w:t>
      </w:r>
      <w:r w:rsidRPr="00886F38">
        <w:t>T</w:t>
      </w:r>
      <w:r w:rsidR="00F16AF1" w:rsidRPr="00886F38">
        <w:t>here is</w:t>
      </w:r>
      <w:r w:rsidR="00314B40">
        <w:t>,</w:t>
      </w:r>
      <w:r w:rsidRPr="00886F38">
        <w:t xml:space="preserve"> however</w:t>
      </w:r>
      <w:r w:rsidR="00314B40">
        <w:t>,</w:t>
      </w:r>
      <w:r w:rsidR="00F16AF1" w:rsidRPr="00886F38">
        <w:t xml:space="preserve"> no governance </w:t>
      </w:r>
      <w:r w:rsidR="006A6F43" w:rsidRPr="00886F38">
        <w:t>model</w:t>
      </w:r>
      <w:r w:rsidR="00F16AF1" w:rsidRPr="00886F38">
        <w:t xml:space="preserve"> for CRCs mandated by the programme. </w:t>
      </w:r>
      <w:r w:rsidR="00235A71" w:rsidRPr="00235A71">
        <w:t>While template agreements are provided and the recipient entity is encouraged to operate and manage the CRC to the same fiduciary and good governance standards required by law of incorporated bodies, parties frequently come to the application and establishment process with disparate ideas of how the CRC will operate</w:t>
      </w:r>
      <w:r w:rsidR="00F16AF1" w:rsidRPr="00886F38">
        <w:t xml:space="preserve">. This </w:t>
      </w:r>
      <w:r w:rsidR="00BF17AC" w:rsidRPr="00886F38">
        <w:t xml:space="preserve">can </w:t>
      </w:r>
      <w:r w:rsidR="00F16AF1" w:rsidRPr="00886F38">
        <w:t>add considerable time and tension to the establishment phase.</w:t>
      </w:r>
    </w:p>
    <w:p w14:paraId="442816E3" w14:textId="77777777" w:rsidR="00F16AF1" w:rsidRPr="00886F38" w:rsidRDefault="00F16AF1" w:rsidP="002D34D5">
      <w:pPr>
        <w:pStyle w:val="BodyText"/>
      </w:pPr>
      <w:r w:rsidRPr="00886F38">
        <w:t>It is important that appropriate structures are in place to ensure proper accountability and integrity in the management of Commonwealth funds whil</w:t>
      </w:r>
      <w:r w:rsidR="00BF17AC" w:rsidRPr="00886F38">
        <w:t>e</w:t>
      </w:r>
      <w:r w:rsidRPr="00886F38">
        <w:t xml:space="preserve"> ensuring that regulation and </w:t>
      </w:r>
      <w:r w:rsidR="006F5FE8" w:rsidRPr="00886F38">
        <w:t>administration is</w:t>
      </w:r>
      <w:r w:rsidR="00A751F9">
        <w:t xml:space="preserve"> not excessively onerous.</w:t>
      </w:r>
    </w:p>
    <w:p w14:paraId="5102ECCA" w14:textId="77777777" w:rsidR="00F16AF1" w:rsidRPr="00886F38" w:rsidRDefault="00F16AF1" w:rsidP="002D34D5">
      <w:pPr>
        <w:pStyle w:val="BodyText"/>
      </w:pPr>
      <w:r w:rsidRPr="00886F38">
        <w:t xml:space="preserve">Each new CRC should </w:t>
      </w:r>
      <w:r w:rsidR="00BF17AC" w:rsidRPr="00886F38">
        <w:t xml:space="preserve">therefore </w:t>
      </w:r>
      <w:r w:rsidRPr="00886F38">
        <w:t>be established as an incorporated company, limited by guarantee. The composition of the board should reflect relevant experience and expertise. Funding for the CRC should be managed through an agreement between the company and the Commonwealth. Mandating a governance model for CRCs should reduce complexities and save time in establishing new CRCs. To ensure there are no unintended consequences of this change, alternative structures should be considered in exceptional circumstances.</w:t>
      </w:r>
    </w:p>
    <w:p w14:paraId="7842D18E" w14:textId="77777777" w:rsidR="00F16AF1" w:rsidRPr="00886F38" w:rsidRDefault="00F16AF1" w:rsidP="002D34D5">
      <w:pPr>
        <w:pStyle w:val="BodyText"/>
      </w:pPr>
      <w:r w:rsidRPr="00886F38">
        <w:t>CRC-Ps should not be required to establish an entity to manage the collaboration. Funding for each CRC-P should be managed through an agreement between an acceptable entity</w:t>
      </w:r>
      <w:r w:rsidR="00157D77" w:rsidRPr="00886F38">
        <w:t>,</w:t>
      </w:r>
      <w:r w:rsidRPr="00886F38">
        <w:t xml:space="preserve"> </w:t>
      </w:r>
      <w:r w:rsidR="00157D77" w:rsidRPr="00886F38">
        <w:t xml:space="preserve">as defined in the revised guidelines, </w:t>
      </w:r>
      <w:r w:rsidRPr="00886F38">
        <w:t>and the Commonwealth. It should be a simplified agreement with an entity nominated by industry.</w:t>
      </w:r>
    </w:p>
    <w:p w14:paraId="366E1C10" w14:textId="77777777" w:rsidR="00F16AF1" w:rsidRPr="00886F38" w:rsidRDefault="00F16AF1" w:rsidP="001B22B5">
      <w:pPr>
        <w:pStyle w:val="Heading4"/>
        <w:ind w:left="0" w:firstLine="0"/>
        <w:rPr>
          <w:rFonts w:ascii="Arial" w:hAnsi="Arial" w:cs="Arial"/>
          <w:color w:val="auto"/>
        </w:rPr>
      </w:pPr>
      <w:bookmarkStart w:id="25" w:name="_Toc415042848"/>
      <w:r w:rsidRPr="00886F38">
        <w:rPr>
          <w:rFonts w:ascii="Arial" w:hAnsi="Arial" w:cs="Arial"/>
          <w:color w:val="auto"/>
        </w:rPr>
        <w:t>Intellectual Property</w:t>
      </w:r>
      <w:bookmarkEnd w:id="25"/>
    </w:p>
    <w:p w14:paraId="393765CF" w14:textId="77777777" w:rsidR="00F16AF1" w:rsidRPr="00886F38" w:rsidRDefault="00F16AF1" w:rsidP="002D34D5">
      <w:pPr>
        <w:pStyle w:val="BodyText"/>
      </w:pPr>
      <w:r w:rsidRPr="00886F38">
        <w:t xml:space="preserve">While some stakeholders were concerned about IP arrangements in the programme, few concrete examples were provided in consultations or submissions of failed negotiations or specific barriers preventing agreement. The most common issue raised was that there was confusion, a lack of clarity or misunderstanding of the IP </w:t>
      </w:r>
      <w:r w:rsidRPr="00886F38">
        <w:lastRenderedPageBreak/>
        <w:t xml:space="preserve">arrangements in place in CRCs. Most often this appeared to be a result of the IP arrangements not being </w:t>
      </w:r>
      <w:r w:rsidR="006F5FE8" w:rsidRPr="00886F38">
        <w:t xml:space="preserve">clearly </w:t>
      </w:r>
      <w:r w:rsidRPr="00886F38">
        <w:t xml:space="preserve">negotiated at the </w:t>
      </w:r>
      <w:r w:rsidR="006F5FE8" w:rsidRPr="00886F38">
        <w:t xml:space="preserve">application stage </w:t>
      </w:r>
      <w:r w:rsidR="00A751F9">
        <w:t>of the CRC.</w:t>
      </w:r>
    </w:p>
    <w:p w14:paraId="1D49816E" w14:textId="77777777" w:rsidR="00F16AF1" w:rsidRPr="00886F38" w:rsidRDefault="00F16AF1" w:rsidP="002D34D5">
      <w:pPr>
        <w:pStyle w:val="BodyText"/>
      </w:pPr>
      <w:r w:rsidRPr="00886F38">
        <w:t>The review believes that the programme provides appropriate scope and flexibility in IP management approaches, but that additional guidance could be provided, particularly for a traditional CRC</w:t>
      </w:r>
      <w:r w:rsidR="007A03EB" w:rsidRPr="00886F38">
        <w:t>. It should</w:t>
      </w:r>
      <w:r w:rsidRPr="00886F38">
        <w:t xml:space="preserve"> be emphasised that agreement at the time of application is imperative. Further, the development of an IP management strategy should be a requirement alongside the funding agreement of all CRCs and CRC-Ps.</w:t>
      </w:r>
    </w:p>
    <w:p w14:paraId="27F71A86" w14:textId="77777777" w:rsidR="00F16AF1" w:rsidRPr="00886F38" w:rsidRDefault="00F16AF1" w:rsidP="002D34D5">
      <w:pPr>
        <w:pStyle w:val="BodyText"/>
      </w:pPr>
      <w:r w:rsidRPr="00886F38">
        <w:t xml:space="preserve">The IP Toolkit, currently being developed by the Department of Industry and Science and IP Australia, </w:t>
      </w:r>
      <w:r w:rsidR="001D2D38" w:rsidRPr="00886F38">
        <w:t>could be used</w:t>
      </w:r>
      <w:r w:rsidR="00ED6204">
        <w:t xml:space="preserve"> as </w:t>
      </w:r>
      <w:r w:rsidRPr="00886F38">
        <w:t>guidance for both CRCs and CRC</w:t>
      </w:r>
      <w:r w:rsidR="006A6F43" w:rsidRPr="00886F38">
        <w:noBreakHyphen/>
      </w:r>
      <w:r w:rsidR="00A751F9">
        <w:t>Ps.</w:t>
      </w:r>
    </w:p>
    <w:p w14:paraId="4DC15E0C" w14:textId="77777777" w:rsidR="00F16AF1" w:rsidRPr="00886F38" w:rsidRDefault="00F16AF1" w:rsidP="001B22B5">
      <w:pPr>
        <w:pStyle w:val="Heading4"/>
        <w:ind w:left="0" w:firstLine="0"/>
        <w:rPr>
          <w:rFonts w:ascii="Arial" w:hAnsi="Arial" w:cs="Arial"/>
          <w:color w:val="auto"/>
        </w:rPr>
      </w:pPr>
      <w:bookmarkStart w:id="26" w:name="_Toc415042849"/>
      <w:r w:rsidRPr="00886F38">
        <w:rPr>
          <w:rFonts w:ascii="Arial" w:hAnsi="Arial" w:cs="Arial"/>
          <w:color w:val="auto"/>
        </w:rPr>
        <w:t>Prioritising funding</w:t>
      </w:r>
      <w:bookmarkEnd w:id="26"/>
    </w:p>
    <w:p w14:paraId="0E41C442" w14:textId="77777777" w:rsidR="00F16AF1" w:rsidRPr="00886F38" w:rsidRDefault="00F16AF1" w:rsidP="002D34D5">
      <w:pPr>
        <w:pStyle w:val="BodyText"/>
      </w:pPr>
      <w:r w:rsidRPr="00886F38">
        <w:t xml:space="preserve">The review recommends that future CRC and CRC-P funding should be prioritised to support research that delivers outcomes in </w:t>
      </w:r>
      <w:r w:rsidR="001D2D38" w:rsidRPr="00886F38">
        <w:t xml:space="preserve">the </w:t>
      </w:r>
      <w:r w:rsidRPr="00886F38">
        <w:t>growth sectors</w:t>
      </w:r>
      <w:r w:rsidR="006F5FE8" w:rsidRPr="00886F38">
        <w:t xml:space="preserve"> identified by government</w:t>
      </w:r>
      <w:r w:rsidRPr="00886F38">
        <w:t>. While the programme should prioritise these sectors it should not do so exclusively to ensure it can respond to emerging priorities and meritorious proposals from other sectors.</w:t>
      </w:r>
    </w:p>
    <w:p w14:paraId="0C12DFE9" w14:textId="77777777" w:rsidR="00F16AF1" w:rsidRPr="00886F38" w:rsidRDefault="00F16AF1" w:rsidP="002D34D5">
      <w:pPr>
        <w:pStyle w:val="BodyText"/>
      </w:pPr>
      <w:r w:rsidRPr="00886F38">
        <w:t xml:space="preserve">This recognises the need to build scale and depth in specialist areas important to the Australian economy, </w:t>
      </w:r>
      <w:r w:rsidR="00BF17AC" w:rsidRPr="00886F38">
        <w:t xml:space="preserve">both </w:t>
      </w:r>
      <w:r w:rsidRPr="00886F38">
        <w:t>in the short term (through CRC-Ps) and over the medium to long term (through CRCs)</w:t>
      </w:r>
      <w:r w:rsidR="008820B8" w:rsidRPr="00886F38">
        <w:t xml:space="preserve">, while still supporting and developing other areas which may become </w:t>
      </w:r>
      <w:r w:rsidR="001D2D38" w:rsidRPr="00886F38">
        <w:t>industries of the future in</w:t>
      </w:r>
      <w:r w:rsidR="008820B8" w:rsidRPr="00886F38">
        <w:t xml:space="preserve"> Australia</w:t>
      </w:r>
      <w:r w:rsidRPr="00886F38">
        <w:t>.</w:t>
      </w:r>
    </w:p>
    <w:p w14:paraId="4B24AF82" w14:textId="77777777" w:rsidR="00F16AF1" w:rsidRPr="00886F38" w:rsidRDefault="00F16AF1" w:rsidP="002D34D5">
      <w:pPr>
        <w:pStyle w:val="BodyText"/>
      </w:pPr>
      <w:r w:rsidRPr="00886F38">
        <w:t>Such an approach to prioritisation also aligns with advice from Professor Ian Chubb, Australia’s Chief Scientist, who argues that individual actions (such as administering the CRC Programme) must be:</w:t>
      </w:r>
    </w:p>
    <w:p w14:paraId="596DDB1A" w14:textId="77777777" w:rsidR="00F16AF1" w:rsidRPr="00886F38" w:rsidRDefault="00F16AF1" w:rsidP="00DE0679">
      <w:pPr>
        <w:pStyle w:val="ListBullet"/>
      </w:pPr>
      <w:r w:rsidRPr="00886F38">
        <w:t>aligned to clearly articulated national goals</w:t>
      </w:r>
      <w:r w:rsidR="006F5FE8" w:rsidRPr="00886F38">
        <w:t>;</w:t>
      </w:r>
    </w:p>
    <w:p w14:paraId="667B5C38" w14:textId="77777777" w:rsidR="00F16AF1" w:rsidRPr="00886F38" w:rsidRDefault="00F16AF1" w:rsidP="00DE0679">
      <w:pPr>
        <w:pStyle w:val="ListBullet"/>
      </w:pPr>
      <w:r w:rsidRPr="00886F38">
        <w:t>focused on priority areas where we have comparative advantage or critical need</w:t>
      </w:r>
      <w:r w:rsidR="006F5FE8" w:rsidRPr="00886F38">
        <w:t>; and</w:t>
      </w:r>
    </w:p>
    <w:p w14:paraId="258DC024" w14:textId="77777777" w:rsidR="00F16AF1" w:rsidRPr="00886F38" w:rsidRDefault="00F16AF1" w:rsidP="00DE0679">
      <w:pPr>
        <w:pStyle w:val="ListBullet"/>
      </w:pPr>
      <w:r w:rsidRPr="00886F38">
        <w:t>scaled appropriately to achieve far-reaching and enduring change.</w:t>
      </w:r>
    </w:p>
    <w:p w14:paraId="4A10D8DA" w14:textId="77777777" w:rsidR="00F16AF1" w:rsidRPr="00886F38" w:rsidRDefault="00F16AF1" w:rsidP="002D34D5">
      <w:pPr>
        <w:pStyle w:val="BodyText"/>
      </w:pPr>
      <w:r w:rsidRPr="00886F38">
        <w:t xml:space="preserve">The review notes that the current programme guidelines allow the Minister to call for applications in specific areas which are generally known as ‘priority areas’. Priority areas have been a feature of the programme for various selection rounds including </w:t>
      </w:r>
      <w:r w:rsidR="006F5FE8" w:rsidRPr="00886F38">
        <w:t>selection r</w:t>
      </w:r>
      <w:r w:rsidRPr="00886F38">
        <w:t>ounds 13 (2010) through to 16 (2013) and have focused on broadly defined areas in manufacturing and social innovation a</w:t>
      </w:r>
      <w:r w:rsidR="00A751F9">
        <w:t>s well as regional communities.</w:t>
      </w:r>
    </w:p>
    <w:p w14:paraId="035C10BF" w14:textId="77777777" w:rsidR="00F16AF1" w:rsidRPr="00886F38" w:rsidRDefault="00F16AF1" w:rsidP="002D34D5">
      <w:pPr>
        <w:pStyle w:val="BodyText"/>
      </w:pPr>
      <w:r w:rsidRPr="00886F38">
        <w:t>Unfortunately</w:t>
      </w:r>
      <w:r w:rsidR="00BF17AC" w:rsidRPr="00886F38">
        <w:t>,</w:t>
      </w:r>
      <w:r w:rsidRPr="00886F38">
        <w:t xml:space="preserve"> the ad hoc nature of calling for applications in this way did not result in a significant shift to that type of application or activity</w:t>
      </w:r>
      <w:r w:rsidR="006F5FE8" w:rsidRPr="00886F38">
        <w:t xml:space="preserve">. It </w:t>
      </w:r>
      <w:r w:rsidRPr="00886F38">
        <w:t xml:space="preserve">more often resulted in </w:t>
      </w:r>
      <w:r w:rsidRPr="00886F38">
        <w:lastRenderedPageBreak/>
        <w:t>applications that were underdeveloped or artificial as applicants tailored the activity to meet one or more priorit</w:t>
      </w:r>
      <w:r w:rsidR="007A03EB" w:rsidRPr="00886F38">
        <w:t>ies</w:t>
      </w:r>
      <w:r w:rsidR="00ED6204">
        <w:t xml:space="preserve"> o</w:t>
      </w:r>
      <w:r w:rsidRPr="00886F38">
        <w:t>n the assumption that it would give them a competitive advantage. Feedback from stakeholders questioned the value of having priority areas in this way, particularly as they have been unpredictable and typically announced at the same time as the opening of the selection round which leaves minimal time t</w:t>
      </w:r>
      <w:r w:rsidR="00676CF2">
        <w:t>o develop quality applications.</w:t>
      </w:r>
    </w:p>
    <w:p w14:paraId="7DFB11ED" w14:textId="77777777" w:rsidR="00F16AF1" w:rsidRPr="00886F38" w:rsidRDefault="00F16AF1" w:rsidP="002D34D5">
      <w:pPr>
        <w:pStyle w:val="BodyText"/>
        <w:rPr>
          <w:b/>
        </w:rPr>
      </w:pPr>
      <w:r w:rsidRPr="00886F38">
        <w:t xml:space="preserve">While noting the above, the review believes that if funding priorities </w:t>
      </w:r>
      <w:r w:rsidR="00BF17AC" w:rsidRPr="00886F38">
        <w:t xml:space="preserve">as recommended </w:t>
      </w:r>
      <w:r w:rsidRPr="00886F38">
        <w:t xml:space="preserve">are managed appropriately and made a consistent feature of the programme, </w:t>
      </w:r>
      <w:r w:rsidR="007A03EB" w:rsidRPr="00886F38">
        <w:t>this</w:t>
      </w:r>
      <w:r w:rsidRPr="00886F38">
        <w:t xml:space="preserve"> can be a successful feature </w:t>
      </w:r>
      <w:r w:rsidR="00BF17AC" w:rsidRPr="00886F38">
        <w:t xml:space="preserve">that </w:t>
      </w:r>
      <w:r w:rsidRPr="00886F38">
        <w:t>deliver</w:t>
      </w:r>
      <w:r w:rsidR="00BF17AC" w:rsidRPr="00886F38">
        <w:t>s</w:t>
      </w:r>
      <w:r w:rsidRPr="00886F38">
        <w:t xml:space="preserve"> focus and scale.</w:t>
      </w:r>
      <w:r w:rsidRPr="00886F38">
        <w:rPr>
          <w:b/>
        </w:rPr>
        <w:br w:type="page"/>
      </w:r>
    </w:p>
    <w:p w14:paraId="23EBA730" w14:textId="77777777" w:rsidR="001B22B5" w:rsidRPr="00886F38" w:rsidRDefault="001B22B5" w:rsidP="001B22B5">
      <w:pPr>
        <w:pStyle w:val="Heading3"/>
        <w:ind w:left="0" w:firstLine="0"/>
      </w:pPr>
      <w:bookmarkStart w:id="27" w:name="_Toc415042850"/>
      <w:r w:rsidRPr="00886F38">
        <w:lastRenderedPageBreak/>
        <w:t>Term of Reference C</w:t>
      </w:r>
      <w:bookmarkEnd w:id="27"/>
    </w:p>
    <w:p w14:paraId="22799A1B" w14:textId="77777777" w:rsidR="00F16AF1" w:rsidRPr="00886F38" w:rsidRDefault="00F16AF1" w:rsidP="00F16AF1">
      <w:pPr>
        <w:spacing w:line="240" w:lineRule="auto"/>
        <w:rPr>
          <w:rStyle w:val="Strong"/>
        </w:rPr>
      </w:pPr>
      <w:r w:rsidRPr="00886F38">
        <w:rPr>
          <w:rStyle w:val="Strong"/>
        </w:rPr>
        <w:t>How can the government’s investment in the CRC Programme further drive more frequent and effective collaboration between industry and the research sector?</w:t>
      </w:r>
    </w:p>
    <w:p w14:paraId="2E19C418" w14:textId="77777777" w:rsidR="00F16AF1" w:rsidRPr="00886F38" w:rsidRDefault="00F16AF1" w:rsidP="00676CF2">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40" w:lineRule="auto"/>
        <w:rPr>
          <w:rFonts w:eastAsiaTheme="minorHAnsi" w:cs="Arial"/>
          <w:color w:val="auto"/>
        </w:rPr>
      </w:pPr>
      <w:r w:rsidRPr="00886F38">
        <w:rPr>
          <w:rFonts w:eastAsiaTheme="minorHAnsi" w:cs="Arial"/>
          <w:color w:val="auto"/>
        </w:rPr>
        <w:t xml:space="preserve">Revised CRC Programme objectives that include a </w:t>
      </w:r>
      <w:r w:rsidR="001D2D38" w:rsidRPr="00886F38">
        <w:rPr>
          <w:rFonts w:eastAsiaTheme="minorHAnsi" w:cs="Arial"/>
          <w:color w:val="auto"/>
        </w:rPr>
        <w:t xml:space="preserve">stronger </w:t>
      </w:r>
      <w:r w:rsidRPr="00886F38">
        <w:rPr>
          <w:rFonts w:eastAsiaTheme="minorHAnsi" w:cs="Arial"/>
          <w:color w:val="auto"/>
        </w:rPr>
        <w:t>focus on industry and research sector participation will encourage more researchers to collaborate with more industry partners including SMEs.</w:t>
      </w:r>
    </w:p>
    <w:p w14:paraId="2D848EBB" w14:textId="77777777" w:rsidR="00F16AF1" w:rsidRPr="00886F38" w:rsidRDefault="00F16AF1" w:rsidP="002D34D5">
      <w:pPr>
        <w:pStyle w:val="BodyText"/>
      </w:pPr>
      <w:r w:rsidRPr="00886F38">
        <w:t>The new Industry Innovation and Competitiveness Agenda aims to lift the productivity, competitiveness and responsiveness of the Australian economy through four goals, one of which is the development of an industry policy that fosters innovation and entrepreneurship. A key strategy to achieving this goal is improving collaboration between Australian businesses and researchers to devel</w:t>
      </w:r>
      <w:r w:rsidR="00676CF2">
        <w:t>op and commercialise new ideas.</w:t>
      </w:r>
    </w:p>
    <w:p w14:paraId="516476BF" w14:textId="77777777" w:rsidR="00F16AF1" w:rsidRPr="00886F38" w:rsidRDefault="00F16AF1" w:rsidP="002D34D5">
      <w:pPr>
        <w:pStyle w:val="BodyText"/>
      </w:pPr>
      <w:r w:rsidRPr="00886F38">
        <w:t xml:space="preserve">The level of collaboration between Australian businesses and research organisations is low by international standards, despite significant improvement over the last decade. Across almost all industry sectors and firm sizes, the proportion of </w:t>
      </w:r>
      <w:r w:rsidR="00A95F49" w:rsidRPr="00886F38">
        <w:t xml:space="preserve">innovating </w:t>
      </w:r>
      <w:r w:rsidRPr="00886F38">
        <w:t>Australian businesses engaged in research collaborations with universities and other higher education institutions has increased from only 1.6% in 2006-07 to 9.7% in 2012-13.</w:t>
      </w:r>
      <w:r w:rsidR="00665912" w:rsidRPr="00886F38">
        <w:rPr>
          <w:vertAlign w:val="superscript"/>
        </w:rPr>
        <w:footnoteReference w:id="2"/>
      </w:r>
      <w:r w:rsidRPr="00886F38">
        <w:t xml:space="preserve"> Even so, Australia remains at or close to the bottom of the </w:t>
      </w:r>
      <w:r w:rsidR="006F5FE8" w:rsidRPr="00886F38">
        <w:t>Organisation for Economic Co-operation and Development (</w:t>
      </w:r>
      <w:r w:rsidRPr="00886F38">
        <w:t>OECD</w:t>
      </w:r>
      <w:r w:rsidR="006F5FE8" w:rsidRPr="00886F38">
        <w:t>)</w:t>
      </w:r>
      <w:r w:rsidRPr="00886F38">
        <w:t xml:space="preserve"> on this measure.</w:t>
      </w:r>
    </w:p>
    <w:p w14:paraId="162C5CEC" w14:textId="77777777" w:rsidR="00F16AF1" w:rsidRPr="00886F38" w:rsidRDefault="00F16AF1" w:rsidP="002D34D5">
      <w:pPr>
        <w:pStyle w:val="BodyText"/>
      </w:pPr>
      <w:r w:rsidRPr="00886F38">
        <w:t xml:space="preserve">Increasing collaboration </w:t>
      </w:r>
      <w:r w:rsidR="002403A5" w:rsidRPr="00886F38">
        <w:t xml:space="preserve">in </w:t>
      </w:r>
      <w:r w:rsidRPr="00886F38">
        <w:t xml:space="preserve">the Australian economy is vital. The </w:t>
      </w:r>
      <w:r w:rsidRPr="00DE0679">
        <w:rPr>
          <w:rStyle w:val="Emphasis"/>
        </w:rPr>
        <w:t>Australian Innovation System Report 2014</w:t>
      </w:r>
      <w:r w:rsidRPr="00886F38">
        <w:t xml:space="preserve"> notes that</w:t>
      </w:r>
      <w:r w:rsidR="001B22B5" w:rsidRPr="00886F38">
        <w:t>:</w:t>
      </w:r>
    </w:p>
    <w:p w14:paraId="3EF593EA" w14:textId="77777777" w:rsidR="002403A5" w:rsidRPr="00DE0679" w:rsidRDefault="002403A5" w:rsidP="000A4704">
      <w:pPr>
        <w:spacing w:line="240" w:lineRule="auto"/>
        <w:rPr>
          <w:rStyle w:val="Emphasis"/>
        </w:rPr>
      </w:pPr>
      <w:r w:rsidRPr="00DE0679">
        <w:rPr>
          <w:rStyle w:val="Emphasis"/>
        </w:rPr>
        <w:t>Australia’s research strengths generally align well with our existing trade</w:t>
      </w:r>
    </w:p>
    <w:p w14:paraId="6E384B1A" w14:textId="77777777" w:rsidR="002403A5" w:rsidRPr="00DE0679" w:rsidRDefault="002403A5" w:rsidP="000A4704">
      <w:pPr>
        <w:spacing w:line="240" w:lineRule="auto"/>
        <w:rPr>
          <w:rStyle w:val="Emphasis"/>
        </w:rPr>
      </w:pPr>
      <w:r w:rsidRPr="00DE0679">
        <w:rPr>
          <w:rStyle w:val="Emphasis"/>
        </w:rPr>
        <w:t>strengths. However, some research or innovation strengths remain</w:t>
      </w:r>
    </w:p>
    <w:p w14:paraId="00A60F26" w14:textId="77777777" w:rsidR="00DF3960" w:rsidRDefault="002403A5" w:rsidP="002403A5">
      <w:pPr>
        <w:spacing w:line="240" w:lineRule="auto"/>
        <w:rPr>
          <w:rStyle w:val="Emphasis"/>
        </w:rPr>
      </w:pPr>
      <w:r w:rsidRPr="00DE0679">
        <w:rPr>
          <w:rStyle w:val="Emphasis"/>
        </w:rPr>
        <w:t xml:space="preserve">underdeveloped… If research commercialisation and industry–research commercialisation were stronger in Australia, supported by a larger high-risk capital market, these strengths might be better leveraged into high-growth industries. </w:t>
      </w:r>
      <w:r w:rsidRPr="00DE0679">
        <w:rPr>
          <w:rStyle w:val="Emphasis"/>
          <w:vertAlign w:val="superscript"/>
        </w:rPr>
        <w:footnoteReference w:id="3"/>
      </w:r>
      <w:r w:rsidR="00DF3960">
        <w:rPr>
          <w:rStyle w:val="Emphasis"/>
        </w:rPr>
        <w:br w:type="page"/>
      </w:r>
    </w:p>
    <w:p w14:paraId="7D9FCB17" w14:textId="77777777" w:rsidR="00F16AF1" w:rsidRPr="00886F38" w:rsidRDefault="00F16AF1" w:rsidP="002D34D5">
      <w:pPr>
        <w:pStyle w:val="BodyText"/>
      </w:pPr>
      <w:r w:rsidRPr="00886F38">
        <w:lastRenderedPageBreak/>
        <w:t>This section examines the broader issues surrounding collaboration and the sub-questions in the terms of reference:</w:t>
      </w:r>
    </w:p>
    <w:p w14:paraId="763F2A96" w14:textId="77777777" w:rsidR="00F16AF1" w:rsidRPr="00886F38" w:rsidRDefault="00ED6204" w:rsidP="00DE0679">
      <w:pPr>
        <w:pStyle w:val="ListBullet"/>
      </w:pPr>
      <w:r>
        <w:t>d</w:t>
      </w:r>
      <w:r w:rsidR="00F16AF1" w:rsidRPr="00886F38">
        <w:t>oes the CRC Programme encourage industry and the research sector to work together in new ways or engage new players?</w:t>
      </w:r>
    </w:p>
    <w:p w14:paraId="7051C42F" w14:textId="77777777" w:rsidR="00F16AF1" w:rsidRPr="00886F38" w:rsidRDefault="00ED6204" w:rsidP="00DE0679">
      <w:pPr>
        <w:pStyle w:val="ListBullet"/>
      </w:pPr>
      <w:r>
        <w:t>d</w:t>
      </w:r>
      <w:r w:rsidR="00F16AF1" w:rsidRPr="00886F38">
        <w:t>oes the programme encourage universities to make a cultural change from focusing on publishing to focusing on collaboration and commercialisation?</w:t>
      </w:r>
    </w:p>
    <w:p w14:paraId="0BE03D7B" w14:textId="77777777" w:rsidR="00F16AF1" w:rsidRPr="00886F38" w:rsidRDefault="00ED6204" w:rsidP="00DE0679">
      <w:pPr>
        <w:pStyle w:val="ListBullet"/>
      </w:pPr>
      <w:r>
        <w:t>i</w:t>
      </w:r>
      <w:r w:rsidR="00F16AF1" w:rsidRPr="00886F38">
        <w:t>s the education and outreach element of CRCs addressing the workforce needs of industry and the research sector?</w:t>
      </w:r>
    </w:p>
    <w:p w14:paraId="34A35BA5" w14:textId="77777777" w:rsidR="00475C88" w:rsidRDefault="00475C88" w:rsidP="002D34D5">
      <w:pPr>
        <w:pStyle w:val="BodyText"/>
      </w:pPr>
      <w:r w:rsidRPr="00886F38">
        <w:t xml:space="preserve">In spite of recent improvements, the current level of research and industry collaboration still puts Australia behind almost all other OECD countries. </w:t>
      </w:r>
      <w:r w:rsidR="000A4704" w:rsidRPr="00886F38">
        <w:t xml:space="preserve">Analysis by the Department of Industry and Science based </w:t>
      </w:r>
      <w:r w:rsidR="0001332C">
        <w:t xml:space="preserve">on </w:t>
      </w:r>
      <w:r w:rsidR="000A4704" w:rsidRPr="00886F38">
        <w:t>the latest ABS and OECD data suggests that t</w:t>
      </w:r>
      <w:r w:rsidRPr="00886F38">
        <w:t>o reach the top 10</w:t>
      </w:r>
      <w:r w:rsidR="000A4704" w:rsidRPr="00886F38">
        <w:t xml:space="preserve"> of the OECD</w:t>
      </w:r>
      <w:r w:rsidRPr="00886F38">
        <w:t>, 40% of Australian large firms and 20% of Australian SMEs would need to be engaged in research collaborations with universities. Reaching this level of collaboration would require significant cultural and behavioural changes in indus</w:t>
      </w:r>
      <w:r w:rsidR="00676CF2">
        <w:t>try and in the research sector.</w:t>
      </w:r>
    </w:p>
    <w:p w14:paraId="79FF991D" w14:textId="77777777" w:rsidR="009B411E" w:rsidRPr="00871174" w:rsidRDefault="009B411E" w:rsidP="002D34D5">
      <w:pPr>
        <w:pStyle w:val="BodyText"/>
        <w:rPr>
          <w:rStyle w:val="Strong"/>
        </w:rPr>
      </w:pPr>
      <w:r w:rsidRPr="00871174">
        <w:rPr>
          <w:rStyle w:val="Strong"/>
        </w:rPr>
        <w:t>Figure 1: SMEs collaborating on innovation with higher education institutions (as a percentage of all firms)</w:t>
      </w:r>
    </w:p>
    <w:p w14:paraId="5DA1D502" w14:textId="77777777" w:rsidR="00BC5310" w:rsidRDefault="00F96E9F" w:rsidP="002D34D5">
      <w:pPr>
        <w:pStyle w:val="BodyText"/>
        <w:rPr>
          <w:noProof/>
          <w:lang w:eastAsia="en-AU"/>
        </w:rPr>
      </w:pPr>
      <w:r>
        <w:rPr>
          <w:noProof/>
          <w:lang w:eastAsia="en-AU"/>
        </w:rPr>
        <w:drawing>
          <wp:inline distT="0" distB="0" distL="0" distR="0" wp14:anchorId="025A7E72" wp14:editId="64B1873F">
            <wp:extent cx="4572000" cy="2743200"/>
            <wp:effectExtent l="0" t="0" r="0" b="0"/>
            <wp:docPr id="6" name="Chart 6" descr="Line graph comparing Australian SMEs against OECD averages from 2002 to 2010 on collaboration on innovation with higher education institutions (as a percentage of all firms).&#10;Line 1: Australia – 2002-04 (1%), 2004-06 (3%), 2006-08 (4%) and 2008-10 (4%).&#10;Line 2: OECD average – 2002-04 (4%), 2004-06 (4%), 2006-08 (12%) and 2008-10 (14%).&#10;Line 3: OECD top ten average – 2002-04 (6%), 2004-06 (6%), 2006-08 (18%) and 2008-10 (22%)." title="SMEs collaborating on innovation with higher education institutions (as a percentage of all firm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475A816" w14:textId="77777777" w:rsidR="009B411E" w:rsidRDefault="009B411E" w:rsidP="009B411E">
      <w:pPr>
        <w:rPr>
          <w:rStyle w:val="CommentReference"/>
        </w:rPr>
      </w:pPr>
      <w:r w:rsidRPr="009B411E">
        <w:rPr>
          <w:rStyle w:val="CommentReference"/>
        </w:rPr>
        <w:t>Note</w:t>
      </w:r>
      <w:r>
        <w:rPr>
          <w:rStyle w:val="CommentReference"/>
        </w:rPr>
        <w:t xml:space="preserve"> 1</w:t>
      </w:r>
      <w:r w:rsidRPr="009B411E">
        <w:rPr>
          <w:rStyle w:val="CommentReference"/>
        </w:rPr>
        <w:t>: Australian data for 2006-08 is the average of the preceding and following years.</w:t>
      </w:r>
      <w:r>
        <w:rPr>
          <w:rStyle w:val="CommentReference"/>
        </w:rPr>
        <w:t xml:space="preserve"> </w:t>
      </w:r>
    </w:p>
    <w:p w14:paraId="50BE1F38" w14:textId="77777777" w:rsidR="009B411E" w:rsidRPr="009B411E" w:rsidRDefault="009B411E" w:rsidP="009B411E">
      <w:pPr>
        <w:rPr>
          <w:rStyle w:val="CommentReference"/>
        </w:rPr>
      </w:pPr>
      <w:r>
        <w:rPr>
          <w:rStyle w:val="CommentReference"/>
          <w:lang w:eastAsia="en-AU"/>
        </w:rPr>
        <w:t>Note 2</w:t>
      </w:r>
      <w:r w:rsidRPr="009B411E">
        <w:rPr>
          <w:rStyle w:val="CommentReference"/>
          <w:lang w:eastAsia="en-AU"/>
        </w:rPr>
        <w:t>: 2006-08 and 2008-10 data includes both universities and public research institutions</w:t>
      </w:r>
    </w:p>
    <w:p w14:paraId="28C08F45" w14:textId="77777777" w:rsidR="004E6EF0" w:rsidRDefault="004E6EF0">
      <w:pPr>
        <w:spacing w:line="240" w:lineRule="auto"/>
        <w:rPr>
          <w:rStyle w:val="Strong"/>
          <w:rFonts w:eastAsiaTheme="minorHAnsi"/>
          <w:szCs w:val="20"/>
        </w:rPr>
      </w:pPr>
      <w:r>
        <w:rPr>
          <w:rStyle w:val="Strong"/>
        </w:rPr>
        <w:br w:type="page"/>
      </w:r>
    </w:p>
    <w:p w14:paraId="7E45216E" w14:textId="77777777" w:rsidR="007D1145" w:rsidRPr="00871174" w:rsidRDefault="009B411E" w:rsidP="002D34D5">
      <w:pPr>
        <w:pStyle w:val="BodyText"/>
        <w:rPr>
          <w:rStyle w:val="Strong"/>
        </w:rPr>
      </w:pPr>
      <w:r w:rsidRPr="00871174">
        <w:rPr>
          <w:rStyle w:val="Strong"/>
        </w:rPr>
        <w:lastRenderedPageBreak/>
        <w:t>Figure 2: Large firms collaborating on innovation with higher education institutions (as a percentage of all firms)</w:t>
      </w:r>
    </w:p>
    <w:p w14:paraId="3D207139" w14:textId="77777777" w:rsidR="009B411E" w:rsidRDefault="00F96E9F" w:rsidP="002D34D5">
      <w:pPr>
        <w:pStyle w:val="BodyText"/>
      </w:pPr>
      <w:r>
        <w:rPr>
          <w:noProof/>
          <w:lang w:eastAsia="en-AU"/>
        </w:rPr>
        <w:drawing>
          <wp:inline distT="0" distB="0" distL="0" distR="0" wp14:anchorId="099E5FB2" wp14:editId="1BC9F80C">
            <wp:extent cx="4572000" cy="2743200"/>
            <wp:effectExtent l="0" t="0" r="0" b="0"/>
            <wp:docPr id="7" name="Chart 7" descr="Line graph comparing Australian large firms against OECD averages from 2002 to 2010 on collaboration on innovation with higher education institutions (as a percentage of all firms).&#10;Line 1: Australia – 2002-04 (4%), 2004-06 (10%), 2006-08 (7%) and 2008-10 (4%).&#10;Line 2: OECD average – 2002-04 (20%), 2004-06 (23%), 2006-08 (31%) and 2008-10 (34%).&#10;Line 3: OECD top ten average – 2002-04 (30%), 2004-06 (34%), 2006-08 (47%) and 2008-10 (52%)." title="Large firms collaborating on innovation with higher education institutions (as a percentage of all firms)"/>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0A45FB7" w14:textId="77777777" w:rsidR="00871174" w:rsidRDefault="00871174" w:rsidP="00871174">
      <w:pPr>
        <w:rPr>
          <w:rStyle w:val="CommentReference"/>
        </w:rPr>
      </w:pPr>
      <w:r w:rsidRPr="009B411E">
        <w:rPr>
          <w:rStyle w:val="CommentReference"/>
        </w:rPr>
        <w:t>Note</w:t>
      </w:r>
      <w:r>
        <w:rPr>
          <w:rStyle w:val="CommentReference"/>
        </w:rPr>
        <w:t xml:space="preserve"> 1</w:t>
      </w:r>
      <w:r w:rsidRPr="009B411E">
        <w:rPr>
          <w:rStyle w:val="CommentReference"/>
        </w:rPr>
        <w:t>: Australian data for 2006-08 is the average of the preceding and following years.</w:t>
      </w:r>
      <w:r>
        <w:rPr>
          <w:rStyle w:val="CommentReference"/>
        </w:rPr>
        <w:t xml:space="preserve"> </w:t>
      </w:r>
    </w:p>
    <w:p w14:paraId="5CF8B84F" w14:textId="77777777" w:rsidR="00871174" w:rsidRDefault="00871174" w:rsidP="006452AF">
      <w:pPr>
        <w:spacing w:after="120"/>
        <w:rPr>
          <w:rStyle w:val="CommentReference"/>
          <w:lang w:eastAsia="en-AU"/>
        </w:rPr>
      </w:pPr>
      <w:r>
        <w:rPr>
          <w:rStyle w:val="CommentReference"/>
          <w:lang w:eastAsia="en-AU"/>
        </w:rPr>
        <w:t>Note 2</w:t>
      </w:r>
      <w:r w:rsidRPr="009B411E">
        <w:rPr>
          <w:rStyle w:val="CommentReference"/>
          <w:lang w:eastAsia="en-AU"/>
        </w:rPr>
        <w:t>: 2006-08 and 2008-10 data includes both universities and public research institutions</w:t>
      </w:r>
    </w:p>
    <w:p w14:paraId="4CC39DD1" w14:textId="77777777" w:rsidR="000D3D9A" w:rsidRPr="00886F38" w:rsidRDefault="007A03EB" w:rsidP="002D34D5">
      <w:pPr>
        <w:pStyle w:val="BodyText"/>
      </w:pPr>
      <w:r w:rsidRPr="00886F38">
        <w:t>While t</w:t>
      </w:r>
      <w:r w:rsidR="00F16AF1" w:rsidRPr="00886F38">
        <w:t>he</w:t>
      </w:r>
      <w:r w:rsidR="00AB337C" w:rsidRPr="00886F38">
        <w:t xml:space="preserve"> CRC</w:t>
      </w:r>
      <w:r w:rsidR="00F16AF1" w:rsidRPr="00886F38">
        <w:t xml:space="preserve"> </w:t>
      </w:r>
      <w:r w:rsidR="00AB337C" w:rsidRPr="00886F38">
        <w:t>P</w:t>
      </w:r>
      <w:r w:rsidR="00F16AF1" w:rsidRPr="00886F38">
        <w:t xml:space="preserve">rogramme attracted some criticism from stakeholders for failing to lift Australia’s industry and research collaboration, it needs to be understood that </w:t>
      </w:r>
      <w:r w:rsidR="00AB337C" w:rsidRPr="00886F38">
        <w:t>it</w:t>
      </w:r>
      <w:r w:rsidR="00F16AF1" w:rsidRPr="00886F38">
        <w:t xml:space="preserve"> is only one component of the Australian science, research and innovation landscape.</w:t>
      </w:r>
      <w:r w:rsidR="000D3D9A" w:rsidRPr="00886F38">
        <w:t xml:space="preserve"> The </w:t>
      </w:r>
      <w:r w:rsidR="00AB337C" w:rsidRPr="00886F38">
        <w:t>programme</w:t>
      </w:r>
      <w:r w:rsidR="000D3D9A" w:rsidRPr="00886F38">
        <w:t xml:space="preserve"> </w:t>
      </w:r>
      <w:r w:rsidR="00AB337C" w:rsidRPr="00886F38">
        <w:t xml:space="preserve">continues to </w:t>
      </w:r>
      <w:r w:rsidR="000D3D9A" w:rsidRPr="00886F38">
        <w:t>hold great potential for increasing collaboration between industry</w:t>
      </w:r>
      <w:r w:rsidR="004F7617">
        <w:t xml:space="preserve"> and research</w:t>
      </w:r>
      <w:r w:rsidR="000D3D9A" w:rsidRPr="00886F38">
        <w:t>, but this can only be achieved if it is a requirement that industry, whether part of a growth sector or not, is actively involved in the development of CRC and CRC-P proposals. Industry should also be actively involved in the subsequent administration, governance and management of any partnershi</w:t>
      </w:r>
      <w:r w:rsidR="00676CF2">
        <w:t>p funded through the programme.</w:t>
      </w:r>
    </w:p>
    <w:p w14:paraId="078A4314" w14:textId="77777777" w:rsidR="00F16AF1" w:rsidRPr="00886F38" w:rsidRDefault="007A03EB" w:rsidP="002D34D5">
      <w:pPr>
        <w:pStyle w:val="BodyText"/>
      </w:pPr>
      <w:r w:rsidRPr="00886F38">
        <w:t xml:space="preserve">It is noted that CRC </w:t>
      </w:r>
      <w:r w:rsidR="00AB337C" w:rsidRPr="00886F38">
        <w:t>P</w:t>
      </w:r>
      <w:r w:rsidR="00F16AF1" w:rsidRPr="00886F38">
        <w:t xml:space="preserve">rogramme funding has declined over time relative to the broader Commonwealth science, research and innovation (SRI) budget, with funding levels dropping from four per cent of the total SRI budget in 1998 to around three per cent in 2007 and 1.6 per </w:t>
      </w:r>
      <w:r w:rsidR="00676CF2">
        <w:t>cent in 2014</w:t>
      </w:r>
      <w:r w:rsidR="00676CF2">
        <w:noBreakHyphen/>
        <w:t>15.</w:t>
      </w:r>
    </w:p>
    <w:p w14:paraId="5E3C1C2C" w14:textId="77777777" w:rsidR="00F16AF1" w:rsidRPr="00886F38" w:rsidRDefault="00F16AF1" w:rsidP="001B22B5">
      <w:pPr>
        <w:pStyle w:val="Heading4"/>
        <w:ind w:left="0" w:firstLine="0"/>
        <w:rPr>
          <w:rFonts w:ascii="Arial" w:hAnsi="Arial" w:cs="Arial"/>
          <w:color w:val="auto"/>
        </w:rPr>
      </w:pPr>
      <w:bookmarkStart w:id="28" w:name="_Toc415042851"/>
      <w:r w:rsidRPr="00886F38">
        <w:rPr>
          <w:rFonts w:ascii="Arial" w:hAnsi="Arial" w:cs="Arial"/>
          <w:color w:val="auto"/>
        </w:rPr>
        <w:t>Attracting more industry and research players</w:t>
      </w:r>
      <w:bookmarkEnd w:id="28"/>
    </w:p>
    <w:p w14:paraId="4311AFE2" w14:textId="77777777" w:rsidR="00F16AF1" w:rsidRPr="00886F38" w:rsidRDefault="007A03EB" w:rsidP="002D34D5">
      <w:pPr>
        <w:pStyle w:val="BodyText"/>
      </w:pPr>
      <w:r w:rsidRPr="00886F38">
        <w:t xml:space="preserve">Currently the 35 </w:t>
      </w:r>
      <w:r w:rsidR="00AB337C" w:rsidRPr="00886F38">
        <w:t>CRCs</w:t>
      </w:r>
      <w:r w:rsidRPr="00886F38">
        <w:t xml:space="preserve"> </w:t>
      </w:r>
      <w:r w:rsidR="00F16AF1" w:rsidRPr="00886F38">
        <w:t xml:space="preserve">reflect the sector-based funding trends since the programme’s inception. </w:t>
      </w:r>
      <w:r w:rsidR="000924C8">
        <w:t>Twenty-one</w:t>
      </w:r>
      <w:r w:rsidRPr="00886F38">
        <w:t xml:space="preserve"> are</w:t>
      </w:r>
      <w:r w:rsidR="00F16AF1" w:rsidRPr="00886F38">
        <w:t xml:space="preserve"> in the services sector</w:t>
      </w:r>
      <w:r w:rsidR="009E2211" w:rsidRPr="00886F38">
        <w:t>,</w:t>
      </w:r>
      <w:r w:rsidR="00F16AF1" w:rsidRPr="00886F38">
        <w:t xml:space="preserve"> which includes medical science and technology, environment and ICT. The remainder are in agriculture, forestry and fishing (</w:t>
      </w:r>
      <w:r w:rsidR="00522EC0">
        <w:t>7</w:t>
      </w:r>
      <w:r w:rsidR="00F16AF1" w:rsidRPr="00886F38">
        <w:t>), manufacturing (</w:t>
      </w:r>
      <w:r w:rsidR="00522EC0">
        <w:t>5</w:t>
      </w:r>
      <w:r w:rsidR="00F16AF1" w:rsidRPr="00886F38">
        <w:t>) and mining (</w:t>
      </w:r>
      <w:r w:rsidR="00522EC0">
        <w:t>2</w:t>
      </w:r>
      <w:r w:rsidR="00C52E04">
        <w:t>).</w:t>
      </w:r>
    </w:p>
    <w:p w14:paraId="18953A29" w14:textId="77777777" w:rsidR="00F16AF1" w:rsidRPr="00886F38" w:rsidRDefault="009E2211" w:rsidP="002D34D5">
      <w:pPr>
        <w:pStyle w:val="BodyText"/>
      </w:pPr>
      <w:r w:rsidRPr="00886F38">
        <w:t>Historically, h</w:t>
      </w:r>
      <w:r w:rsidR="00F16AF1" w:rsidRPr="00886F38">
        <w:t xml:space="preserve">ealth, medical and agricultural consortia have been particularly good at coming together for a shared purpose and making use of pre-existing collaborative </w:t>
      </w:r>
      <w:r w:rsidR="00F16AF1" w:rsidRPr="00886F38">
        <w:lastRenderedPageBreak/>
        <w:t>partnerships to bring larger scale, more complex and risky</w:t>
      </w:r>
      <w:r w:rsidR="00C52E04">
        <w:t xml:space="preserve"> propositions to the programme.</w:t>
      </w:r>
    </w:p>
    <w:p w14:paraId="2FE4EE31" w14:textId="77777777" w:rsidR="00F16AF1" w:rsidRPr="00886F38" w:rsidRDefault="00F16AF1" w:rsidP="002D34D5">
      <w:pPr>
        <w:pStyle w:val="BodyText"/>
      </w:pPr>
      <w:r w:rsidRPr="00886F38">
        <w:t xml:space="preserve">Pre-competitive </w:t>
      </w:r>
      <w:r w:rsidR="00181C9D" w:rsidRPr="00886F38">
        <w:t xml:space="preserve">projects </w:t>
      </w:r>
      <w:r w:rsidRPr="00886F38">
        <w:t xml:space="preserve">more readily allow for openness to collaboration, as has been evident with the mining CRCs. Sectors where these conditions are not present may find shorter-term, bilateral collaborations more suitable, such as the initiatives offered under the Entrepreneurs’ Infrastructure Programme and the </w:t>
      </w:r>
      <w:r w:rsidR="00BF17AC" w:rsidRPr="00886F38">
        <w:t xml:space="preserve">recommended new </w:t>
      </w:r>
      <w:r w:rsidRPr="00886F38">
        <w:t>CRC-P s</w:t>
      </w:r>
      <w:r w:rsidR="00C52E04">
        <w:t>tream of the revised programme.</w:t>
      </w:r>
    </w:p>
    <w:p w14:paraId="7C92A996" w14:textId="77777777" w:rsidR="00F16AF1" w:rsidRPr="00886F38" w:rsidRDefault="00181C9D" w:rsidP="002D34D5">
      <w:pPr>
        <w:pStyle w:val="BodyText"/>
      </w:pPr>
      <w:r w:rsidRPr="00886F38">
        <w:t>C</w:t>
      </w:r>
      <w:r w:rsidR="00F16AF1" w:rsidRPr="00886F38">
        <w:t>urrent</w:t>
      </w:r>
      <w:r w:rsidRPr="00886F38">
        <w:t>ly all CRCs</w:t>
      </w:r>
      <w:r w:rsidR="00F16AF1" w:rsidRPr="00886F38">
        <w:t xml:space="preserve"> </w:t>
      </w:r>
      <w:r w:rsidRPr="00886F38">
        <w:t>must</w:t>
      </w:r>
      <w:r w:rsidR="00F16AF1" w:rsidRPr="00886F38">
        <w:t xml:space="preserve"> have at least one Australian university participant. However, it is important that the expertise of the wider publicly funded research sector, including the publicly funded research agencies and medical research institutes, </w:t>
      </w:r>
      <w:r w:rsidR="001662A8">
        <w:t xml:space="preserve">is </w:t>
      </w:r>
      <w:r w:rsidRPr="00886F38">
        <w:t xml:space="preserve">encouraged to participate in </w:t>
      </w:r>
      <w:r w:rsidR="00F16AF1" w:rsidRPr="00886F38">
        <w:t xml:space="preserve">the programme. Indeed both the </w:t>
      </w:r>
      <w:r w:rsidR="00F16AF1" w:rsidRPr="00886F38">
        <w:rPr>
          <w:rStyle w:val="Emphasis"/>
          <w:rFonts w:cs="Arial"/>
        </w:rPr>
        <w:t xml:space="preserve">Boosting the Commercial Returns from Research </w:t>
      </w:r>
      <w:r w:rsidR="00F16AF1" w:rsidRPr="00886F38">
        <w:t xml:space="preserve">and the </w:t>
      </w:r>
      <w:r w:rsidR="00F16AF1" w:rsidRPr="00886F38">
        <w:rPr>
          <w:rStyle w:val="Emphasis"/>
          <w:rFonts w:cs="Arial"/>
        </w:rPr>
        <w:t>Review to Strengthen Independent Medical Research Institutes</w:t>
      </w:r>
      <w:r w:rsidR="00F16AF1" w:rsidRPr="00886F38">
        <w:t xml:space="preserve"> discussion papers point to the benefits of increased collaboration between industry and the broader research sector. The revised programme objectives expand the focus to encourage participation from the broader research sector.</w:t>
      </w:r>
    </w:p>
    <w:p w14:paraId="2180CCE4" w14:textId="77777777" w:rsidR="009E2211" w:rsidRPr="00886F38" w:rsidRDefault="009E2211" w:rsidP="004B6147">
      <w:pPr>
        <w:pStyle w:val="Heading4"/>
      </w:pPr>
      <w:bookmarkStart w:id="29" w:name="_Toc415042852"/>
      <w:r w:rsidRPr="00886F38">
        <w:t>Funding arrangements</w:t>
      </w:r>
      <w:r w:rsidR="00157D77" w:rsidRPr="00886F38">
        <w:t xml:space="preserve"> and participant contributions</w:t>
      </w:r>
      <w:bookmarkEnd w:id="29"/>
    </w:p>
    <w:p w14:paraId="654101CB" w14:textId="77777777" w:rsidR="00F16AF1" w:rsidRPr="00886F38" w:rsidRDefault="00F16AF1" w:rsidP="002D34D5">
      <w:pPr>
        <w:pStyle w:val="BodyText"/>
      </w:pPr>
      <w:r w:rsidRPr="00886F38">
        <w:t>The traditional CRC model has involved the requirement for matched funding from participants. The review supports the continuation of this approach for CRCs and CRC-Ps.</w:t>
      </w:r>
    </w:p>
    <w:p w14:paraId="09EEC714" w14:textId="77777777" w:rsidR="00181C9D" w:rsidRPr="00886F38" w:rsidRDefault="00F16AF1" w:rsidP="002D34D5">
      <w:pPr>
        <w:pStyle w:val="BodyText"/>
        <w:rPr>
          <w:rFonts w:eastAsiaTheme="minorEastAsia"/>
        </w:rPr>
      </w:pPr>
      <w:r w:rsidRPr="00886F38">
        <w:t>The current programme guidelines require all CRC participants to contribute resources including cash and</w:t>
      </w:r>
      <w:r w:rsidR="00181C9D" w:rsidRPr="00886F38">
        <w:t>/or</w:t>
      </w:r>
      <w:r w:rsidRPr="00886F38">
        <w:t xml:space="preserve"> in-kind contributions that </w:t>
      </w:r>
      <w:r w:rsidR="00181C9D" w:rsidRPr="00886F38">
        <w:t xml:space="preserve">in total </w:t>
      </w:r>
      <w:r w:rsidRPr="00886F38">
        <w:t xml:space="preserve">must at least match the amount of CRC funding sought. </w:t>
      </w:r>
      <w:r w:rsidR="00181C9D" w:rsidRPr="00886F38">
        <w:t>This should be continued.</w:t>
      </w:r>
    </w:p>
    <w:p w14:paraId="2858072F" w14:textId="77777777" w:rsidR="00F16AF1" w:rsidRPr="00886F38" w:rsidRDefault="00F16AF1" w:rsidP="002D34D5">
      <w:pPr>
        <w:pStyle w:val="BodyText"/>
      </w:pPr>
      <w:r w:rsidRPr="00886F38">
        <w:t xml:space="preserve">Industry and research partners should continue to match CRC Programme funding including a cash component from industry. Details of partner funding contributions should be negotiated and outlined in the revised </w:t>
      </w:r>
      <w:r w:rsidR="00C52E04">
        <w:t>programme guidelines.</w:t>
      </w:r>
    </w:p>
    <w:p w14:paraId="54186366" w14:textId="77777777" w:rsidR="00F16AF1" w:rsidRPr="00886F38" w:rsidRDefault="00F16AF1" w:rsidP="002D34D5">
      <w:pPr>
        <w:pStyle w:val="BodyText"/>
      </w:pPr>
      <w:r w:rsidRPr="00886F38">
        <w:t xml:space="preserve">The programme has demonstrated that it is a successful collaborative research model, and should be rolled out across government more broadly. This would encourage more collaborative research linked to the key policy challenges for government. To avoid duplication of administration, </w:t>
      </w:r>
      <w:r w:rsidR="0060670E" w:rsidRPr="00886F38">
        <w:t xml:space="preserve">the Department of Industry and Science </w:t>
      </w:r>
      <w:r w:rsidRPr="00886F38">
        <w:t xml:space="preserve">could provide central administration for </w:t>
      </w:r>
      <w:r w:rsidR="00BF17AC" w:rsidRPr="00886F38">
        <w:t xml:space="preserve">policy initiatives funded by </w:t>
      </w:r>
      <w:r w:rsidRPr="00886F38">
        <w:t xml:space="preserve">other </w:t>
      </w:r>
      <w:r w:rsidR="00BF17AC" w:rsidRPr="00886F38">
        <w:t>portfolios</w:t>
      </w:r>
      <w:r w:rsidR="00BE5F0F" w:rsidRPr="00886F38">
        <w:t xml:space="preserve"> on a fee-for-service basis</w:t>
      </w:r>
      <w:r w:rsidRPr="00886F38">
        <w:t xml:space="preserve">. The review notes the </w:t>
      </w:r>
      <w:r w:rsidR="00181C9D" w:rsidRPr="00886F38">
        <w:t xml:space="preserve">administration of the Defence Future Capability Technology Centres (DFCTC) Programme </w:t>
      </w:r>
      <w:r w:rsidR="000A4704" w:rsidRPr="00886F38">
        <w:t xml:space="preserve">uses this </w:t>
      </w:r>
      <w:r w:rsidRPr="00886F38">
        <w:t xml:space="preserve">model and provides a good example of how it might be </w:t>
      </w:r>
      <w:r w:rsidR="00C52E04">
        <w:t>implemented across government.</w:t>
      </w:r>
    </w:p>
    <w:p w14:paraId="46AA2B47" w14:textId="77777777" w:rsidR="00F16AF1" w:rsidRPr="00886F38" w:rsidRDefault="00F16AF1" w:rsidP="001B22B5">
      <w:pPr>
        <w:pStyle w:val="Heading4"/>
        <w:ind w:left="0" w:firstLine="0"/>
        <w:rPr>
          <w:rFonts w:ascii="Arial" w:hAnsi="Arial" w:cs="Arial"/>
          <w:color w:val="auto"/>
        </w:rPr>
      </w:pPr>
      <w:bookmarkStart w:id="30" w:name="_Toc415042853"/>
      <w:r w:rsidRPr="00886F38">
        <w:rPr>
          <w:rFonts w:ascii="Arial" w:hAnsi="Arial" w:cs="Arial"/>
          <w:color w:val="auto"/>
        </w:rPr>
        <w:lastRenderedPageBreak/>
        <w:t>Research Culture</w:t>
      </w:r>
      <w:bookmarkEnd w:id="30"/>
    </w:p>
    <w:p w14:paraId="094B19DD" w14:textId="77777777" w:rsidR="00F16AF1" w:rsidRPr="00886F38" w:rsidRDefault="00F16AF1" w:rsidP="002D34D5">
      <w:pPr>
        <w:pStyle w:val="BodyText"/>
      </w:pPr>
      <w:r w:rsidRPr="00886F38">
        <w:t xml:space="preserve">The review received feedback from stakeholders that universities, and the CSIRO, were </w:t>
      </w:r>
      <w:r w:rsidR="00181C9D" w:rsidRPr="00886F38">
        <w:t xml:space="preserve">sometimes </w:t>
      </w:r>
      <w:r w:rsidRPr="00886F38">
        <w:t xml:space="preserve">difficult to engage and ‘unfriendly’ to work with. Almost all submissions, and each consultation session, noted there was little incentive </w:t>
      </w:r>
      <w:r w:rsidR="00BF17AC" w:rsidRPr="00886F38">
        <w:t>with</w:t>
      </w:r>
      <w:r w:rsidRPr="00886F38">
        <w:t>in universities to overcome the ‘publish or perish’ culture</w:t>
      </w:r>
      <w:r w:rsidR="00BF17AC" w:rsidRPr="00886F38">
        <w:t xml:space="preserve">. </w:t>
      </w:r>
      <w:r w:rsidR="003F4F17" w:rsidRPr="00886F38">
        <w:t>Changing this culture could</w:t>
      </w:r>
      <w:r w:rsidRPr="00886F38">
        <w:t xml:space="preserve"> see more researc</w:t>
      </w:r>
      <w:r w:rsidR="00C52E04">
        <w:t>hers engaging with industry.</w:t>
      </w:r>
    </w:p>
    <w:p w14:paraId="212BE950" w14:textId="77777777" w:rsidR="00F16AF1" w:rsidRPr="00886F38" w:rsidRDefault="00F16AF1" w:rsidP="002D34D5">
      <w:pPr>
        <w:pStyle w:val="BodyText"/>
      </w:pPr>
      <w:r w:rsidRPr="00886F38">
        <w:t xml:space="preserve">As noted in </w:t>
      </w:r>
      <w:r w:rsidR="00D04540">
        <w:t xml:space="preserve">the </w:t>
      </w:r>
      <w:r w:rsidRPr="00886F38">
        <w:rPr>
          <w:rStyle w:val="Emphasis"/>
          <w:rFonts w:cs="Arial"/>
        </w:rPr>
        <w:t>Boosting the Commercial Returns from Research</w:t>
      </w:r>
      <w:r w:rsidRPr="00886F38">
        <w:rPr>
          <w:i/>
          <w:iCs/>
        </w:rPr>
        <w:t xml:space="preserve"> </w:t>
      </w:r>
      <w:r w:rsidR="000A4704" w:rsidRPr="00886F38">
        <w:rPr>
          <w:iCs/>
        </w:rPr>
        <w:t xml:space="preserve">strategy </w:t>
      </w:r>
      <w:r w:rsidRPr="00886F38">
        <w:t xml:space="preserve">current funding mechanisms and policy settings – such as Australian Research Council and National Health and Medical Research Council competitive grants, research block grants and the Excellence in Research for Australia (ERA) initiative – provide strong motivation for universities to direct research effort </w:t>
      </w:r>
      <w:r w:rsidR="00181C9D" w:rsidRPr="00886F38">
        <w:t>to</w:t>
      </w:r>
      <w:r w:rsidR="00E91F9D" w:rsidRPr="00886F38">
        <w:t>ward</w:t>
      </w:r>
      <w:r w:rsidR="00181C9D" w:rsidRPr="00886F38">
        <w:t xml:space="preserve"> </w:t>
      </w:r>
      <w:r w:rsidRPr="00886F38">
        <w:t>producing peer-reviewed publications and winning competitive grants. These incentives are generally reflected in universities’ recruitment, perfor</w:t>
      </w:r>
      <w:r w:rsidR="00C52E04">
        <w:t>mance and promotion strategies.</w:t>
      </w:r>
    </w:p>
    <w:p w14:paraId="2CA2541E" w14:textId="77777777" w:rsidR="00F16AF1" w:rsidRPr="00886F38" w:rsidRDefault="00F16AF1" w:rsidP="002D34D5">
      <w:pPr>
        <w:pStyle w:val="BodyText"/>
      </w:pPr>
      <w:r w:rsidRPr="00886F38">
        <w:t xml:space="preserve">Adjustment of incentives to develop a collaboration-friendly research culture in universities is being progressed through the </w:t>
      </w:r>
      <w:r w:rsidR="000A4704" w:rsidRPr="00886F38">
        <w:t>strategy</w:t>
      </w:r>
      <w:r w:rsidRPr="00886F38">
        <w:t xml:space="preserve">. If this is achieved, it will positively impact on the CRC </w:t>
      </w:r>
      <w:r w:rsidR="00181C9D" w:rsidRPr="00886F38">
        <w:t>P</w:t>
      </w:r>
      <w:r w:rsidRPr="00886F38">
        <w:t>rogramme by encouraging more researchers to collaborate with industry. Continuing the programme with a revised focus is in step with this broader policy work and will help contribute to the g</w:t>
      </w:r>
      <w:r w:rsidR="0035028B">
        <w:t>overnment’s policy objectives.</w:t>
      </w:r>
    </w:p>
    <w:p w14:paraId="6A81C342" w14:textId="77777777" w:rsidR="00F16AF1" w:rsidRPr="00886F38" w:rsidRDefault="00F16AF1" w:rsidP="002B7D90">
      <w:pPr>
        <w:pStyle w:val="Heading4"/>
        <w:ind w:left="0" w:firstLine="0"/>
        <w:rPr>
          <w:rFonts w:ascii="Arial" w:hAnsi="Arial" w:cs="Arial"/>
          <w:color w:val="auto"/>
        </w:rPr>
      </w:pPr>
      <w:bookmarkStart w:id="31" w:name="_Toc415042854"/>
      <w:r w:rsidRPr="00886F38">
        <w:rPr>
          <w:rFonts w:ascii="Arial" w:hAnsi="Arial" w:cs="Arial"/>
          <w:color w:val="auto"/>
        </w:rPr>
        <w:t>Industry-relevant research training</w:t>
      </w:r>
      <w:bookmarkEnd w:id="31"/>
    </w:p>
    <w:p w14:paraId="0F2CBC4E" w14:textId="77777777" w:rsidR="00F16AF1" w:rsidRPr="00886F38" w:rsidRDefault="00F16AF1" w:rsidP="002D34D5">
      <w:pPr>
        <w:pStyle w:val="BodyText"/>
      </w:pPr>
      <w:r w:rsidRPr="00886F38">
        <w:t>The role of CRCs in industry-focused research training and in producing research graduates who go on</w:t>
      </w:r>
      <w:r w:rsidR="009E2211" w:rsidRPr="00886F38">
        <w:t xml:space="preserve"> </w:t>
      </w:r>
      <w:r w:rsidRPr="00886F38">
        <w:t>to obtain employment in industry is a valuable contribution to skills and capability development.</w:t>
      </w:r>
      <w:r w:rsidRPr="00886F38">
        <w:rPr>
          <w:vertAlign w:val="superscript"/>
        </w:rPr>
        <w:footnoteReference w:id="4"/>
      </w:r>
      <w:r w:rsidRPr="00886F38">
        <w:t xml:space="preserve"> A number of tailored training models, including ‘Balanced Scientist’ (Invasive Animals CRC), ‘Molecules to Medicine’ (Cancer Therapeutics CRC) and the ‘Industry Placement Award’ (</w:t>
      </w:r>
      <w:r w:rsidR="000924C8">
        <w:t>CRC for High Integrity Pork Production)</w:t>
      </w:r>
      <w:r w:rsidRPr="00886F38">
        <w:t xml:space="preserve"> have been successful in responding to and supporting sectoral indu</w:t>
      </w:r>
      <w:r w:rsidR="0035028B">
        <w:t>stry needs.</w:t>
      </w:r>
    </w:p>
    <w:p w14:paraId="4240C371" w14:textId="77777777" w:rsidR="00F16AF1" w:rsidRPr="00886F38" w:rsidRDefault="00F16AF1" w:rsidP="002D34D5">
      <w:pPr>
        <w:pStyle w:val="BodyText"/>
      </w:pPr>
      <w:r w:rsidRPr="00886F38">
        <w:t xml:space="preserve">These research training strategies provide opportunities for PhD students to undertake professional skills development as part of their research, which helps to </w:t>
      </w:r>
      <w:r w:rsidRPr="00886F38">
        <w:lastRenderedPageBreak/>
        <w:t>break down the cultural barriers between the research sector and ind</w:t>
      </w:r>
      <w:r w:rsidR="001662A8">
        <w:t>ustry and help deliver industry-</w:t>
      </w:r>
      <w:r w:rsidR="0035028B">
        <w:t>ready graduates.</w:t>
      </w:r>
    </w:p>
    <w:p w14:paraId="4996AE5A" w14:textId="77777777" w:rsidR="00F16AF1" w:rsidRPr="00886F38" w:rsidRDefault="00F16AF1" w:rsidP="002D34D5">
      <w:pPr>
        <w:pStyle w:val="BodyText"/>
      </w:pPr>
      <w:r w:rsidRPr="00886F38">
        <w:t>This element of the programme should be maintained. Consideration should be given to broadening these opportunities to work with industry partners in CRCs and CRC-Ps for students undertaking relevant vocational education and trai</w:t>
      </w:r>
      <w:r w:rsidR="0035028B">
        <w:t>ning and undergraduate courses.</w:t>
      </w:r>
    </w:p>
    <w:p w14:paraId="34AB868B" w14:textId="77777777" w:rsidR="0060670E" w:rsidRPr="00886F38" w:rsidRDefault="0060670E">
      <w:pPr>
        <w:spacing w:line="240" w:lineRule="auto"/>
        <w:rPr>
          <w:rFonts w:eastAsiaTheme="minorHAnsi" w:cs="Arial"/>
          <w:b/>
          <w:bCs/>
          <w:color w:val="auto"/>
          <w:sz w:val="32"/>
          <w:szCs w:val="26"/>
        </w:rPr>
      </w:pPr>
      <w:r w:rsidRPr="00886F38">
        <w:rPr>
          <w:rFonts w:cs="Arial"/>
          <w:color w:val="auto"/>
        </w:rPr>
        <w:br w:type="page"/>
      </w:r>
    </w:p>
    <w:p w14:paraId="33553FCA" w14:textId="77777777" w:rsidR="002B7D90" w:rsidRPr="00886F38" w:rsidRDefault="002B7D90" w:rsidP="002B7D90">
      <w:pPr>
        <w:pStyle w:val="Heading3"/>
        <w:ind w:left="0" w:firstLine="0"/>
      </w:pPr>
      <w:bookmarkStart w:id="32" w:name="_Toc415042855"/>
      <w:r w:rsidRPr="00886F38">
        <w:lastRenderedPageBreak/>
        <w:t>Term of Reference D</w:t>
      </w:r>
      <w:bookmarkEnd w:id="32"/>
    </w:p>
    <w:p w14:paraId="687CF22F" w14:textId="77777777" w:rsidR="00F16AF1" w:rsidRPr="00886F38" w:rsidRDefault="00F16AF1" w:rsidP="00F16AF1">
      <w:pPr>
        <w:spacing w:line="240" w:lineRule="auto"/>
        <w:rPr>
          <w:rStyle w:val="Strong"/>
        </w:rPr>
      </w:pPr>
      <w:r w:rsidRPr="00886F38">
        <w:rPr>
          <w:rStyle w:val="Strong"/>
        </w:rPr>
        <w:t>How could contractual and administrative requirements of the CRC Programme be streamlined?</w:t>
      </w:r>
    </w:p>
    <w:p w14:paraId="1C63F20F" w14:textId="77777777" w:rsidR="00F16AF1" w:rsidRPr="00886F38" w:rsidRDefault="00F16AF1" w:rsidP="0035028B">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40" w:lineRule="auto"/>
        <w:rPr>
          <w:rFonts w:eastAsiaTheme="minorHAnsi" w:cs="Arial"/>
          <w:color w:val="auto"/>
        </w:rPr>
      </w:pPr>
      <w:r w:rsidRPr="00886F38">
        <w:rPr>
          <w:rFonts w:eastAsiaTheme="minorHAnsi" w:cs="Arial"/>
          <w:color w:val="auto"/>
        </w:rPr>
        <w:t>There is potential for streamlining across all aspects of the administration of the programme – from application and assessment to contracts and reporting.</w:t>
      </w:r>
    </w:p>
    <w:p w14:paraId="4149DC07" w14:textId="77777777" w:rsidR="00F16AF1" w:rsidRPr="00886F38" w:rsidRDefault="00F16AF1" w:rsidP="002D34D5">
      <w:pPr>
        <w:pStyle w:val="BodyText"/>
      </w:pPr>
      <w:r w:rsidRPr="00886F38">
        <w:t>Administrative changes have been made to the programme in recent years, particularly in the application and selection processes. Changes included the introduction of annual selection rounds</w:t>
      </w:r>
      <w:r w:rsidR="00181C9D" w:rsidRPr="00886F38">
        <w:t xml:space="preserve">, </w:t>
      </w:r>
      <w:r w:rsidRPr="00886F38">
        <w:t xml:space="preserve">the impact tool, and moving from a three stage </w:t>
      </w:r>
      <w:r w:rsidR="0035028B">
        <w:t>process to a two stage process.</w:t>
      </w:r>
    </w:p>
    <w:p w14:paraId="498AC352" w14:textId="77777777" w:rsidR="00F16AF1" w:rsidRPr="00886F38" w:rsidRDefault="00F16AF1" w:rsidP="002D34D5">
      <w:pPr>
        <w:pStyle w:val="BodyText"/>
      </w:pPr>
      <w:r w:rsidRPr="00886F38">
        <w:t>This section of the report considers the following sub-questions of the terms of reference:</w:t>
      </w:r>
    </w:p>
    <w:p w14:paraId="6B740544" w14:textId="77777777" w:rsidR="00F16AF1" w:rsidRPr="00886F38" w:rsidRDefault="008F3C4C" w:rsidP="00474FD8">
      <w:pPr>
        <w:pStyle w:val="ListBullet"/>
      </w:pPr>
      <w:r>
        <w:t>a</w:t>
      </w:r>
      <w:r w:rsidR="00F16AF1" w:rsidRPr="00886F38">
        <w:t>re there elements of the programme guidelines that limit the ability for industry to effectively engage with researchers?</w:t>
      </w:r>
    </w:p>
    <w:p w14:paraId="5CFAF1CB" w14:textId="77777777" w:rsidR="00F16AF1" w:rsidRPr="00886F38" w:rsidRDefault="008F3C4C" w:rsidP="00474FD8">
      <w:pPr>
        <w:pStyle w:val="ListBullet"/>
      </w:pPr>
      <w:r>
        <w:t>i</w:t>
      </w:r>
      <w:r w:rsidR="00F16AF1" w:rsidRPr="00886F38">
        <w:t>s the current selection process excessively onerous on participants?</w:t>
      </w:r>
    </w:p>
    <w:p w14:paraId="221AEEC3" w14:textId="77777777" w:rsidR="00F16AF1" w:rsidRPr="00886F38" w:rsidRDefault="008F3C4C" w:rsidP="00474FD8">
      <w:pPr>
        <w:pStyle w:val="ListBullet"/>
      </w:pPr>
      <w:r>
        <w:t>d</w:t>
      </w:r>
      <w:r w:rsidR="00F16AF1" w:rsidRPr="00886F38">
        <w:t>o the current reporting requirements appropriately balance the need for the Government to be accountable to taxpayers and the need to allow participants to focus on research, development and commercialisation?</w:t>
      </w:r>
    </w:p>
    <w:p w14:paraId="7E466589" w14:textId="77777777" w:rsidR="00F16AF1" w:rsidRPr="00886F38" w:rsidRDefault="00F16AF1" w:rsidP="002D34D5">
      <w:pPr>
        <w:pStyle w:val="BodyText"/>
      </w:pPr>
      <w:r w:rsidRPr="00886F38">
        <w:t xml:space="preserve">Feedback from stakeholders during the review was mixed on the administration of the programme. Some stakeholders </w:t>
      </w:r>
      <w:r w:rsidR="00181C9D" w:rsidRPr="00886F38">
        <w:t xml:space="preserve">considered </w:t>
      </w:r>
      <w:r w:rsidRPr="00886F38">
        <w:t>the selection process, particularly stage one, was burdensome and costly, and expressed frustration with inconsistencies in governance, IP and commercialisation arrangements. Others</w:t>
      </w:r>
      <w:r w:rsidR="00181C9D" w:rsidRPr="00886F38">
        <w:t>,</w:t>
      </w:r>
      <w:r w:rsidRPr="00886F38">
        <w:t xml:space="preserve"> however</w:t>
      </w:r>
      <w:r w:rsidR="00181C9D" w:rsidRPr="00886F38">
        <w:t>,</w:t>
      </w:r>
      <w:r w:rsidRPr="00886F38">
        <w:t xml:space="preserve"> suggested that the application and selection process was valuable in itself and that the impact tool was useful in defining the scope and activities for the research programmes.</w:t>
      </w:r>
    </w:p>
    <w:p w14:paraId="6DB22989" w14:textId="77777777" w:rsidR="00F16AF1" w:rsidRPr="00886F38" w:rsidRDefault="00F16AF1" w:rsidP="002D34D5">
      <w:pPr>
        <w:pStyle w:val="BodyText"/>
      </w:pPr>
      <w:r w:rsidRPr="00886F38">
        <w:t xml:space="preserve">A number of changes to the application, selection, governance, and intellectual property processes have been discussed previously in this report. This section looks at other aspects of managing the </w:t>
      </w:r>
      <w:r w:rsidRPr="00522EC0">
        <w:t>pro</w:t>
      </w:r>
      <w:r w:rsidR="008F3C4C">
        <w:t>gramme</w:t>
      </w:r>
      <w:r w:rsidRPr="00522EC0">
        <w:t xml:space="preserve">. A list of </w:t>
      </w:r>
      <w:r w:rsidR="008F3C4C">
        <w:t>suggested</w:t>
      </w:r>
      <w:r w:rsidR="00181C9D" w:rsidRPr="00522EC0">
        <w:t xml:space="preserve"> </w:t>
      </w:r>
      <w:r w:rsidRPr="00522EC0">
        <w:t>improvement</w:t>
      </w:r>
      <w:r w:rsidR="00181C9D" w:rsidRPr="00522EC0">
        <w:t>s</w:t>
      </w:r>
      <w:r w:rsidRPr="00522EC0">
        <w:t xml:space="preserve"> is also included at</w:t>
      </w:r>
      <w:r w:rsidR="00475C88" w:rsidRPr="00522EC0">
        <w:t xml:space="preserve"> </w:t>
      </w:r>
      <w:r w:rsidR="00522EC0" w:rsidRPr="00522EC0">
        <w:t>Part 3 Section 4</w:t>
      </w:r>
      <w:r w:rsidRPr="00522EC0">
        <w:t>.</w:t>
      </w:r>
    </w:p>
    <w:p w14:paraId="66F054D8" w14:textId="77777777" w:rsidR="00F16AF1" w:rsidRPr="00886F38" w:rsidRDefault="00F16AF1" w:rsidP="002B7D90">
      <w:pPr>
        <w:pStyle w:val="Heading4"/>
        <w:ind w:left="0" w:firstLine="0"/>
        <w:rPr>
          <w:rFonts w:ascii="Arial" w:hAnsi="Arial" w:cs="Arial"/>
          <w:color w:val="auto"/>
        </w:rPr>
      </w:pPr>
      <w:bookmarkStart w:id="33" w:name="_Toc415042856"/>
      <w:r w:rsidRPr="00886F38">
        <w:rPr>
          <w:rFonts w:ascii="Arial" w:hAnsi="Arial" w:cs="Arial"/>
          <w:color w:val="auto"/>
        </w:rPr>
        <w:t>Application and selection processes</w:t>
      </w:r>
      <w:bookmarkEnd w:id="33"/>
    </w:p>
    <w:p w14:paraId="2CF3C7D9" w14:textId="77777777" w:rsidR="00F16AF1" w:rsidRPr="00886F38" w:rsidRDefault="00F16AF1" w:rsidP="002D34D5">
      <w:pPr>
        <w:pStyle w:val="BodyText"/>
      </w:pPr>
      <w:r w:rsidRPr="00886F38">
        <w:t>While many stakeholders commented that the process was well established, robust and reasonable given the quantum of funding, there was an appetite for improvin</w:t>
      </w:r>
      <w:r w:rsidR="008F3C4C">
        <w:t>g these processes. Comments focused</w:t>
      </w:r>
      <w:r w:rsidRPr="00886F38">
        <w:t xml:space="preserve"> particularly </w:t>
      </w:r>
      <w:r w:rsidR="008F3C4C">
        <w:t>on</w:t>
      </w:r>
      <w:r w:rsidRPr="00886F38">
        <w:t xml:space="preserve"> the complexity and therefore cost of the process. One stakeholder noted that the early stages of the bid could be modified to require </w:t>
      </w:r>
      <w:r w:rsidR="0060670E" w:rsidRPr="00886F38">
        <w:t>a short</w:t>
      </w:r>
      <w:r w:rsidRPr="00886F38">
        <w:t xml:space="preserve"> </w:t>
      </w:r>
      <w:r w:rsidR="00181C9D" w:rsidRPr="00886F38">
        <w:t>‘</w:t>
      </w:r>
      <w:r w:rsidRPr="00886F38">
        <w:t>concept paper</w:t>
      </w:r>
      <w:r w:rsidR="00181C9D" w:rsidRPr="00886F38">
        <w:t>’</w:t>
      </w:r>
      <w:r w:rsidRPr="00886F38">
        <w:t xml:space="preserve"> and another suggested modifying the </w:t>
      </w:r>
      <w:r w:rsidRPr="00886F38">
        <w:lastRenderedPageBreak/>
        <w:t xml:space="preserve">application process by dividing it into distinct stages, with assessment at each stage and guidance provided to applicants </w:t>
      </w:r>
      <w:r w:rsidR="00181C9D" w:rsidRPr="00886F38">
        <w:t>to assist them</w:t>
      </w:r>
      <w:r w:rsidRPr="00886F38">
        <w:t>.</w:t>
      </w:r>
    </w:p>
    <w:p w14:paraId="1F46A075" w14:textId="77777777" w:rsidR="00F16AF1" w:rsidRPr="00886F38" w:rsidRDefault="00F16AF1" w:rsidP="002D34D5">
      <w:pPr>
        <w:pStyle w:val="BodyText"/>
      </w:pPr>
      <w:r w:rsidRPr="00886F38">
        <w:t xml:space="preserve">The review agrees that the application, selection, reporting and administrative requirements for the programme should </w:t>
      </w:r>
      <w:r w:rsidR="00720990">
        <w:t xml:space="preserve">be simplified and streamlined. </w:t>
      </w:r>
      <w:r w:rsidRPr="00886F38">
        <w:t>In particular, the application process and selection criteria for CRCs and CRC-Ps should be designed to ensure greater industry involvement</w:t>
      </w:r>
      <w:r w:rsidR="00E91F9D" w:rsidRPr="00886F38">
        <w:t>,</w:t>
      </w:r>
      <w:r w:rsidRPr="00886F38">
        <w:t xml:space="preserve"> drawing on existing expertise</w:t>
      </w:r>
      <w:r w:rsidR="00E91F9D" w:rsidRPr="00886F38">
        <w:t>,</w:t>
      </w:r>
      <w:r w:rsidRPr="00886F38">
        <w:t xml:space="preserve"> and where possible us</w:t>
      </w:r>
      <w:r w:rsidR="00E91F9D" w:rsidRPr="00886F38">
        <w:t>ing</w:t>
      </w:r>
      <w:r w:rsidRPr="00886F38">
        <w:t xml:space="preserve"> automated functions to minimise the</w:t>
      </w:r>
      <w:r w:rsidR="0035028B">
        <w:t xml:space="preserve"> administrative burden.</w:t>
      </w:r>
    </w:p>
    <w:p w14:paraId="73866D0F" w14:textId="77777777" w:rsidR="00F16AF1" w:rsidRPr="00886F38" w:rsidRDefault="00F16AF1" w:rsidP="002D34D5">
      <w:pPr>
        <w:pStyle w:val="BodyText"/>
      </w:pPr>
      <w:r w:rsidRPr="00886F38">
        <w:t>CRC applications should have a revised two stage assessment process that occurs annually:</w:t>
      </w:r>
    </w:p>
    <w:p w14:paraId="0712E05F" w14:textId="77777777" w:rsidR="00F16AF1" w:rsidRPr="00886F38" w:rsidRDefault="00F16AF1" w:rsidP="00474FD8">
      <w:pPr>
        <w:pStyle w:val="ListBullet"/>
      </w:pPr>
      <w:r w:rsidRPr="00886F38">
        <w:t>Stage 1: A short online proposal. This approach aims to reduce the time, cost and</w:t>
      </w:r>
      <w:r w:rsidR="0035028B">
        <w:t xml:space="preserve"> resource burden on applicants.</w:t>
      </w:r>
    </w:p>
    <w:p w14:paraId="7A366304" w14:textId="77777777" w:rsidR="00F16AF1" w:rsidRPr="00886F38" w:rsidRDefault="00F1218E" w:rsidP="00474FD8">
      <w:pPr>
        <w:pStyle w:val="ListBullet"/>
      </w:pPr>
      <w:r>
        <w:t xml:space="preserve">Stage 2: </w:t>
      </w:r>
      <w:r w:rsidR="00F16AF1" w:rsidRPr="00886F38">
        <w:t>If the Stage 1 application is successful, a full business case which meets the requirements as set out in the revised programme guidelines should be submitted.</w:t>
      </w:r>
    </w:p>
    <w:p w14:paraId="13818DBC" w14:textId="77777777" w:rsidR="00F16AF1" w:rsidRPr="00886F38" w:rsidRDefault="00F16AF1" w:rsidP="002D34D5">
      <w:pPr>
        <w:pStyle w:val="BodyText"/>
      </w:pPr>
      <w:r w:rsidRPr="00886F38">
        <w:t>CRC-Ps should undergo a single stage, online application process which is open to new applications up to three times a year.</w:t>
      </w:r>
    </w:p>
    <w:p w14:paraId="6C2733BF" w14:textId="77777777" w:rsidR="00F16AF1" w:rsidRPr="00886F38" w:rsidRDefault="00F16AF1" w:rsidP="002D34D5">
      <w:pPr>
        <w:pStyle w:val="BodyText"/>
      </w:pPr>
      <w:r w:rsidRPr="00886F38">
        <w:t>The review expects that the government will conduct further consultation with stakeholders to determine the best approach to the processes recommended above.</w:t>
      </w:r>
    </w:p>
    <w:p w14:paraId="36F9070C" w14:textId="77777777" w:rsidR="00F16AF1" w:rsidRPr="00886F38" w:rsidRDefault="00F16AF1" w:rsidP="002D34D5">
      <w:pPr>
        <w:pStyle w:val="BodyText"/>
      </w:pPr>
      <w:r w:rsidRPr="00886F38">
        <w:t>In terms of selection criteria, applicants must currently address:</w:t>
      </w:r>
    </w:p>
    <w:p w14:paraId="0A9016FA" w14:textId="77777777" w:rsidR="00474FD8" w:rsidRPr="00474FD8" w:rsidRDefault="00F16AF1" w:rsidP="00A85440">
      <w:pPr>
        <w:pStyle w:val="ListNumber"/>
      </w:pPr>
      <w:r w:rsidRPr="00474FD8">
        <w:t>Research – The proposal will undertake excellent-quality research that addresses issues of economic, environmental and/or social significance to Australia;</w:t>
      </w:r>
    </w:p>
    <w:p w14:paraId="54CE3076" w14:textId="77777777" w:rsidR="00474FD8" w:rsidRPr="00474FD8" w:rsidRDefault="00F16AF1" w:rsidP="00A85440">
      <w:pPr>
        <w:pStyle w:val="ListNumber"/>
      </w:pPr>
      <w:r w:rsidRPr="00474FD8">
        <w:t>Results – The outputs from the proposed research, when implemented, will deliver high levels of economic, environmental and/or social benefits to Australia; and</w:t>
      </w:r>
    </w:p>
    <w:p w14:paraId="05260F30" w14:textId="77777777" w:rsidR="00F16AF1" w:rsidRPr="00474FD8" w:rsidRDefault="00F16AF1" w:rsidP="00A85440">
      <w:pPr>
        <w:pStyle w:val="ListNumber"/>
      </w:pPr>
      <w:r w:rsidRPr="00474FD8">
        <w:t>Resources – The proposed collaboration will marshal the appropriate participants and other resources necessary to achieve the proposed outputs.</w:t>
      </w:r>
    </w:p>
    <w:p w14:paraId="202162A1" w14:textId="77777777" w:rsidR="00BE01C5" w:rsidRPr="00886F38" w:rsidRDefault="00784701" w:rsidP="002D34D5">
      <w:pPr>
        <w:pStyle w:val="BodyText"/>
      </w:pPr>
      <w:r w:rsidRPr="00886F38">
        <w:t>T</w:t>
      </w:r>
      <w:r w:rsidR="00F16AF1" w:rsidRPr="00886F38">
        <w:t xml:space="preserve">he review recommends a recasting of the selection criteria in line with the revised programme objectives. </w:t>
      </w:r>
      <w:r w:rsidR="00BE01C5" w:rsidRPr="00886F38">
        <w:t>Revised selection crite</w:t>
      </w:r>
      <w:r w:rsidR="0035028B">
        <w:t>ria should cover, as a minimum:</w:t>
      </w:r>
    </w:p>
    <w:p w14:paraId="3BD18B30" w14:textId="77777777" w:rsidR="00D5030E" w:rsidRPr="00886F38" w:rsidRDefault="00D5030E" w:rsidP="00474FD8">
      <w:pPr>
        <w:pStyle w:val="ListBullet"/>
      </w:pPr>
      <w:r w:rsidRPr="00886F38">
        <w:t>how the proposed activities are in line with the revised programme objectives; and</w:t>
      </w:r>
    </w:p>
    <w:p w14:paraId="70D57BF6" w14:textId="77777777" w:rsidR="00D5030E" w:rsidRPr="00886F38" w:rsidRDefault="00D5030E" w:rsidP="00474FD8">
      <w:pPr>
        <w:pStyle w:val="ListBullet"/>
      </w:pPr>
      <w:r w:rsidRPr="00886F38">
        <w:t xml:space="preserve">how the </w:t>
      </w:r>
      <w:r w:rsidR="009D23A7">
        <w:t xml:space="preserve">research and related </w:t>
      </w:r>
      <w:r w:rsidRPr="00886F38">
        <w:t>activities will stimulate growth and lead to outcomes including, but not limited to: increased jobs, exports, productivity, integration into global supply chains, new technologies, products or services, increased revenues and intellectual p</w:t>
      </w:r>
      <w:r w:rsidR="00522EC0">
        <w:t>roperty outputs such as patents.</w:t>
      </w:r>
    </w:p>
    <w:p w14:paraId="4901902A" w14:textId="77777777" w:rsidR="00D5030E" w:rsidRPr="00886F38" w:rsidRDefault="00D5030E" w:rsidP="002D34D5">
      <w:pPr>
        <w:pStyle w:val="BodyText"/>
      </w:pPr>
      <w:r w:rsidRPr="00886F38">
        <w:t>In addition, for CRCs they should include:</w:t>
      </w:r>
    </w:p>
    <w:p w14:paraId="5C048894" w14:textId="77777777" w:rsidR="008F3C4C" w:rsidRPr="00886F38" w:rsidRDefault="008F3C4C" w:rsidP="00474FD8">
      <w:pPr>
        <w:pStyle w:val="ListBullet"/>
      </w:pPr>
      <w:r w:rsidRPr="00886F38">
        <w:lastRenderedPageBreak/>
        <w:t>the research programme. This should be high quality, based on identified industry priorities and have clearly articulated and tangible goals, includi</w:t>
      </w:r>
      <w:r w:rsidR="0035028B">
        <w:t>ng commercialisation potential;</w:t>
      </w:r>
    </w:p>
    <w:p w14:paraId="34F87021" w14:textId="77777777" w:rsidR="00D5030E" w:rsidRPr="00886F38" w:rsidRDefault="00D5030E" w:rsidP="00474FD8">
      <w:pPr>
        <w:pStyle w:val="ListBullet"/>
      </w:pPr>
      <w:r w:rsidRPr="00886F38">
        <w:t>the proposed management team. CRCs should have senior, ongoing roles filled by industry in addition to a Chair and CEO with the skills and experience required to lead an organisation with diverse participant needs and outcomes;</w:t>
      </w:r>
    </w:p>
    <w:p w14:paraId="39F27E13" w14:textId="77777777" w:rsidR="00D5030E" w:rsidRPr="00886F38" w:rsidRDefault="00D5030E" w:rsidP="00474FD8">
      <w:pPr>
        <w:pStyle w:val="ListBullet"/>
      </w:pPr>
      <w:r w:rsidRPr="00886F38">
        <w:t>an industry-focused education and training programme. This should build engagement, innovation and research and development capacity both in the industry and the research sectors; and</w:t>
      </w:r>
    </w:p>
    <w:p w14:paraId="26DB81CF" w14:textId="77777777" w:rsidR="00D5030E" w:rsidRPr="00886F38" w:rsidRDefault="00D5030E" w:rsidP="00474FD8">
      <w:pPr>
        <w:pStyle w:val="ListBullet"/>
      </w:pPr>
      <w:r w:rsidRPr="00886F38">
        <w:t>the broader industry impact of the proposed activities</w:t>
      </w:r>
      <w:r w:rsidR="00522EC0">
        <w:t>.</w:t>
      </w:r>
    </w:p>
    <w:p w14:paraId="4E0FB30C" w14:textId="77777777" w:rsidR="00D5030E" w:rsidRPr="00886F38" w:rsidRDefault="008F3C4C" w:rsidP="002D34D5">
      <w:pPr>
        <w:pStyle w:val="BodyText"/>
      </w:pPr>
      <w:r>
        <w:t>While</w:t>
      </w:r>
      <w:r w:rsidR="00D5030E" w:rsidRPr="00886F38">
        <w:t xml:space="preserve"> CRC-Ps they should include:</w:t>
      </w:r>
    </w:p>
    <w:p w14:paraId="4B54ACD3" w14:textId="77777777" w:rsidR="008F3C4C" w:rsidRPr="00886F38" w:rsidRDefault="008F3C4C" w:rsidP="00474FD8">
      <w:pPr>
        <w:pStyle w:val="ListBullet"/>
      </w:pPr>
      <w:r w:rsidRPr="00886F38">
        <w:t xml:space="preserve">the research project, which should be based on an identified industry priority and have clearly articulated and tangible goals, including </w:t>
      </w:r>
      <w:r>
        <w:t>commercialisation potential;</w:t>
      </w:r>
    </w:p>
    <w:p w14:paraId="0A76EFD9" w14:textId="77777777" w:rsidR="00D5030E" w:rsidRPr="00886F38" w:rsidRDefault="00D5030E" w:rsidP="00474FD8">
      <w:pPr>
        <w:pStyle w:val="ListBullet"/>
      </w:pPr>
      <w:r w:rsidRPr="00886F38">
        <w:t>h</w:t>
      </w:r>
      <w:r w:rsidR="0035028B">
        <w:t>ow the project will be managed;</w:t>
      </w:r>
    </w:p>
    <w:p w14:paraId="0FDC1F77" w14:textId="77777777" w:rsidR="00D5030E" w:rsidRPr="00886F38" w:rsidRDefault="00D5030E" w:rsidP="00474FD8">
      <w:pPr>
        <w:pStyle w:val="ListBullet"/>
      </w:pPr>
      <w:r w:rsidRPr="00886F38">
        <w:t xml:space="preserve">the industry participants and the business case for an industry-led research collaboration; </w:t>
      </w:r>
      <w:r w:rsidR="008F3C4C">
        <w:t>and</w:t>
      </w:r>
    </w:p>
    <w:p w14:paraId="0AAFE496" w14:textId="77777777" w:rsidR="00D5030E" w:rsidRPr="00886F38" w:rsidRDefault="00D5030E" w:rsidP="00474FD8">
      <w:pPr>
        <w:pStyle w:val="ListBullet"/>
      </w:pPr>
      <w:r w:rsidRPr="00886F38">
        <w:t>the broader industry impact of the proposed activities.</w:t>
      </w:r>
    </w:p>
    <w:p w14:paraId="18E1057E" w14:textId="77777777" w:rsidR="00F16AF1" w:rsidRPr="00886F38" w:rsidRDefault="00F16AF1" w:rsidP="002D34D5">
      <w:pPr>
        <w:pStyle w:val="BodyText"/>
      </w:pPr>
      <w:r w:rsidRPr="00886F38">
        <w:t xml:space="preserve">The role of the impact tool should also be considered in any revised process. The impact tool was the subject of a lot of stakeholder commentary during the review. The majority of comments argued that the impact tool was cumbersome, overly complex, time consuming and costly. One stakeholder noted that the impact tool is elaborate and has a strong conceptual basis, but because it is so rigidly structured and complex, most participants do not understand it and specialist consultants are needed to complete it at significant cost. Some stakeholders, on the other hand, argued that the impact tool is a useful component of the process and makes applicants carefully consider the merits of all aspects of their planned activities and leads them towards selecting </w:t>
      </w:r>
      <w:r w:rsidR="0035028B">
        <w:t>a robust portfolio of projects.</w:t>
      </w:r>
    </w:p>
    <w:p w14:paraId="0B9C72B1" w14:textId="77777777" w:rsidR="00F16AF1" w:rsidRPr="00886F38" w:rsidRDefault="00F16AF1" w:rsidP="002D34D5">
      <w:pPr>
        <w:pStyle w:val="BodyText"/>
      </w:pPr>
      <w:r w:rsidRPr="00886F38">
        <w:t>The review recognises the value of the impact tool but opportunities for streamlining and improving its usability should be considered</w:t>
      </w:r>
      <w:r w:rsidR="00784701" w:rsidRPr="00886F38">
        <w:t xml:space="preserve"> as part of the revision of the guidelines arising from this review</w:t>
      </w:r>
      <w:r w:rsidRPr="00886F38">
        <w:t>.</w:t>
      </w:r>
    </w:p>
    <w:p w14:paraId="0BE8A175" w14:textId="77777777" w:rsidR="00F16AF1" w:rsidRPr="00886F38" w:rsidRDefault="00F16AF1" w:rsidP="002B7D90">
      <w:pPr>
        <w:pStyle w:val="Heading4"/>
        <w:ind w:left="0" w:firstLine="0"/>
        <w:rPr>
          <w:rFonts w:ascii="Arial" w:hAnsi="Arial" w:cs="Arial"/>
          <w:color w:val="auto"/>
        </w:rPr>
      </w:pPr>
      <w:bookmarkStart w:id="34" w:name="_Toc415042857"/>
      <w:r w:rsidRPr="00886F38">
        <w:rPr>
          <w:rFonts w:ascii="Arial" w:hAnsi="Arial" w:cs="Arial"/>
          <w:color w:val="auto"/>
        </w:rPr>
        <w:t>Advisory committee</w:t>
      </w:r>
      <w:bookmarkEnd w:id="34"/>
    </w:p>
    <w:p w14:paraId="7686BEF9" w14:textId="77777777" w:rsidR="00F16AF1" w:rsidRPr="00886F38" w:rsidRDefault="00437A0A" w:rsidP="002D34D5">
      <w:pPr>
        <w:pStyle w:val="BodyText"/>
      </w:pPr>
      <w:r w:rsidRPr="00886F38">
        <w:t>Currently, t</w:t>
      </w:r>
      <w:r w:rsidR="00F16AF1" w:rsidRPr="00886F38">
        <w:t xml:space="preserve">he </w:t>
      </w:r>
      <w:r w:rsidR="00181C9D" w:rsidRPr="00886F38">
        <w:t>CRC P</w:t>
      </w:r>
      <w:r w:rsidR="00F16AF1" w:rsidRPr="00886F38">
        <w:t xml:space="preserve">rogramme </w:t>
      </w:r>
      <w:r w:rsidR="00181C9D" w:rsidRPr="00886F38">
        <w:t xml:space="preserve">is supported by an advisory committee known as the </w:t>
      </w:r>
      <w:r w:rsidR="00F16AF1" w:rsidRPr="00886F38">
        <w:t>CRC Committee</w:t>
      </w:r>
      <w:r w:rsidR="00852B83" w:rsidRPr="00886F38">
        <w:t>. The role of the CRC Committee</w:t>
      </w:r>
      <w:r w:rsidR="00F16AF1" w:rsidRPr="00886F38">
        <w:t xml:space="preserve"> is to</w:t>
      </w:r>
      <w:r w:rsidR="002B7D90" w:rsidRPr="00886F38">
        <w:t xml:space="preserve"> </w:t>
      </w:r>
      <w:r w:rsidR="00F16AF1" w:rsidRPr="00886F38">
        <w:t>provide recommendations to the Minister about:</w:t>
      </w:r>
    </w:p>
    <w:p w14:paraId="2A593C83" w14:textId="77777777" w:rsidR="00F16AF1" w:rsidRPr="00886F38" w:rsidRDefault="00F16AF1" w:rsidP="00474FD8">
      <w:pPr>
        <w:pStyle w:val="ListBullet"/>
      </w:pPr>
      <w:r w:rsidRPr="00886F38">
        <w:t>applications for CRC funding;</w:t>
      </w:r>
    </w:p>
    <w:p w14:paraId="3C733034" w14:textId="77777777" w:rsidR="00F16AF1" w:rsidRPr="00886F38" w:rsidRDefault="00F16AF1" w:rsidP="00474FD8">
      <w:pPr>
        <w:pStyle w:val="ListBullet"/>
      </w:pPr>
      <w:r w:rsidRPr="00886F38">
        <w:lastRenderedPageBreak/>
        <w:t>performance, monitoring and reviews of individual CRCs’ activities during their period of operation; and</w:t>
      </w:r>
    </w:p>
    <w:p w14:paraId="2A0D00BA" w14:textId="77777777" w:rsidR="00F16AF1" w:rsidRPr="00886F38" w:rsidRDefault="00F16AF1" w:rsidP="00474FD8">
      <w:pPr>
        <w:pStyle w:val="ListBullet"/>
      </w:pPr>
      <w:r w:rsidRPr="00886F38">
        <w:t>the planning, monitoring and evaluation of the CRC Program</w:t>
      </w:r>
      <w:r w:rsidR="00522EC0">
        <w:t>me</w:t>
      </w:r>
      <w:r w:rsidRPr="00886F38">
        <w:t>.</w:t>
      </w:r>
    </w:p>
    <w:p w14:paraId="4FE19E23" w14:textId="77777777" w:rsidR="00F16AF1" w:rsidRPr="00886F38" w:rsidRDefault="00F16AF1" w:rsidP="002D34D5">
      <w:pPr>
        <w:pStyle w:val="BodyText"/>
      </w:pPr>
      <w:r w:rsidRPr="00886F38">
        <w:t>The CRC Committee can have up to 14 members, including an independent Chair, nine other independent members appointed by the Minister for a period of up to five year</w:t>
      </w:r>
      <w:r w:rsidR="0035028B">
        <w:t>s, and four ex</w:t>
      </w:r>
      <w:r w:rsidR="0035028B">
        <w:noBreakHyphen/>
        <w:t>officio members.</w:t>
      </w:r>
    </w:p>
    <w:p w14:paraId="1D7C71E5" w14:textId="77777777" w:rsidR="00F16AF1" w:rsidRPr="00886F38" w:rsidRDefault="00F16AF1" w:rsidP="002D34D5">
      <w:pPr>
        <w:pStyle w:val="BodyText"/>
      </w:pPr>
      <w:r w:rsidRPr="00886F38">
        <w:t>The programme guidelines also state that in selecting the independent members, the Minister may take into account the need for a broad range of expertise relevant to the ne</w:t>
      </w:r>
      <w:r w:rsidR="00522EC0">
        <w:t>eds of the p</w:t>
      </w:r>
      <w:r w:rsidRPr="00886F38">
        <w:t>rogram</w:t>
      </w:r>
      <w:r w:rsidR="00522EC0">
        <w:t>me</w:t>
      </w:r>
      <w:r w:rsidRPr="00886F38">
        <w:t xml:space="preserve"> in research, education, utilisation, research management, industry and other end-users.</w:t>
      </w:r>
    </w:p>
    <w:p w14:paraId="4A2A151D" w14:textId="77777777" w:rsidR="00F16AF1" w:rsidRPr="00886F38" w:rsidRDefault="00F16AF1" w:rsidP="002D34D5">
      <w:pPr>
        <w:pStyle w:val="BodyText"/>
      </w:pPr>
      <w:r w:rsidRPr="00886F38">
        <w:t>The review recommends that a new, smaller (up to nine members)</w:t>
      </w:r>
      <w:r w:rsidR="00E02506" w:rsidRPr="00886F38">
        <w:t xml:space="preserve"> </w:t>
      </w:r>
      <w:r w:rsidRPr="00886F38">
        <w:t>advisory group be established</w:t>
      </w:r>
      <w:r w:rsidR="0057746E" w:rsidRPr="00886F38">
        <w:t xml:space="preserve">. </w:t>
      </w:r>
      <w:r w:rsidRPr="00886F38">
        <w:t>While the current CRC Committee has served the programme well, the changes to the objectives and activities necessitate a new advisory group with a strong focus on industry expertise, management capabilities and research commercialisation skills. Such a committee would also be in line with the government’s approach to reducing the size and number of government boards and committees.</w:t>
      </w:r>
    </w:p>
    <w:p w14:paraId="4B78D8D8" w14:textId="77777777" w:rsidR="00AC46F3" w:rsidRPr="00886F38" w:rsidRDefault="00AC46F3" w:rsidP="002D34D5">
      <w:pPr>
        <w:pStyle w:val="BodyText"/>
      </w:pPr>
      <w:bookmarkStart w:id="35" w:name="ProcessAllFootersStartPos"/>
      <w:bookmarkEnd w:id="35"/>
      <w:r w:rsidRPr="00886F38">
        <w:t>The process of assessing applications for CRC funding has, over the years, become a complex and time</w:t>
      </w:r>
      <w:r w:rsidR="005B4764">
        <w:t>-</w:t>
      </w:r>
      <w:r w:rsidRPr="00886F38">
        <w:t xml:space="preserve">consuming process, and even with the recommendations contained in this report will continue to be an important process to ensure the </w:t>
      </w:r>
      <w:r w:rsidR="005B4764">
        <w:t xml:space="preserve">ongoing </w:t>
      </w:r>
      <w:r w:rsidRPr="00886F38">
        <w:t>integrity of the programme and proper expenditure of commonwealth funds.</w:t>
      </w:r>
    </w:p>
    <w:p w14:paraId="7623B21A" w14:textId="77777777" w:rsidR="00AC46F3" w:rsidRPr="00886F38" w:rsidRDefault="00AC46F3" w:rsidP="002D34D5">
      <w:pPr>
        <w:pStyle w:val="BodyText"/>
      </w:pPr>
      <w:r w:rsidRPr="00886F38">
        <w:t>Proper assessment of CRC and CRC-P applications will require:</w:t>
      </w:r>
    </w:p>
    <w:p w14:paraId="52749544" w14:textId="77777777" w:rsidR="00AC46F3" w:rsidRPr="00886F38" w:rsidRDefault="00E02506" w:rsidP="00474FD8">
      <w:pPr>
        <w:pStyle w:val="ListBullet"/>
      </w:pPr>
      <w:r w:rsidRPr="00886F38">
        <w:t>r</w:t>
      </w:r>
      <w:r w:rsidR="00AC46F3" w:rsidRPr="00886F38">
        <w:t>igorous assessment of the merits of the application having regard to the revised objectives;</w:t>
      </w:r>
    </w:p>
    <w:p w14:paraId="5D8F3B47" w14:textId="77777777" w:rsidR="00AC46F3" w:rsidRPr="00886F38" w:rsidRDefault="00E02506" w:rsidP="00474FD8">
      <w:pPr>
        <w:pStyle w:val="ListBullet"/>
      </w:pPr>
      <w:r w:rsidRPr="00886F38">
        <w:t>a</w:t>
      </w:r>
      <w:r w:rsidR="00AC46F3" w:rsidRPr="00886F38">
        <w:t>pplication of a diverse range of skills and expertise familiar with the proposed area of the collaborative research project; and</w:t>
      </w:r>
    </w:p>
    <w:p w14:paraId="5AE1EA02" w14:textId="77777777" w:rsidR="00AC46F3" w:rsidRPr="00886F38" w:rsidRDefault="00E02506" w:rsidP="00474FD8">
      <w:pPr>
        <w:pStyle w:val="ListBullet"/>
      </w:pPr>
      <w:r w:rsidRPr="00886F38">
        <w:t>a</w:t>
      </w:r>
      <w:r w:rsidR="00AC46F3" w:rsidRPr="00886F38">
        <w:t xml:space="preserve"> transparent process that ensure</w:t>
      </w:r>
      <w:r w:rsidR="005B4764">
        <w:t>s</w:t>
      </w:r>
      <w:r w:rsidR="00AC46F3" w:rsidRPr="00886F38">
        <w:t xml:space="preserve"> independence in decision making.</w:t>
      </w:r>
    </w:p>
    <w:p w14:paraId="27DB390D" w14:textId="77777777" w:rsidR="00AC46F3" w:rsidRPr="00886F38" w:rsidRDefault="00AC46F3" w:rsidP="002D34D5">
      <w:pPr>
        <w:pStyle w:val="BodyText"/>
      </w:pPr>
      <w:r w:rsidRPr="00886F38">
        <w:t xml:space="preserve">In addition, the new </w:t>
      </w:r>
      <w:r w:rsidR="00E02506" w:rsidRPr="00886F38">
        <w:t>advisory group</w:t>
      </w:r>
      <w:r w:rsidRPr="00886F38">
        <w:t xml:space="preserve"> will need to oversee and review the existing CRCs and monitor the progress towards objectives of</w:t>
      </w:r>
      <w:r w:rsidR="0035028B">
        <w:t xml:space="preserve"> future approved applications.</w:t>
      </w:r>
    </w:p>
    <w:p w14:paraId="202877E6" w14:textId="77777777" w:rsidR="00AC46F3" w:rsidRPr="00886F38" w:rsidRDefault="00AC46F3" w:rsidP="002D34D5">
      <w:pPr>
        <w:pStyle w:val="BodyText"/>
      </w:pPr>
      <w:r w:rsidRPr="00886F38">
        <w:t>Whil</w:t>
      </w:r>
      <w:r w:rsidR="00E02506" w:rsidRPr="00886F38">
        <w:t>e</w:t>
      </w:r>
      <w:r w:rsidRPr="00886F38">
        <w:t xml:space="preserve"> mindful of the recommendations contained in this </w:t>
      </w:r>
      <w:r w:rsidR="00E02506" w:rsidRPr="00886F38">
        <w:t>r</w:t>
      </w:r>
      <w:r w:rsidRPr="00886F38">
        <w:t xml:space="preserve">eview to give priority to Growth Centre initiatives, the </w:t>
      </w:r>
      <w:r w:rsidR="00E02506" w:rsidRPr="00886F38">
        <w:t>advisory group</w:t>
      </w:r>
      <w:r w:rsidRPr="00886F38">
        <w:t xml:space="preserve"> will need to be cognisant of broader objectives, such as those outlined by the Chief Scientist, national goals, comparative advantage, critical need, scale and ability to achieve change.</w:t>
      </w:r>
    </w:p>
    <w:p w14:paraId="4B8C73AB" w14:textId="77777777" w:rsidR="00AC46F3" w:rsidRPr="00886F38" w:rsidRDefault="00AC46F3" w:rsidP="002D34D5">
      <w:pPr>
        <w:pStyle w:val="BodyText"/>
      </w:pPr>
      <w:r w:rsidRPr="00886F38">
        <w:lastRenderedPageBreak/>
        <w:t>During the course of consultations,</w:t>
      </w:r>
      <w:bookmarkStart w:id="36" w:name="mPrintPos"/>
      <w:bookmarkEnd w:id="36"/>
      <w:r w:rsidRPr="00886F38">
        <w:t xml:space="preserve"> issues were raised about the proposed involvement of Growth Centres in the CRC application process if the programme were to continue.</w:t>
      </w:r>
    </w:p>
    <w:p w14:paraId="663E3B0A" w14:textId="77777777" w:rsidR="00AC46F3" w:rsidRPr="00886F38" w:rsidRDefault="00E02506" w:rsidP="002D34D5">
      <w:pPr>
        <w:pStyle w:val="BodyText"/>
      </w:pPr>
      <w:r w:rsidRPr="00886F38">
        <w:t>The r</w:t>
      </w:r>
      <w:r w:rsidR="00AC46F3" w:rsidRPr="00886F38">
        <w:t xml:space="preserve">eview believes there may be </w:t>
      </w:r>
      <w:r w:rsidR="00140538">
        <w:t xml:space="preserve">limited </w:t>
      </w:r>
      <w:r w:rsidRPr="00886F38">
        <w:t>scope for the G</w:t>
      </w:r>
      <w:r w:rsidR="00AC46F3" w:rsidRPr="00886F38">
        <w:t xml:space="preserve">rowth </w:t>
      </w:r>
      <w:r w:rsidRPr="00886F38">
        <w:t>C</w:t>
      </w:r>
      <w:r w:rsidR="00AC46F3" w:rsidRPr="00886F38">
        <w:t>entres to participate in the applicatio</w:t>
      </w:r>
      <w:r w:rsidRPr="00886F38">
        <w:t>n process</w:t>
      </w:r>
      <w:r w:rsidR="00140538">
        <w:t xml:space="preserve"> and decision-making process </w:t>
      </w:r>
      <w:r w:rsidR="00522EC0">
        <w:t xml:space="preserve">(see Recommendation 4) however, </w:t>
      </w:r>
      <w:r w:rsidRPr="00886F38">
        <w:t>where a G</w:t>
      </w:r>
      <w:r w:rsidR="00AC46F3" w:rsidRPr="00886F38">
        <w:t xml:space="preserve">rowth </w:t>
      </w:r>
      <w:r w:rsidRPr="00886F38">
        <w:t>C</w:t>
      </w:r>
      <w:r w:rsidR="00AC46F3" w:rsidRPr="00886F38">
        <w:t>entre is involved in assembling the consortia, assisting or driving the application, independent</w:t>
      </w:r>
      <w:r w:rsidR="0035028B">
        <w:t xml:space="preserve"> review will be an imperative.</w:t>
      </w:r>
    </w:p>
    <w:p w14:paraId="7C6BD941" w14:textId="77777777" w:rsidR="00F16AF1" w:rsidRPr="00886F38" w:rsidRDefault="00F16AF1" w:rsidP="002B7D90">
      <w:pPr>
        <w:pStyle w:val="Heading4"/>
        <w:ind w:left="0" w:firstLine="0"/>
        <w:rPr>
          <w:rFonts w:ascii="Arial" w:hAnsi="Arial" w:cs="Arial"/>
          <w:color w:val="auto"/>
        </w:rPr>
      </w:pPr>
      <w:bookmarkStart w:id="37" w:name="_Toc415042858"/>
      <w:r w:rsidRPr="00886F38">
        <w:rPr>
          <w:rFonts w:ascii="Arial" w:hAnsi="Arial" w:cs="Arial"/>
          <w:color w:val="auto"/>
        </w:rPr>
        <w:t>Performance data</w:t>
      </w:r>
      <w:bookmarkEnd w:id="37"/>
    </w:p>
    <w:p w14:paraId="507A7EA9" w14:textId="77777777" w:rsidR="00F16AF1" w:rsidRPr="00886F38" w:rsidRDefault="00F16AF1" w:rsidP="002D34D5">
      <w:pPr>
        <w:pStyle w:val="BodyText"/>
      </w:pPr>
      <w:r w:rsidRPr="00886F38">
        <w:t xml:space="preserve">To assist with assessing the success of the programme while limiting administrative and reporting burden on CRCs, wherever possible performance data should be collected through the routine programme data collections or other existing data sources. Existing data sources may include </w:t>
      </w:r>
      <w:r w:rsidRPr="00886F38">
        <w:rPr>
          <w:lang w:eastAsia="en-AU"/>
        </w:rPr>
        <w:t>IP Australia’s Analytics Hub and the National Survey</w:t>
      </w:r>
      <w:r w:rsidR="0035028B">
        <w:rPr>
          <w:lang w:eastAsia="en-AU"/>
        </w:rPr>
        <w:t xml:space="preserve"> of Research Commercialisation.</w:t>
      </w:r>
    </w:p>
    <w:p w14:paraId="0659F064" w14:textId="77777777" w:rsidR="00F16AF1" w:rsidRPr="00886F38" w:rsidRDefault="00F16AF1" w:rsidP="002B7D90">
      <w:pPr>
        <w:pStyle w:val="Heading4"/>
        <w:ind w:left="0" w:firstLine="0"/>
        <w:rPr>
          <w:rFonts w:ascii="Arial" w:hAnsi="Arial" w:cs="Arial"/>
          <w:color w:val="auto"/>
          <w:lang w:eastAsia="en-AU"/>
        </w:rPr>
      </w:pPr>
      <w:bookmarkStart w:id="38" w:name="_Toc415042859"/>
      <w:r w:rsidRPr="00886F38">
        <w:rPr>
          <w:rFonts w:ascii="Arial" w:hAnsi="Arial" w:cs="Arial"/>
          <w:color w:val="auto"/>
          <w:lang w:eastAsia="en-AU"/>
        </w:rPr>
        <w:t>Performance of existing CRCs</w:t>
      </w:r>
      <w:bookmarkEnd w:id="38"/>
    </w:p>
    <w:p w14:paraId="4367DB62" w14:textId="77777777" w:rsidR="00F16AF1" w:rsidRPr="00886F38" w:rsidRDefault="00F16AF1" w:rsidP="002D34D5">
      <w:pPr>
        <w:pStyle w:val="BodyText"/>
        <w:rPr>
          <w:rFonts w:cs="Arial"/>
        </w:rPr>
      </w:pPr>
      <w:r w:rsidRPr="00886F38">
        <w:rPr>
          <w:lang w:eastAsia="en-AU"/>
        </w:rPr>
        <w:t xml:space="preserve">All current CRCs should be reviewed </w:t>
      </w:r>
      <w:r w:rsidR="003C20CF" w:rsidRPr="00886F38">
        <w:rPr>
          <w:lang w:eastAsia="en-AU"/>
        </w:rPr>
        <w:t xml:space="preserve">by the new advisory committee </w:t>
      </w:r>
      <w:r w:rsidRPr="00886F38">
        <w:rPr>
          <w:lang w:eastAsia="en-AU"/>
        </w:rPr>
        <w:t>to ensure they are performing in accordance with their funding agreement and are likely to deliver against their stated outcomes, as well as to determine any potential</w:t>
      </w:r>
      <w:r w:rsidR="00140538">
        <w:rPr>
          <w:lang w:eastAsia="en-AU"/>
        </w:rPr>
        <w:t xml:space="preserve"> linkages</w:t>
      </w:r>
      <w:r w:rsidRPr="00886F38">
        <w:rPr>
          <w:lang w:eastAsia="en-AU"/>
        </w:rPr>
        <w:t xml:space="preserve"> with the Growth Centres. </w:t>
      </w:r>
      <w:r w:rsidR="00784701" w:rsidRPr="00886F38">
        <w:rPr>
          <w:lang w:eastAsia="en-AU"/>
        </w:rPr>
        <w:t>Those which are not performing should be considered by the Minister for termination in accordance with their funding agreements.</w:t>
      </w:r>
    </w:p>
    <w:p w14:paraId="02581B24" w14:textId="77777777" w:rsidR="00F16AF1" w:rsidRPr="00886F38" w:rsidRDefault="00F16AF1" w:rsidP="002D34D5">
      <w:pPr>
        <w:pStyle w:val="BodyText"/>
      </w:pPr>
      <w:r w:rsidRPr="00886F38">
        <w:br w:type="page"/>
      </w:r>
    </w:p>
    <w:p w14:paraId="0915F412" w14:textId="77777777" w:rsidR="002B7D90" w:rsidRPr="00886F38" w:rsidRDefault="002B7D90" w:rsidP="002B7D90">
      <w:pPr>
        <w:pStyle w:val="Heading3"/>
        <w:ind w:left="0" w:firstLine="0"/>
      </w:pPr>
      <w:bookmarkStart w:id="39" w:name="_Toc415042860"/>
      <w:r w:rsidRPr="00886F38">
        <w:lastRenderedPageBreak/>
        <w:t>Term of Reference E</w:t>
      </w:r>
      <w:bookmarkEnd w:id="39"/>
    </w:p>
    <w:p w14:paraId="2A410EAA" w14:textId="77777777" w:rsidR="00F16AF1" w:rsidRPr="00886F38" w:rsidRDefault="00F16AF1" w:rsidP="00F16AF1">
      <w:pPr>
        <w:spacing w:line="240" w:lineRule="auto"/>
        <w:rPr>
          <w:rStyle w:val="Strong"/>
        </w:rPr>
      </w:pPr>
      <w:r w:rsidRPr="00886F38">
        <w:rPr>
          <w:rStyle w:val="Strong"/>
        </w:rPr>
        <w:t>Is there sufficient demand within the research sector and industry for a programme that builds collaborative structures that facilitate end-user driven research?</w:t>
      </w:r>
    </w:p>
    <w:p w14:paraId="1CDC5C1A" w14:textId="77777777" w:rsidR="00F16AF1" w:rsidRPr="00886F38" w:rsidRDefault="00F16AF1" w:rsidP="0035028B">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40" w:lineRule="auto"/>
        <w:rPr>
          <w:rFonts w:eastAsiaTheme="minorHAnsi" w:cs="Arial"/>
          <w:color w:val="auto"/>
        </w:rPr>
      </w:pPr>
      <w:r w:rsidRPr="00886F38">
        <w:rPr>
          <w:rFonts w:eastAsiaTheme="minorHAnsi" w:cs="Arial"/>
          <w:color w:val="auto"/>
        </w:rPr>
        <w:t xml:space="preserve">There is demand for a collaborative research programme from </w:t>
      </w:r>
      <w:r w:rsidR="00140538">
        <w:rPr>
          <w:rFonts w:eastAsiaTheme="minorHAnsi" w:cs="Arial"/>
          <w:color w:val="auto"/>
        </w:rPr>
        <w:t xml:space="preserve">the </w:t>
      </w:r>
      <w:r w:rsidRPr="00886F38">
        <w:rPr>
          <w:rFonts w:eastAsiaTheme="minorHAnsi" w:cs="Arial"/>
          <w:color w:val="auto"/>
        </w:rPr>
        <w:t>industry and research</w:t>
      </w:r>
      <w:r w:rsidR="00140538">
        <w:rPr>
          <w:rFonts w:eastAsiaTheme="minorHAnsi" w:cs="Arial"/>
          <w:color w:val="auto"/>
        </w:rPr>
        <w:t xml:space="preserve"> sectors</w:t>
      </w:r>
      <w:r w:rsidRPr="00886F38">
        <w:rPr>
          <w:rFonts w:eastAsiaTheme="minorHAnsi" w:cs="Arial"/>
          <w:color w:val="auto"/>
        </w:rPr>
        <w:t>, and Australia needs it to drive innovation and economic development.</w:t>
      </w:r>
    </w:p>
    <w:p w14:paraId="4CC61F8F" w14:textId="77777777" w:rsidR="00F16AF1" w:rsidRPr="00886F38" w:rsidRDefault="00F16AF1" w:rsidP="002D34D5">
      <w:pPr>
        <w:pStyle w:val="BodyText"/>
        <w:rPr>
          <w:lang w:eastAsia="en-AU"/>
        </w:rPr>
      </w:pPr>
      <w:r w:rsidRPr="00886F38">
        <w:rPr>
          <w:lang w:eastAsia="en-AU"/>
        </w:rPr>
        <w:t>The review has considered the structure of the Australian economy and explored demand within the research sector and industry for the CRC Programme. This includes consideration of the following sub-questions from the terms of reference:</w:t>
      </w:r>
    </w:p>
    <w:p w14:paraId="67B5856E" w14:textId="77777777" w:rsidR="00F16AF1" w:rsidRPr="00886F38" w:rsidRDefault="00140538" w:rsidP="00474FD8">
      <w:pPr>
        <w:pStyle w:val="ListBullet"/>
        <w:rPr>
          <w:lang w:eastAsia="en-AU"/>
        </w:rPr>
      </w:pPr>
      <w:r>
        <w:rPr>
          <w:lang w:eastAsia="en-AU"/>
        </w:rPr>
        <w:t>w</w:t>
      </w:r>
      <w:r w:rsidR="00F16AF1" w:rsidRPr="00886F38">
        <w:rPr>
          <w:lang w:eastAsia="en-AU"/>
        </w:rPr>
        <w:t>hat is the pattern of demand for the programme from within industry and universities/other research organisations over the past 10 years?</w:t>
      </w:r>
    </w:p>
    <w:p w14:paraId="39CCB257" w14:textId="77777777" w:rsidR="00F16AF1" w:rsidRPr="00886F38" w:rsidRDefault="00140538" w:rsidP="00474FD8">
      <w:pPr>
        <w:pStyle w:val="ListBullet"/>
        <w:rPr>
          <w:lang w:eastAsia="en-AU"/>
        </w:rPr>
      </w:pPr>
      <w:r>
        <w:rPr>
          <w:lang w:eastAsia="en-AU"/>
        </w:rPr>
        <w:t>i</w:t>
      </w:r>
      <w:r w:rsidR="00F16AF1" w:rsidRPr="00886F38">
        <w:rPr>
          <w:lang w:eastAsia="en-AU"/>
        </w:rPr>
        <w:t>f there are changes to demand, why have they occurred and how could they be addressed?</w:t>
      </w:r>
    </w:p>
    <w:p w14:paraId="7CE2843A" w14:textId="77777777" w:rsidR="00F16AF1" w:rsidRPr="00886F38" w:rsidRDefault="00140538" w:rsidP="00474FD8">
      <w:pPr>
        <w:pStyle w:val="ListBullet"/>
        <w:rPr>
          <w:lang w:eastAsia="en-AU"/>
        </w:rPr>
      </w:pPr>
      <w:r>
        <w:rPr>
          <w:lang w:eastAsia="en-AU"/>
        </w:rPr>
        <w:t>a</w:t>
      </w:r>
      <w:r w:rsidR="00F16AF1" w:rsidRPr="00886F38">
        <w:rPr>
          <w:lang w:eastAsia="en-AU"/>
        </w:rPr>
        <w:t>re there specific industries of significance to the Australian economy or specific types of enterprises that have not engaged in the CRC programme, and if so, why?</w:t>
      </w:r>
    </w:p>
    <w:p w14:paraId="18F78FFF" w14:textId="77777777" w:rsidR="00F16AF1" w:rsidRPr="00886F38" w:rsidRDefault="00F16AF1" w:rsidP="002B7D90">
      <w:pPr>
        <w:pStyle w:val="Heading4"/>
        <w:ind w:left="0" w:firstLine="0"/>
        <w:rPr>
          <w:rFonts w:ascii="Arial" w:hAnsi="Arial" w:cs="Arial"/>
          <w:color w:val="auto"/>
        </w:rPr>
      </w:pPr>
      <w:bookmarkStart w:id="40" w:name="_Toc415042861"/>
      <w:r w:rsidRPr="00886F38">
        <w:rPr>
          <w:rFonts w:ascii="Arial" w:hAnsi="Arial" w:cs="Arial"/>
          <w:color w:val="auto"/>
        </w:rPr>
        <w:t xml:space="preserve">Programme </w:t>
      </w:r>
      <w:r w:rsidR="00852B83" w:rsidRPr="00886F38">
        <w:rPr>
          <w:rFonts w:ascii="Arial" w:hAnsi="Arial" w:cs="Arial"/>
          <w:color w:val="auto"/>
        </w:rPr>
        <w:t>d</w:t>
      </w:r>
      <w:r w:rsidRPr="00886F38">
        <w:rPr>
          <w:rFonts w:ascii="Arial" w:hAnsi="Arial" w:cs="Arial"/>
          <w:color w:val="auto"/>
        </w:rPr>
        <w:t>emand</w:t>
      </w:r>
      <w:bookmarkEnd w:id="40"/>
    </w:p>
    <w:p w14:paraId="6C5BE4E7" w14:textId="77777777" w:rsidR="007A0C40" w:rsidRPr="00886F38" w:rsidRDefault="007A0C40" w:rsidP="002D34D5">
      <w:pPr>
        <w:pStyle w:val="BodyText"/>
      </w:pPr>
      <w:r w:rsidRPr="00886F38">
        <w:t>Stakeholders clearly articulated a demand for the programme to build collaborative structures that facil</w:t>
      </w:r>
      <w:r w:rsidR="0035028B">
        <w:t>itate industry-driven research.</w:t>
      </w:r>
    </w:p>
    <w:p w14:paraId="1C6965C2" w14:textId="77777777" w:rsidR="00F16AF1" w:rsidRPr="00886F38" w:rsidRDefault="00F16AF1" w:rsidP="002D34D5">
      <w:pPr>
        <w:pStyle w:val="BodyText"/>
      </w:pPr>
      <w:r w:rsidRPr="00886F38">
        <w:t>This view is conf</w:t>
      </w:r>
      <w:r w:rsidR="0035028B">
        <w:t>irmed by programme data trends.</w:t>
      </w:r>
    </w:p>
    <w:p w14:paraId="12719647" w14:textId="77777777" w:rsidR="00F16AF1" w:rsidRPr="00886F38" w:rsidRDefault="00F16AF1" w:rsidP="002D34D5">
      <w:pPr>
        <w:pStyle w:val="BodyText"/>
      </w:pPr>
      <w:r w:rsidRPr="00886F38">
        <w:t>Demand for the programme has remained relatively consistent over the 25 years of its operation. This is evidenced by the number of applications received</w:t>
      </w:r>
      <w:r w:rsidR="00EC2EA3" w:rsidRPr="00886F38">
        <w:t>,</w:t>
      </w:r>
      <w:r w:rsidRPr="00886F38">
        <w:t xml:space="preserve"> with 744</w:t>
      </w:r>
      <w:r w:rsidR="007D3A21" w:rsidRPr="00886F38">
        <w:t> </w:t>
      </w:r>
      <w:r w:rsidRPr="00886F38">
        <w:t>applications submitted to the programme since it began, including 221 over the last 11 years (2004-2014). A typical selection round receives approximately 20</w:t>
      </w:r>
      <w:r w:rsidR="007D3A21" w:rsidRPr="00886F38">
        <w:t> </w:t>
      </w:r>
      <w:r w:rsidRPr="00886F38">
        <w:t>applications and in the majority of rounds there are more CRC applications ranked suitable for funding t</w:t>
      </w:r>
      <w:r w:rsidR="0035028B">
        <w:t>han there is funding available.</w:t>
      </w:r>
    </w:p>
    <w:p w14:paraId="2A9ECA42" w14:textId="77777777" w:rsidR="00F16AF1" w:rsidRPr="00886F38" w:rsidRDefault="00F16AF1" w:rsidP="002D34D5">
      <w:pPr>
        <w:pStyle w:val="BodyText"/>
      </w:pPr>
      <w:r w:rsidRPr="00886F38">
        <w:t xml:space="preserve">Demand exists across all organisation types including industry, universities, Australian Government and state </w:t>
      </w:r>
      <w:r w:rsidR="00852B83" w:rsidRPr="00886F38">
        <w:t xml:space="preserve">and territory </w:t>
      </w:r>
      <w:r w:rsidRPr="00886F38">
        <w:t xml:space="preserve">governments. Programme data shows that the ratio of participant contributions to the grant requested has increased </w:t>
      </w:r>
      <w:r w:rsidR="00852B83" w:rsidRPr="00886F38">
        <w:t>by 12</w:t>
      </w:r>
      <w:r w:rsidR="007D3A21" w:rsidRPr="00886F38">
        <w:t> </w:t>
      </w:r>
      <w:r w:rsidR="00852B83" w:rsidRPr="00886F38">
        <w:t xml:space="preserve">per cent </w:t>
      </w:r>
      <w:r w:rsidRPr="00886F38">
        <w:t xml:space="preserve">over the period from 2008 to 2014, indicating that participants see the programme as worthwhile and are willing to commit </w:t>
      </w:r>
      <w:r w:rsidR="00852B83" w:rsidRPr="00886F38">
        <w:t xml:space="preserve">increasing </w:t>
      </w:r>
      <w:r w:rsidR="0035028B">
        <w:t>resources to CRCs.</w:t>
      </w:r>
    </w:p>
    <w:p w14:paraId="28C1FCC0" w14:textId="77777777" w:rsidR="00F16AF1" w:rsidRPr="00886F38" w:rsidRDefault="00F16AF1" w:rsidP="002D34D5">
      <w:pPr>
        <w:pStyle w:val="BodyText"/>
      </w:pPr>
      <w:r w:rsidRPr="00886F38">
        <w:t xml:space="preserve">Industry/private sector organisations are the most </w:t>
      </w:r>
      <w:r w:rsidR="00852B83" w:rsidRPr="00886F38">
        <w:t xml:space="preserve">highly </w:t>
      </w:r>
      <w:r w:rsidRPr="00886F38">
        <w:t xml:space="preserve">represented partnering organisation type in the CRC Programme. Average contributions from </w:t>
      </w:r>
      <w:r w:rsidRPr="00886F38">
        <w:lastRenderedPageBreak/>
        <w:t xml:space="preserve">industry/private sector organisations (cash and in-kind) have </w:t>
      </w:r>
      <w:r w:rsidR="00852B83" w:rsidRPr="00886F38">
        <w:t xml:space="preserve">generally </w:t>
      </w:r>
      <w:r w:rsidRPr="00886F38">
        <w:t>increased over the period 2008 to 2014, further demonstrating increased industry</w:t>
      </w:r>
      <w:r w:rsidR="0035028B">
        <w:t xml:space="preserve"> demand.</w:t>
      </w:r>
    </w:p>
    <w:p w14:paraId="350A2320" w14:textId="77777777" w:rsidR="00F16AF1" w:rsidRPr="00886F38" w:rsidRDefault="00F16AF1" w:rsidP="002D34D5">
      <w:pPr>
        <w:pStyle w:val="BodyText"/>
      </w:pPr>
      <w:r w:rsidRPr="00886F38">
        <w:t>The programme has also been attracting new entrants in recent years. Since 2008, on average, 47% of all participants in CRC applications in each selection round have been new to the programme.</w:t>
      </w:r>
    </w:p>
    <w:p w14:paraId="60F24024" w14:textId="77777777" w:rsidR="00F16AF1" w:rsidRPr="00886F38" w:rsidRDefault="00472392" w:rsidP="002D34D5">
      <w:pPr>
        <w:pStyle w:val="BodyText"/>
      </w:pPr>
      <w:r w:rsidRPr="00886F38">
        <w:t>It was disappointing that t</w:t>
      </w:r>
      <w:r w:rsidR="00F16AF1" w:rsidRPr="00886F38">
        <w:t xml:space="preserve">here was little input from large businesses to this review. While the Minister for Industry and Science wrote to over one hundred large businesses across Australia, </w:t>
      </w:r>
      <w:r w:rsidR="00EC2EA3" w:rsidRPr="00886F38">
        <w:t xml:space="preserve">fewer </w:t>
      </w:r>
      <w:r w:rsidR="00F16AF1" w:rsidRPr="00886F38">
        <w:t>than ten responded. Similarly, few requested individual meetings and there was little representation from this cohort at the open information sessions. Th</w:t>
      </w:r>
      <w:r w:rsidR="00EC2EA3" w:rsidRPr="00886F38">
        <w:t>ose</w:t>
      </w:r>
      <w:r w:rsidRPr="00886F38">
        <w:t xml:space="preserve"> </w:t>
      </w:r>
      <w:r w:rsidR="00F16AF1" w:rsidRPr="00886F38">
        <w:t>that did engage suggested that there was little demand from them as they tended to undertake and/or commission their own research as required. Large firms indicated that they had a sound understanding of the research capacity in Australia, and overseas, and sourced what skills and expertise they required as needed. That said, these firms also indicated that they see value in participating in CRCs where the area of research is high risk, pre-competitive, or of potential f</w:t>
      </w:r>
      <w:r w:rsidR="008F2C1A">
        <w:t>uture interest to the business.</w:t>
      </w:r>
    </w:p>
    <w:p w14:paraId="489383CA" w14:textId="77777777" w:rsidR="00F16AF1" w:rsidRPr="00886F38" w:rsidRDefault="00F16AF1" w:rsidP="002D34D5">
      <w:pPr>
        <w:pStyle w:val="BodyText"/>
      </w:pPr>
      <w:r w:rsidRPr="00886F38">
        <w:t>Those large businesses that did provide input to the review also commented on the importance of the programme to increasing the innovation capacity of SMEs.</w:t>
      </w:r>
    </w:p>
    <w:p w14:paraId="5E33A6A3" w14:textId="77777777" w:rsidR="00F16AF1" w:rsidRPr="00886F38" w:rsidRDefault="00F16AF1" w:rsidP="002B7D90">
      <w:pPr>
        <w:pStyle w:val="Heading4"/>
        <w:ind w:left="0" w:firstLine="0"/>
        <w:rPr>
          <w:rFonts w:ascii="Arial" w:hAnsi="Arial" w:cs="Arial"/>
          <w:color w:val="auto"/>
        </w:rPr>
      </w:pPr>
      <w:bookmarkStart w:id="41" w:name="_Toc415042862"/>
      <w:r w:rsidRPr="00886F38">
        <w:rPr>
          <w:rFonts w:ascii="Arial" w:hAnsi="Arial" w:cs="Arial"/>
          <w:color w:val="auto"/>
        </w:rPr>
        <w:t>Australian economy</w:t>
      </w:r>
      <w:bookmarkEnd w:id="41"/>
    </w:p>
    <w:p w14:paraId="7E8C9546" w14:textId="77777777" w:rsidR="00F16AF1" w:rsidRPr="00886F38" w:rsidRDefault="00F16AF1" w:rsidP="002D34D5">
      <w:pPr>
        <w:pStyle w:val="BodyText"/>
      </w:pPr>
      <w:r w:rsidRPr="00886F38">
        <w:t xml:space="preserve">The </w:t>
      </w:r>
      <w:r w:rsidRPr="00886F38">
        <w:rPr>
          <w:rStyle w:val="Emphasis"/>
          <w:rFonts w:cs="Arial"/>
        </w:rPr>
        <w:t>Australian Industry Report 2014</w:t>
      </w:r>
      <w:r w:rsidRPr="00886F38">
        <w:t xml:space="preserve"> shows the Australian economy is driven by small and medium enterprises (SMEs), which are defined by the Australian Bureau of Statistics (ABS) as businesses employing less than 200 people. The ABS collects employment and other data across 18 different industry sectors, and on average almost two-thirds of all </w:t>
      </w:r>
      <w:r w:rsidR="00852B83" w:rsidRPr="00886F38">
        <w:t xml:space="preserve">Australian </w:t>
      </w:r>
      <w:r w:rsidRPr="00886F38">
        <w:t>jobs, or more than 7.2 million in 2012-13, are in SMEs</w:t>
      </w:r>
      <w:r w:rsidR="003C091F" w:rsidRPr="00886F38">
        <w:rPr>
          <w:rStyle w:val="FootnoteReference"/>
          <w:rFonts w:cs="Arial"/>
        </w:rPr>
        <w:footnoteReference w:id="5"/>
      </w:r>
      <w:r w:rsidR="008F2C1A">
        <w:t>.</w:t>
      </w:r>
    </w:p>
    <w:p w14:paraId="7247AB5E" w14:textId="77777777" w:rsidR="002C3E09" w:rsidRDefault="002C3E09" w:rsidP="002D34D5">
      <w:pPr>
        <w:pStyle w:val="BodyText"/>
      </w:pPr>
      <w:r w:rsidRPr="002C3E09">
        <w:t xml:space="preserve">Business expenditure on R&amp;D, on the other hand, is mostly concentrated in large firms, and even further concentrated in three industry sectors – Mining, Manufacturing and Professional, Scientific and Technical services. ABS data for 2011-12 shows that these three sectors are responsible for more than 60% of private </w:t>
      </w:r>
      <w:r w:rsidRPr="002C3E09">
        <w:lastRenderedPageBreak/>
        <w:t>sector R&amp;D expenditure and a similar proportion of private sector human resources dedicated to R&amp;D</w:t>
      </w:r>
      <w:r w:rsidRPr="002C3E09">
        <w:rPr>
          <w:vertAlign w:val="superscript"/>
        </w:rPr>
        <w:footnoteReference w:id="6"/>
      </w:r>
      <w:r w:rsidR="008F2C1A">
        <w:t>.</w:t>
      </w:r>
    </w:p>
    <w:p w14:paraId="4286289D" w14:textId="77777777" w:rsidR="002C3E09" w:rsidRDefault="002C3E09" w:rsidP="002D34D5">
      <w:pPr>
        <w:pStyle w:val="BodyText"/>
      </w:pPr>
      <w:r w:rsidRPr="002C3E09">
        <w:t>However, most of Australia’s R&amp;D workforce is employed in universities and publicly funded research agencies</w:t>
      </w:r>
      <w:r w:rsidRPr="002C3E09">
        <w:rPr>
          <w:vertAlign w:val="superscript"/>
        </w:rPr>
        <w:footnoteReference w:id="7"/>
      </w:r>
      <w:r w:rsidRPr="002C3E09">
        <w:t>.</w:t>
      </w:r>
    </w:p>
    <w:p w14:paraId="2FD0E56E" w14:textId="77777777" w:rsidR="00797A2B" w:rsidRPr="002C34C9" w:rsidRDefault="00797A2B" w:rsidP="002D34D5">
      <w:pPr>
        <w:pStyle w:val="BodyText"/>
        <w:rPr>
          <w:rStyle w:val="Strong"/>
        </w:rPr>
      </w:pPr>
      <w:r w:rsidRPr="002C34C9">
        <w:rPr>
          <w:rStyle w:val="Strong"/>
        </w:rPr>
        <w:t xml:space="preserve">Figure </w:t>
      </w:r>
      <w:r w:rsidR="007D1145" w:rsidRPr="002C34C9">
        <w:rPr>
          <w:rStyle w:val="Strong"/>
        </w:rPr>
        <w:t>3</w:t>
      </w:r>
      <w:r w:rsidR="00BC5310" w:rsidRPr="002C34C9">
        <w:rPr>
          <w:rStyle w:val="Strong"/>
        </w:rPr>
        <w:t>:</w:t>
      </w:r>
      <w:r w:rsidRPr="002C34C9">
        <w:rPr>
          <w:rStyle w:val="Strong"/>
        </w:rPr>
        <w:t xml:space="preserve"> Research workforce by broad sector, 2008-09</w:t>
      </w:r>
    </w:p>
    <w:p w14:paraId="7BFE70FE" w14:textId="77777777" w:rsidR="00797A2B" w:rsidRPr="00886F38" w:rsidRDefault="00797A2B" w:rsidP="002D34D5">
      <w:pPr>
        <w:pStyle w:val="BodyText"/>
      </w:pPr>
      <w:r w:rsidRPr="004E6EF0">
        <w:rPr>
          <w:rStyle w:val="CommentReference"/>
          <w:noProof/>
          <w:lang w:eastAsia="en-AU"/>
        </w:rPr>
        <w:drawing>
          <wp:inline distT="0" distB="0" distL="0" distR="0" wp14:anchorId="2E3DA9AB" wp14:editId="0EA2DFA3">
            <wp:extent cx="5287617" cy="2647784"/>
            <wp:effectExtent l="0" t="0" r="27940" b="19685"/>
            <wp:docPr id="2" name="Chart 2" descr="Pie chart showing different Australian sectors’ share of human resources dedicated to research and development. Includes Business (39%), government (12.5%), higher education (45%) and non-profit (3.5%) sectors. " title="Research workforce by broad sector, 2008-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B41BDC7" w14:textId="77777777" w:rsidR="00F16AF1" w:rsidRDefault="00F16AF1" w:rsidP="002D34D5">
      <w:pPr>
        <w:pStyle w:val="BodyText"/>
      </w:pPr>
      <w:r w:rsidRPr="00886F38">
        <w:t xml:space="preserve">This is one of the </w:t>
      </w:r>
      <w:r w:rsidR="003C091F" w:rsidRPr="00886F38">
        <w:t>particular</w:t>
      </w:r>
      <w:r w:rsidRPr="00886F38">
        <w:t xml:space="preserve"> characteristics of the Australian economy: the public sector accounts for less than 40% of gross expenditure on R&amp;D but employs almost 60% of the research workforce, whereas the private sector is responsible for more than 60% of gross expenditure on R&amp;D but only about 40% of the research workforce.</w:t>
      </w:r>
    </w:p>
    <w:p w14:paraId="541A5EB9" w14:textId="77777777" w:rsidR="002C34C9" w:rsidRDefault="002C34C9">
      <w:pPr>
        <w:spacing w:line="240" w:lineRule="auto"/>
        <w:rPr>
          <w:rStyle w:val="Strong"/>
          <w:rFonts w:eastAsiaTheme="minorHAnsi"/>
          <w:szCs w:val="20"/>
        </w:rPr>
      </w:pPr>
      <w:r>
        <w:rPr>
          <w:rStyle w:val="Strong"/>
        </w:rPr>
        <w:br w:type="page"/>
      </w:r>
    </w:p>
    <w:p w14:paraId="12B0BA8C" w14:textId="77777777" w:rsidR="00BC5310" w:rsidRPr="002C34C9" w:rsidRDefault="00BC5310" w:rsidP="002D34D5">
      <w:pPr>
        <w:pStyle w:val="BodyText"/>
        <w:rPr>
          <w:rStyle w:val="Strong"/>
        </w:rPr>
      </w:pPr>
      <w:r w:rsidRPr="002C34C9">
        <w:rPr>
          <w:rStyle w:val="Strong"/>
        </w:rPr>
        <w:lastRenderedPageBreak/>
        <w:t xml:space="preserve">Figure </w:t>
      </w:r>
      <w:r w:rsidR="007D1145" w:rsidRPr="002C34C9">
        <w:rPr>
          <w:rStyle w:val="Strong"/>
        </w:rPr>
        <w:t>4</w:t>
      </w:r>
      <w:r w:rsidRPr="002C34C9">
        <w:rPr>
          <w:rStyle w:val="Strong"/>
        </w:rPr>
        <w:t>: Research expenditure by broad sector, 2008-09</w:t>
      </w:r>
    </w:p>
    <w:p w14:paraId="20F15072" w14:textId="77777777" w:rsidR="00BC5310" w:rsidRPr="00BC5310" w:rsidRDefault="00BC5310" w:rsidP="002D34D5">
      <w:pPr>
        <w:pStyle w:val="BodyText"/>
      </w:pPr>
      <w:r>
        <w:rPr>
          <w:noProof/>
          <w:lang w:eastAsia="en-AU"/>
        </w:rPr>
        <w:drawing>
          <wp:inline distT="0" distB="0" distL="0" distR="0" wp14:anchorId="196A33E1" wp14:editId="1A54F30A">
            <wp:extent cx="5279666" cy="2377440"/>
            <wp:effectExtent l="0" t="0" r="16510" b="22860"/>
            <wp:docPr id="3" name="Chart 3" descr="Pie chart showing different Australian sectors’ share of expenditure on research and development. Includes Business (60.77%), government (12.33%), higher education (24.21%) and non-profit (2.68%) sectors." title="Research expenditure by broad sector, 2008-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4A7F91B" w14:textId="77777777" w:rsidR="00F16AF1" w:rsidRPr="00886F38" w:rsidRDefault="00F16AF1" w:rsidP="002D34D5">
      <w:pPr>
        <w:pStyle w:val="BodyText"/>
      </w:pPr>
      <w:r w:rsidRPr="00886F38">
        <w:t>In many ways, this mismatch between expenditure and capabilities should be a strong driver for collaboration between industry and research. Yet this is an area where Au</w:t>
      </w:r>
      <w:r w:rsidR="002B7D90" w:rsidRPr="00886F38">
        <w:t>s</w:t>
      </w:r>
      <w:r w:rsidRPr="00886F38">
        <w:t>tralia continu</w:t>
      </w:r>
      <w:r w:rsidR="008F2C1A">
        <w:t>es to perform poorly.</w:t>
      </w:r>
    </w:p>
    <w:p w14:paraId="1B0C7CE4" w14:textId="77777777" w:rsidR="00F16AF1" w:rsidRPr="00886F38" w:rsidRDefault="00F16AF1" w:rsidP="002D34D5">
      <w:pPr>
        <w:pStyle w:val="BodyText"/>
      </w:pPr>
      <w:r w:rsidRPr="00886F38">
        <w:t xml:space="preserve">The major challenge for Australia, given the overall shape of the economy and innovation sector characteristics, is to encourage more innovative activity in, and more collaboration by, </w:t>
      </w:r>
      <w:r w:rsidR="003C091F" w:rsidRPr="00886F38">
        <w:t xml:space="preserve">industry, especially </w:t>
      </w:r>
      <w:r w:rsidRPr="00886F38">
        <w:t xml:space="preserve">SMEs. In particular, according to the </w:t>
      </w:r>
      <w:r w:rsidRPr="00474FD8">
        <w:rPr>
          <w:rStyle w:val="Emphasis"/>
        </w:rPr>
        <w:t>Australian Innovation System Report 2014</w:t>
      </w:r>
      <w:r w:rsidRPr="00886F38">
        <w:t>:</w:t>
      </w:r>
    </w:p>
    <w:p w14:paraId="492008E0" w14:textId="77777777" w:rsidR="00F16AF1" w:rsidRPr="00886F38" w:rsidRDefault="00F16AF1" w:rsidP="002D34D5">
      <w:pPr>
        <w:pStyle w:val="BodyText"/>
      </w:pPr>
      <w:r w:rsidRPr="00886F38">
        <w:t xml:space="preserve">More systemic strategies may be needed to encourage the innovation system to function more effectively, such as encouraging a management culture shift in Australian firms to one of external orientation and providing stronger incentives for the university </w:t>
      </w:r>
      <w:r w:rsidR="009E5E13">
        <w:t>sector to engage with industry.</w:t>
      </w:r>
    </w:p>
    <w:p w14:paraId="6D014F3E" w14:textId="77777777" w:rsidR="003C091F" w:rsidRPr="00886F38" w:rsidRDefault="003C091F" w:rsidP="002D34D5">
      <w:pPr>
        <w:pStyle w:val="BodyText"/>
      </w:pPr>
      <w:r w:rsidRPr="00886F38">
        <w:t xml:space="preserve">The message repeated by stakeholders was that the CRC Programme provides both an important opportunity and a driver for collaboration between industry and research that is not present elsewhere in the range of Australian and State or Territory Government programmes, but that even greater industry focus in the programme would be beneficial. A table of government programmes currently available </w:t>
      </w:r>
      <w:r w:rsidRPr="007B08AD">
        <w:t xml:space="preserve">is at </w:t>
      </w:r>
      <w:r w:rsidR="007B08AD" w:rsidRPr="007B08AD">
        <w:t>Part 3 Section 5</w:t>
      </w:r>
      <w:r w:rsidRPr="007B08AD">
        <w:t>. The</w:t>
      </w:r>
      <w:r w:rsidRPr="00886F38">
        <w:t xml:space="preserve"> review concurs with the feedback received that none of the other programmes provide the same kind of collaborative opportunities and incentives as the CRC Programme.</w:t>
      </w:r>
    </w:p>
    <w:p w14:paraId="6649DD81" w14:textId="77777777" w:rsidR="00CB540F" w:rsidRDefault="003C091F" w:rsidP="002D34D5">
      <w:pPr>
        <w:pStyle w:val="BodyText"/>
        <w:rPr>
          <w:rFonts w:cs="Arial"/>
        </w:rPr>
      </w:pPr>
      <w:r w:rsidRPr="00886F38">
        <w:t xml:space="preserve">The recommended changes to sharpen the focus of the programme will provide clarity and direction for potential CRC Programme applicants, moving to ‘industry’ being the focus of the programme, instead of the more ephemeral ‘end-users’. This is in line with the government’s broader approach to industry and research policy through the </w:t>
      </w:r>
      <w:r w:rsidRPr="00474FD8">
        <w:rPr>
          <w:rStyle w:val="Emphasis"/>
        </w:rPr>
        <w:t xml:space="preserve">Industry Innovation </w:t>
      </w:r>
      <w:r w:rsidR="00C314F6" w:rsidRPr="00474FD8">
        <w:rPr>
          <w:rStyle w:val="Emphasis"/>
        </w:rPr>
        <w:t xml:space="preserve">and </w:t>
      </w:r>
      <w:r w:rsidRPr="00474FD8">
        <w:rPr>
          <w:rStyle w:val="Emphasis"/>
        </w:rPr>
        <w:t>Competitiveness Agenda</w:t>
      </w:r>
      <w:r w:rsidRPr="00886F38">
        <w:rPr>
          <w:i/>
        </w:rPr>
        <w:t xml:space="preserve"> </w:t>
      </w:r>
      <w:r w:rsidRPr="00886F38">
        <w:t>and</w:t>
      </w:r>
      <w:r w:rsidR="00C314F6">
        <w:t xml:space="preserve"> the</w:t>
      </w:r>
      <w:r w:rsidRPr="00886F38">
        <w:rPr>
          <w:i/>
        </w:rPr>
        <w:t xml:space="preserve"> </w:t>
      </w:r>
      <w:r w:rsidRPr="00474FD8">
        <w:rPr>
          <w:rStyle w:val="Emphasis"/>
        </w:rPr>
        <w:t xml:space="preserve">Boosting the </w:t>
      </w:r>
      <w:r w:rsidRPr="00474FD8">
        <w:rPr>
          <w:rStyle w:val="Emphasis"/>
        </w:rPr>
        <w:lastRenderedPageBreak/>
        <w:t>Commercial Returns from Research</w:t>
      </w:r>
      <w:r w:rsidRPr="00886F38">
        <w:t xml:space="preserve"> strategy, where greater collaboration and interaction between research and industry is a key goal.</w:t>
      </w:r>
      <w:r w:rsidR="00CB540F">
        <w:rPr>
          <w:rFonts w:cs="Arial"/>
        </w:rPr>
        <w:br w:type="page"/>
      </w:r>
    </w:p>
    <w:p w14:paraId="3AC391EE" w14:textId="77777777" w:rsidR="00CB540F" w:rsidRPr="00CB540F" w:rsidRDefault="00CB540F" w:rsidP="005E4F89">
      <w:pPr>
        <w:pStyle w:val="Heading2"/>
      </w:pPr>
      <w:bookmarkStart w:id="42" w:name="_Toc413948622"/>
      <w:bookmarkStart w:id="43" w:name="_Toc415042863"/>
      <w:r w:rsidRPr="00CB540F">
        <w:lastRenderedPageBreak/>
        <w:t>Part 3: Background and process</w:t>
      </w:r>
      <w:bookmarkEnd w:id="42"/>
      <w:bookmarkEnd w:id="43"/>
    </w:p>
    <w:p w14:paraId="7BC218CC" w14:textId="77777777" w:rsidR="00CB540F" w:rsidRPr="00CB540F" w:rsidRDefault="00CB540F" w:rsidP="00CC5BF1">
      <w:pPr>
        <w:pStyle w:val="Heading3"/>
        <w:ind w:left="0" w:firstLine="0"/>
      </w:pPr>
      <w:bookmarkStart w:id="44" w:name="_Toc413232552"/>
      <w:bookmarkStart w:id="45" w:name="_Toc413948623"/>
      <w:bookmarkStart w:id="46" w:name="_Toc415042864"/>
      <w:r w:rsidRPr="00CB540F">
        <w:t>1. Review process</w:t>
      </w:r>
      <w:bookmarkEnd w:id="44"/>
      <w:bookmarkEnd w:id="45"/>
      <w:bookmarkEnd w:id="46"/>
    </w:p>
    <w:p w14:paraId="603E32EF" w14:textId="77777777" w:rsidR="00CB540F" w:rsidRPr="00CB540F" w:rsidRDefault="00CB540F" w:rsidP="002D34D5">
      <w:pPr>
        <w:pStyle w:val="BodyText"/>
      </w:pPr>
      <w:r w:rsidRPr="00CB540F">
        <w:t>This section of the report covers the review process including:</w:t>
      </w:r>
    </w:p>
    <w:p w14:paraId="4D34D929" w14:textId="77777777" w:rsidR="00CB540F" w:rsidRPr="00CB540F" w:rsidRDefault="00CB540F" w:rsidP="00474FD8">
      <w:pPr>
        <w:pStyle w:val="ListBullet"/>
        <w:rPr>
          <w:rFonts w:eastAsiaTheme="minorHAnsi"/>
        </w:rPr>
      </w:pPr>
      <w:r w:rsidRPr="00CB540F">
        <w:rPr>
          <w:rFonts w:eastAsiaTheme="minorHAnsi"/>
        </w:rPr>
        <w:t>the approach and processes used in this review;</w:t>
      </w:r>
    </w:p>
    <w:p w14:paraId="7F7BC7AB" w14:textId="77777777" w:rsidR="00CB540F" w:rsidRPr="00CB540F" w:rsidRDefault="00CB540F" w:rsidP="00474FD8">
      <w:pPr>
        <w:pStyle w:val="ListBullet"/>
        <w:rPr>
          <w:rFonts w:eastAsiaTheme="minorHAnsi"/>
        </w:rPr>
      </w:pPr>
      <w:r w:rsidRPr="00CB540F">
        <w:rPr>
          <w:rFonts w:eastAsiaTheme="minorHAnsi"/>
        </w:rPr>
        <w:t>Terms of Reference; and</w:t>
      </w:r>
    </w:p>
    <w:p w14:paraId="4AA7D9CA" w14:textId="77777777" w:rsidR="00CB540F" w:rsidRPr="00CB540F" w:rsidRDefault="00CB540F" w:rsidP="00474FD8">
      <w:pPr>
        <w:pStyle w:val="ListBullet"/>
        <w:rPr>
          <w:rFonts w:eastAsiaTheme="minorHAnsi"/>
        </w:rPr>
      </w:pPr>
      <w:r w:rsidRPr="00CB540F">
        <w:rPr>
          <w:rFonts w:eastAsiaTheme="minorHAnsi"/>
        </w:rPr>
        <w:t>a list of consultations and submissions.</w:t>
      </w:r>
    </w:p>
    <w:p w14:paraId="245AFF2A" w14:textId="77777777" w:rsidR="00CB540F" w:rsidRPr="00CB540F" w:rsidRDefault="00CB540F" w:rsidP="00CC5BF1">
      <w:pPr>
        <w:pStyle w:val="Heading4"/>
        <w:ind w:left="0" w:firstLine="0"/>
      </w:pPr>
      <w:bookmarkStart w:id="47" w:name="_Toc413948624"/>
      <w:bookmarkStart w:id="48" w:name="_Toc415042865"/>
      <w:r w:rsidRPr="00CB540F">
        <w:t>1.1 Approach to this review</w:t>
      </w:r>
      <w:bookmarkEnd w:id="47"/>
      <w:bookmarkEnd w:id="48"/>
    </w:p>
    <w:p w14:paraId="51FBAD7F" w14:textId="77777777" w:rsidR="00CB540F" w:rsidRPr="00CB540F" w:rsidRDefault="00CB540F" w:rsidP="002D34D5">
      <w:pPr>
        <w:pStyle w:val="BodyText"/>
      </w:pPr>
      <w:r w:rsidRPr="00CB540F">
        <w:t xml:space="preserve">This review of the </w:t>
      </w:r>
      <w:r w:rsidRPr="00CB540F">
        <w:rPr>
          <w:iCs/>
        </w:rPr>
        <w:t xml:space="preserve">Cooperative Research Centres (CRC) </w:t>
      </w:r>
      <w:r w:rsidRPr="00CB540F">
        <w:t>Programme was announced on 16 September 2014. The Minister set terms of reference and appointed Mr David Miles AM to lead an independent assessment of the programme against these terms of reference.</w:t>
      </w:r>
    </w:p>
    <w:p w14:paraId="3F3BC6AA" w14:textId="77777777" w:rsidR="00CB540F" w:rsidRPr="00CB540F" w:rsidRDefault="00CB540F" w:rsidP="002D34D5">
      <w:pPr>
        <w:pStyle w:val="BodyText"/>
      </w:pPr>
      <w:r w:rsidRPr="00CB540F">
        <w:t>This review is part of the five-yearly schedule of reviews of Australian Government programmes, but is also an important opportunity to look at whether the programme is the most appropriate vehicle to support business and researchers to work together to develop and transition to Australia’s industries of the future. The terms of reference reflect this focus.</w:t>
      </w:r>
    </w:p>
    <w:p w14:paraId="73414651" w14:textId="77777777" w:rsidR="00CB540F" w:rsidRPr="00CB540F" w:rsidRDefault="00CB540F" w:rsidP="002D34D5">
      <w:pPr>
        <w:pStyle w:val="BodyText"/>
      </w:pPr>
      <w:r w:rsidRPr="00CB540F">
        <w:t xml:space="preserve">The review has been conducted in the context of the government’s </w:t>
      </w:r>
      <w:r w:rsidRPr="00474FD8">
        <w:rPr>
          <w:rStyle w:val="Emphasis"/>
        </w:rPr>
        <w:t>Industry Innovation and Competitiveness Agenda</w:t>
      </w:r>
      <w:r w:rsidRPr="00C314F6">
        <w:rPr>
          <w:i/>
        </w:rPr>
        <w:t>.</w:t>
      </w:r>
    </w:p>
    <w:p w14:paraId="2A33741C" w14:textId="77777777" w:rsidR="00717BC1" w:rsidRPr="00CB540F" w:rsidRDefault="00717BC1" w:rsidP="007B08AD">
      <w:pPr>
        <w:pStyle w:val="Heading4"/>
        <w:ind w:left="0" w:firstLine="0"/>
      </w:pPr>
      <w:bookmarkStart w:id="49" w:name="_Toc413232554"/>
      <w:bookmarkStart w:id="50" w:name="_Toc413948625"/>
      <w:bookmarkStart w:id="51" w:name="_Toc415042866"/>
      <w:r w:rsidRPr="00CB540F">
        <w:t>1.2 Terms of Reference</w:t>
      </w:r>
      <w:bookmarkEnd w:id="49"/>
      <w:bookmarkEnd w:id="50"/>
      <w:bookmarkEnd w:id="51"/>
    </w:p>
    <w:p w14:paraId="12FA1231" w14:textId="77777777" w:rsidR="00717BC1" w:rsidRPr="00CB540F" w:rsidRDefault="00717BC1" w:rsidP="002D34D5">
      <w:pPr>
        <w:pStyle w:val="BodyText"/>
      </w:pPr>
      <w:r w:rsidRPr="00CB540F">
        <w:t>The Terms of Reference for this review were:</w:t>
      </w:r>
    </w:p>
    <w:p w14:paraId="1E98A83C" w14:textId="77777777" w:rsidR="00717BC1" w:rsidRPr="00CB540F" w:rsidRDefault="00717BC1" w:rsidP="002D34D5">
      <w:pPr>
        <w:pStyle w:val="BodyText"/>
        <w:rPr>
          <w:lang w:eastAsia="en-AU"/>
        </w:rPr>
      </w:pPr>
      <w:r w:rsidRPr="00CB540F">
        <w:rPr>
          <w:lang w:eastAsia="en-AU"/>
        </w:rPr>
        <w:t>The objective of the Coop</w:t>
      </w:r>
      <w:r>
        <w:rPr>
          <w:lang w:eastAsia="en-AU"/>
        </w:rPr>
        <w:t>erative Research Centres (CRC) P</w:t>
      </w:r>
      <w:r w:rsidRPr="00CB540F">
        <w:rPr>
          <w:lang w:eastAsia="en-AU"/>
        </w:rPr>
        <w:t>rogramme has been to deliver significant economic, environmental and social benefits to Australia by supporting end-user driven research partnerships between publicly funded researchers and end-users to address clearly articulated, major challenges that require medium to long-term collaborative efforts.</w:t>
      </w:r>
    </w:p>
    <w:p w14:paraId="617AD5BE" w14:textId="77777777" w:rsidR="008664A6" w:rsidRDefault="00717BC1" w:rsidP="002D34D5">
      <w:pPr>
        <w:pStyle w:val="BodyText"/>
        <w:rPr>
          <w:lang w:eastAsia="en-AU"/>
        </w:rPr>
      </w:pPr>
      <w:r w:rsidRPr="00CB540F">
        <w:rPr>
          <w:lang w:eastAsia="en-AU"/>
        </w:rPr>
        <w:t>Australia’s prosperity depends on our ability to transform and modernise our economy. The 25th annive</w:t>
      </w:r>
      <w:r>
        <w:rPr>
          <w:lang w:eastAsia="en-AU"/>
        </w:rPr>
        <w:t>rsary of the launch of the CRC P</w:t>
      </w:r>
      <w:r w:rsidRPr="00CB540F">
        <w:rPr>
          <w:lang w:eastAsia="en-AU"/>
        </w:rPr>
        <w:t>rogramme is approaching. At this juncture it is time</w:t>
      </w:r>
      <w:r>
        <w:rPr>
          <w:lang w:eastAsia="en-AU"/>
        </w:rPr>
        <w:t>ly to consider whether the CRC P</w:t>
      </w:r>
      <w:r w:rsidRPr="00CB540F">
        <w:rPr>
          <w:lang w:eastAsia="en-AU"/>
        </w:rPr>
        <w:t>rogramme is the most appropriate vehicle to support business and researchers to work together to develop and transition to Australia’s industries of the future.</w:t>
      </w:r>
      <w:r w:rsidR="008664A6">
        <w:rPr>
          <w:lang w:eastAsia="en-AU"/>
        </w:rPr>
        <w:br w:type="page"/>
      </w:r>
    </w:p>
    <w:p w14:paraId="4066D2F5" w14:textId="77777777" w:rsidR="00717BC1" w:rsidRPr="00CB540F" w:rsidRDefault="00717BC1" w:rsidP="002D34D5">
      <w:pPr>
        <w:pStyle w:val="BodyText"/>
        <w:rPr>
          <w:lang w:eastAsia="en-AU"/>
        </w:rPr>
      </w:pPr>
      <w:r w:rsidRPr="00CB540F">
        <w:rPr>
          <w:lang w:eastAsia="en-AU"/>
        </w:rPr>
        <w:lastRenderedPageBreak/>
        <w:t>In addressing the terms of reference below, the review will examine other Australian and international approaches to supporting end-user driven research partnerships that drive industry growth and competitiveness. The review will also consider the content of the Commission of Audit reports, particularly in relation to research, development and innovation.</w:t>
      </w:r>
    </w:p>
    <w:p w14:paraId="43B7E149" w14:textId="77777777" w:rsidR="00717BC1" w:rsidRPr="00474FD8" w:rsidRDefault="00717BC1" w:rsidP="002D34D5">
      <w:pPr>
        <w:pStyle w:val="Heading5alphabet"/>
        <w:rPr>
          <w:rStyle w:val="Strong"/>
        </w:rPr>
      </w:pPr>
      <w:r w:rsidRPr="00474FD8">
        <w:rPr>
          <w:rStyle w:val="Strong"/>
        </w:rPr>
        <w:t>A. Is the CRC Programme the right vehicle for achieving the Government’s priorities for applied science and research? If not, what sort of programme would be more effective?</w:t>
      </w:r>
    </w:p>
    <w:p w14:paraId="004A9706" w14:textId="77777777" w:rsidR="002B0BD3" w:rsidRDefault="00717BC1" w:rsidP="002B0BD3">
      <w:pPr>
        <w:pStyle w:val="ListBullet"/>
        <w:rPr>
          <w:lang w:eastAsia="en-AU"/>
        </w:rPr>
      </w:pPr>
      <w:r>
        <w:rPr>
          <w:lang w:eastAsia="en-AU"/>
        </w:rPr>
        <w:t>Does the CRC P</w:t>
      </w:r>
      <w:r w:rsidRPr="00CB540F">
        <w:rPr>
          <w:lang w:eastAsia="en-AU"/>
        </w:rPr>
        <w:t>rogramme effectively encourage and facilitate industry and the research sector to work together to:</w:t>
      </w:r>
    </w:p>
    <w:p w14:paraId="48906B10" w14:textId="77777777" w:rsidR="00717BC1" w:rsidRDefault="00717BC1" w:rsidP="002B0BD3">
      <w:pPr>
        <w:pStyle w:val="ListBullet"/>
        <w:ind w:left="1069"/>
        <w:rPr>
          <w:lang w:eastAsia="en-AU"/>
        </w:rPr>
      </w:pPr>
      <w:r w:rsidRPr="00772D52">
        <w:t>solve problems for business;</w:t>
      </w:r>
    </w:p>
    <w:p w14:paraId="67683342" w14:textId="77777777" w:rsidR="00717BC1" w:rsidRDefault="00717BC1" w:rsidP="002B0BD3">
      <w:pPr>
        <w:pStyle w:val="ListBullet"/>
        <w:ind w:left="1069"/>
        <w:rPr>
          <w:lang w:eastAsia="en-AU"/>
        </w:rPr>
      </w:pPr>
      <w:r w:rsidRPr="00772D52">
        <w:t>help industries adapt to change; and</w:t>
      </w:r>
    </w:p>
    <w:p w14:paraId="2383492A" w14:textId="77777777" w:rsidR="00717BC1" w:rsidRPr="00772D52" w:rsidRDefault="00717BC1" w:rsidP="002B0BD3">
      <w:pPr>
        <w:pStyle w:val="ListBullet"/>
        <w:ind w:left="1069"/>
        <w:rPr>
          <w:lang w:eastAsia="en-AU"/>
        </w:rPr>
      </w:pPr>
      <w:r w:rsidRPr="00772D52">
        <w:t>improve economic outcomes for the nation?</w:t>
      </w:r>
    </w:p>
    <w:p w14:paraId="7E9A9018" w14:textId="77777777" w:rsidR="00717BC1" w:rsidRPr="00CB540F" w:rsidRDefault="00717BC1" w:rsidP="00772D52">
      <w:pPr>
        <w:pStyle w:val="ListBullet"/>
        <w:rPr>
          <w:lang w:eastAsia="en-AU"/>
        </w:rPr>
      </w:pPr>
      <w:r w:rsidRPr="00CB540F">
        <w:rPr>
          <w:lang w:eastAsia="en-AU"/>
        </w:rPr>
        <w:t>How should the objective of the programme be articulated so as to best convey the Government’s priorities for applied science and research?</w:t>
      </w:r>
    </w:p>
    <w:p w14:paraId="0A96DFA2" w14:textId="77777777" w:rsidR="00717BC1" w:rsidRPr="00CB540F" w:rsidRDefault="00717BC1" w:rsidP="00772D52">
      <w:pPr>
        <w:pStyle w:val="ListBullet"/>
        <w:rPr>
          <w:lang w:eastAsia="en-AU"/>
        </w:rPr>
      </w:pPr>
      <w:r w:rsidRPr="00CB540F">
        <w:rPr>
          <w:lang w:eastAsia="en-AU"/>
        </w:rPr>
        <w:t>Are there other domestic or international approaches to driving industry growth and competitiveness through applied science and research that might be more appropriate in today’s economy?</w:t>
      </w:r>
    </w:p>
    <w:p w14:paraId="590E0784" w14:textId="77777777" w:rsidR="00717BC1" w:rsidRPr="00772D52" w:rsidRDefault="00717BC1" w:rsidP="002D34D5">
      <w:pPr>
        <w:pStyle w:val="Heading5alphabet"/>
        <w:rPr>
          <w:rStyle w:val="Strong"/>
        </w:rPr>
      </w:pPr>
      <w:r w:rsidRPr="00772D52">
        <w:rPr>
          <w:rStyle w:val="Strong"/>
        </w:rPr>
        <w:t xml:space="preserve">B.  How can the government’s </w:t>
      </w:r>
      <w:r w:rsidRPr="008A7192">
        <w:rPr>
          <w:rStyle w:val="Strong"/>
          <w:rFonts w:cs="Times New Roman"/>
          <w:b w:val="0"/>
        </w:rPr>
        <w:t>investment</w:t>
      </w:r>
      <w:r w:rsidRPr="00772D52">
        <w:rPr>
          <w:rStyle w:val="Strong"/>
        </w:rPr>
        <w:t xml:space="preserve"> in the CRC Programme better deliver outcomes for industry?</w:t>
      </w:r>
    </w:p>
    <w:p w14:paraId="0A433F9A" w14:textId="77777777" w:rsidR="00717BC1" w:rsidRPr="00CB540F" w:rsidRDefault="00717BC1" w:rsidP="00772D52">
      <w:pPr>
        <w:pStyle w:val="ListBullet"/>
        <w:rPr>
          <w:lang w:eastAsia="en-AU"/>
        </w:rPr>
      </w:pPr>
      <w:r w:rsidRPr="00CB540F">
        <w:rPr>
          <w:lang w:eastAsia="en-AU"/>
        </w:rPr>
        <w:t>Do the governance, IP and other commercialisation-related practices of CRCs inhibit application of CRC-driven research? How can this be addressed?</w:t>
      </w:r>
    </w:p>
    <w:p w14:paraId="50EBB8F5" w14:textId="77777777" w:rsidR="00717BC1" w:rsidRPr="00CB540F" w:rsidRDefault="00717BC1" w:rsidP="00772D52">
      <w:pPr>
        <w:pStyle w:val="ListBullet"/>
        <w:rPr>
          <w:lang w:eastAsia="en-AU"/>
        </w:rPr>
      </w:pPr>
      <w:r w:rsidRPr="00CB540F">
        <w:rPr>
          <w:lang w:eastAsia="en-AU"/>
        </w:rPr>
        <w:t>To what extent does the programme address the needs of small and medium enterprises?</w:t>
      </w:r>
    </w:p>
    <w:p w14:paraId="7E2369D0" w14:textId="77777777" w:rsidR="00717BC1" w:rsidRPr="00CB540F" w:rsidRDefault="00717BC1" w:rsidP="00772D52">
      <w:pPr>
        <w:pStyle w:val="ListBullet"/>
        <w:rPr>
          <w:lang w:eastAsia="en-AU"/>
        </w:rPr>
      </w:pPr>
      <w:r w:rsidRPr="00CB540F">
        <w:rPr>
          <w:lang w:eastAsia="en-AU"/>
        </w:rPr>
        <w:t>To what extent are the research activities undertaken driven by industry (as opposed to research organisations)?</w:t>
      </w:r>
    </w:p>
    <w:p w14:paraId="2F9F5676" w14:textId="77777777" w:rsidR="00717BC1" w:rsidRPr="00CB540F" w:rsidRDefault="00717BC1" w:rsidP="00772D52">
      <w:pPr>
        <w:pStyle w:val="ListBullet"/>
        <w:rPr>
          <w:lang w:eastAsia="en-AU"/>
        </w:rPr>
      </w:pPr>
      <w:r w:rsidRPr="00CB540F">
        <w:rPr>
          <w:lang w:eastAsia="en-AU"/>
        </w:rPr>
        <w:t>Do ‘priority areas’ assist in meeting the needs of industry?</w:t>
      </w:r>
    </w:p>
    <w:p w14:paraId="0EC4B720" w14:textId="77777777" w:rsidR="00717BC1" w:rsidRPr="00772D52" w:rsidRDefault="00717BC1" w:rsidP="002D34D5">
      <w:pPr>
        <w:pStyle w:val="Heading5alphabet"/>
        <w:rPr>
          <w:rStyle w:val="Strong"/>
        </w:rPr>
      </w:pPr>
      <w:r w:rsidRPr="00772D52">
        <w:rPr>
          <w:rStyle w:val="Strong"/>
        </w:rPr>
        <w:t>C.  How can the government’s investment in the CRC Programme further drive more frequent and more effective collaboration between industry and the research sector?</w:t>
      </w:r>
    </w:p>
    <w:p w14:paraId="2BB1FA54" w14:textId="77777777" w:rsidR="00717BC1" w:rsidRPr="00CB540F" w:rsidRDefault="00717BC1" w:rsidP="00772D52">
      <w:pPr>
        <w:pStyle w:val="ListBullet"/>
        <w:rPr>
          <w:lang w:eastAsia="en-AU"/>
        </w:rPr>
      </w:pPr>
      <w:r>
        <w:rPr>
          <w:lang w:eastAsia="en-AU"/>
        </w:rPr>
        <w:t>Does the CRC P</w:t>
      </w:r>
      <w:r w:rsidRPr="00CB540F">
        <w:rPr>
          <w:lang w:eastAsia="en-AU"/>
        </w:rPr>
        <w:t>rogramme encourage industry and the research sector to work together in new ways or engage new players?</w:t>
      </w:r>
    </w:p>
    <w:p w14:paraId="65DD28BA" w14:textId="77777777" w:rsidR="00717BC1" w:rsidRPr="00CB540F" w:rsidRDefault="00717BC1" w:rsidP="00772D52">
      <w:pPr>
        <w:pStyle w:val="ListBullet"/>
        <w:rPr>
          <w:lang w:eastAsia="en-AU"/>
        </w:rPr>
      </w:pPr>
      <w:r w:rsidRPr="00CB540F">
        <w:rPr>
          <w:lang w:eastAsia="en-AU"/>
        </w:rPr>
        <w:t>Does the programme encourage universities to make a cultural change from focusing on publishing to focusing on collaboration and commercialisation?</w:t>
      </w:r>
    </w:p>
    <w:p w14:paraId="70705AF5" w14:textId="77777777" w:rsidR="00717BC1" w:rsidRPr="00CB540F" w:rsidRDefault="00717BC1" w:rsidP="00772D52">
      <w:pPr>
        <w:pStyle w:val="ListBullet"/>
        <w:rPr>
          <w:lang w:eastAsia="en-AU"/>
        </w:rPr>
      </w:pPr>
      <w:r w:rsidRPr="00CB540F">
        <w:rPr>
          <w:lang w:eastAsia="en-AU"/>
        </w:rPr>
        <w:lastRenderedPageBreak/>
        <w:t>Is the education and outreach element of CRCs addressing the workforce needs of industry and the research sector?</w:t>
      </w:r>
    </w:p>
    <w:p w14:paraId="215E5EB8" w14:textId="77777777" w:rsidR="00717BC1" w:rsidRPr="00772D52" w:rsidRDefault="00717BC1" w:rsidP="002D34D5">
      <w:pPr>
        <w:pStyle w:val="Heading5alphabet"/>
        <w:rPr>
          <w:rStyle w:val="Strong"/>
        </w:rPr>
      </w:pPr>
      <w:r w:rsidRPr="00772D52">
        <w:rPr>
          <w:rStyle w:val="Strong"/>
        </w:rPr>
        <w:t>D. How could contractual and administrative requirements of the CRC Programme be streamlined?</w:t>
      </w:r>
    </w:p>
    <w:p w14:paraId="3C647A1B" w14:textId="77777777" w:rsidR="00717BC1" w:rsidRPr="00CB540F" w:rsidRDefault="00717BC1" w:rsidP="00772D52">
      <w:pPr>
        <w:pStyle w:val="ListBullet"/>
        <w:rPr>
          <w:lang w:eastAsia="en-AU"/>
        </w:rPr>
      </w:pPr>
      <w:r w:rsidRPr="00CB540F">
        <w:rPr>
          <w:lang w:eastAsia="en-AU"/>
        </w:rPr>
        <w:t>Are there elements of the programme guidelines that limit the ability for industry to effectively engage with researchers?</w:t>
      </w:r>
    </w:p>
    <w:p w14:paraId="75AD3FA9" w14:textId="77777777" w:rsidR="00717BC1" w:rsidRPr="00CB540F" w:rsidRDefault="00717BC1" w:rsidP="00772D52">
      <w:pPr>
        <w:pStyle w:val="ListBullet"/>
        <w:rPr>
          <w:lang w:eastAsia="en-AU"/>
        </w:rPr>
      </w:pPr>
      <w:r w:rsidRPr="00CB540F">
        <w:rPr>
          <w:lang w:eastAsia="en-AU"/>
        </w:rPr>
        <w:t>Is the current selection process excessively onerous on participants?</w:t>
      </w:r>
    </w:p>
    <w:p w14:paraId="12703F24" w14:textId="77777777" w:rsidR="00717BC1" w:rsidRPr="00CB540F" w:rsidRDefault="00717BC1" w:rsidP="00772D52">
      <w:pPr>
        <w:pStyle w:val="ListBullet"/>
        <w:rPr>
          <w:lang w:eastAsia="en-AU"/>
        </w:rPr>
      </w:pPr>
      <w:r w:rsidRPr="00CB540F">
        <w:rPr>
          <w:lang w:eastAsia="en-AU"/>
        </w:rPr>
        <w:t>Do the current reporting requirements appropriately balance the need for the Government to be accountable to taxpayers and the need to allow participants to focus on research, development and commercialisation?</w:t>
      </w:r>
    </w:p>
    <w:p w14:paraId="77330E95" w14:textId="77777777" w:rsidR="00717BC1" w:rsidRPr="00772D52" w:rsidRDefault="00717BC1" w:rsidP="002D34D5">
      <w:pPr>
        <w:pStyle w:val="Heading5alphabet"/>
        <w:rPr>
          <w:rStyle w:val="Strong"/>
        </w:rPr>
      </w:pPr>
      <w:r w:rsidRPr="00772D52">
        <w:rPr>
          <w:rStyle w:val="Strong"/>
        </w:rPr>
        <w:t>E. Is there sufficient demand within the research sector and industry for a programme that builds collaborative structures that facilitate end-user driven research?</w:t>
      </w:r>
    </w:p>
    <w:p w14:paraId="7CC36768" w14:textId="77777777" w:rsidR="00717BC1" w:rsidRPr="00CB540F" w:rsidRDefault="00717BC1" w:rsidP="00772D52">
      <w:pPr>
        <w:pStyle w:val="ListBullet"/>
        <w:rPr>
          <w:lang w:eastAsia="en-AU"/>
        </w:rPr>
      </w:pPr>
      <w:r w:rsidRPr="00CB540F">
        <w:rPr>
          <w:lang w:eastAsia="en-AU"/>
        </w:rPr>
        <w:t>What is the pattern of demand for the programme from within industry and universities/other research organisations over the past 10 years?</w:t>
      </w:r>
    </w:p>
    <w:p w14:paraId="6F62F598" w14:textId="77777777" w:rsidR="00717BC1" w:rsidRPr="00CB540F" w:rsidRDefault="00717BC1" w:rsidP="00772D52">
      <w:pPr>
        <w:pStyle w:val="ListBullet"/>
        <w:rPr>
          <w:lang w:eastAsia="en-AU"/>
        </w:rPr>
      </w:pPr>
      <w:r w:rsidRPr="00CB540F">
        <w:rPr>
          <w:lang w:eastAsia="en-AU"/>
        </w:rPr>
        <w:t>If there are changes to demand, why have they occurred and how could they be addressed?</w:t>
      </w:r>
    </w:p>
    <w:p w14:paraId="4274A8F4" w14:textId="77777777" w:rsidR="00717BC1" w:rsidRPr="00CB540F" w:rsidRDefault="00717BC1" w:rsidP="00772D52">
      <w:pPr>
        <w:pStyle w:val="ListBullet"/>
        <w:rPr>
          <w:lang w:eastAsia="en-AU"/>
        </w:rPr>
      </w:pPr>
      <w:r w:rsidRPr="00CB540F">
        <w:rPr>
          <w:lang w:eastAsia="en-AU"/>
        </w:rPr>
        <w:t>Are there specific industries of significance to the Australian economy or specific types of enterprises th</w:t>
      </w:r>
      <w:r>
        <w:rPr>
          <w:lang w:eastAsia="en-AU"/>
        </w:rPr>
        <w:t>at have not engaged in the CRC P</w:t>
      </w:r>
      <w:r w:rsidRPr="00CB540F">
        <w:rPr>
          <w:lang w:eastAsia="en-AU"/>
        </w:rPr>
        <w:t>rogramme, and if so, why?</w:t>
      </w:r>
    </w:p>
    <w:p w14:paraId="10825F4D" w14:textId="77777777" w:rsidR="00717BC1" w:rsidRPr="00CB540F" w:rsidRDefault="00717BC1" w:rsidP="00772D52">
      <w:pPr>
        <w:pStyle w:val="ListBullet"/>
        <w:ind w:left="0"/>
        <w:rPr>
          <w:i/>
          <w:lang w:eastAsia="en-AU"/>
        </w:rPr>
      </w:pPr>
      <w:r w:rsidRPr="00CB540F">
        <w:rPr>
          <w:lang w:eastAsia="en-AU"/>
        </w:rPr>
        <w:t xml:space="preserve">The review should also take into account the Department of Finance’s Expenditure Review Principles, which can be found at the </w:t>
      </w:r>
      <w:hyperlink r:id="rId24" w:history="1">
        <w:r w:rsidRPr="00CB540F">
          <w:rPr>
            <w:u w:val="single"/>
            <w:lang w:eastAsia="en-AU"/>
          </w:rPr>
          <w:t>Department of Finance’s website</w:t>
        </w:r>
      </w:hyperlink>
      <w:r w:rsidRPr="00CB540F">
        <w:rPr>
          <w:lang w:eastAsia="en-AU"/>
        </w:rPr>
        <w:t>.</w:t>
      </w:r>
    </w:p>
    <w:p w14:paraId="748ECB76" w14:textId="77777777" w:rsidR="00CB540F" w:rsidRPr="00CB540F" w:rsidRDefault="00CB540F" w:rsidP="00CC5BF1">
      <w:pPr>
        <w:pStyle w:val="Heading4"/>
        <w:ind w:left="0" w:firstLine="0"/>
      </w:pPr>
      <w:bookmarkStart w:id="52" w:name="_Toc413948626"/>
      <w:bookmarkStart w:id="53" w:name="_Toc415042867"/>
      <w:r w:rsidRPr="00CB540F">
        <w:t>1.3 Process used in this review</w:t>
      </w:r>
      <w:bookmarkEnd w:id="52"/>
      <w:bookmarkEnd w:id="53"/>
    </w:p>
    <w:p w14:paraId="25205A71" w14:textId="77777777" w:rsidR="00CB540F" w:rsidRPr="00CB540F" w:rsidRDefault="00CB540F" w:rsidP="002D34D5">
      <w:pPr>
        <w:pStyle w:val="BodyText"/>
      </w:pPr>
      <w:r w:rsidRPr="00CB540F">
        <w:t>This review provided a range of opportunities for stakeholder input including information sessions, meetings with the review leader and departmental staff and submi</w:t>
      </w:r>
      <w:r w:rsidR="008A7192">
        <w:t>ssions to the discussion paper.</w:t>
      </w:r>
    </w:p>
    <w:p w14:paraId="653A5C2B" w14:textId="77777777" w:rsidR="00CB540F" w:rsidRPr="00CB540F" w:rsidRDefault="00CB540F" w:rsidP="002D34D5">
      <w:pPr>
        <w:pStyle w:val="BodyText"/>
      </w:pPr>
      <w:r w:rsidRPr="00CB540F">
        <w:t xml:space="preserve">Stakeholders were provided with the opportunity to register their interest in the review via the review website </w:t>
      </w:r>
      <w:hyperlink r:id="rId25" w:history="1">
        <w:r w:rsidRPr="008A7192">
          <w:rPr>
            <w:rStyle w:val="Hyperlink"/>
          </w:rPr>
          <w:t>http://www.business.gov.au/grants-and-assistance/Collaboration/CRC/CRC-Programme-Review/Pages/default.aspx</w:t>
        </w:r>
      </w:hyperlink>
      <w:r w:rsidRPr="00CB540F">
        <w:t>. A discussion paper was released on 21 October 2014 and made available on the review website and email</w:t>
      </w:r>
      <w:r w:rsidR="008A7192">
        <w:t>ed to registered stakeholders.</w:t>
      </w:r>
    </w:p>
    <w:p w14:paraId="0AEEC387" w14:textId="77777777" w:rsidR="00CB540F" w:rsidRPr="00CB540F" w:rsidRDefault="00CB540F" w:rsidP="002D34D5">
      <w:pPr>
        <w:pStyle w:val="BodyText"/>
      </w:pPr>
      <w:r w:rsidRPr="00CB540F">
        <w:t xml:space="preserve">In addition to the discussion paper, information sessions were arranged in selected capital cities, as well as one-on-one meetings with the review leader or departmental officials. These sessions provided an opportunity for stakeholders to clarify the discussion paper questions, provide feedback on particular aspects of the </w:t>
      </w:r>
      <w:r w:rsidRPr="00CB540F">
        <w:lastRenderedPageBreak/>
        <w:t>CRC Programme and, more generally, talk about ways to improve business research collaboration in Australia.</w:t>
      </w:r>
    </w:p>
    <w:p w14:paraId="04CFC6B9" w14:textId="77777777" w:rsidR="00CB540F" w:rsidRPr="00CB540F" w:rsidRDefault="00CB540F" w:rsidP="002D34D5">
      <w:pPr>
        <w:pStyle w:val="BodyText"/>
      </w:pPr>
      <w:r w:rsidRPr="00CB540F">
        <w:t>Information sessions were conducted in Adelaide (27 October), Melbourne (28 October), Sydney (29 October), Brisbane (30 October) and Canberra (5 November) with on average 40 people attending each session.</w:t>
      </w:r>
    </w:p>
    <w:p w14:paraId="32074EEC" w14:textId="77777777" w:rsidR="00CB540F" w:rsidRPr="00CB540F" w:rsidRDefault="00CB540F" w:rsidP="002D34D5">
      <w:pPr>
        <w:pStyle w:val="BodyText"/>
      </w:pPr>
      <w:r w:rsidRPr="00CB540F">
        <w:t>The review leader conducted 54 individual meetings with key research and industry stakeholders to hear th</w:t>
      </w:r>
      <w:r w:rsidR="008A7192">
        <w:t>eir views about the programme.</w:t>
      </w:r>
    </w:p>
    <w:p w14:paraId="5D6B718C" w14:textId="77777777" w:rsidR="00CB540F" w:rsidRPr="00CB540F" w:rsidRDefault="00CB540F" w:rsidP="002D34D5">
      <w:pPr>
        <w:pStyle w:val="BodyText"/>
      </w:pPr>
      <w:r w:rsidRPr="00CB540F">
        <w:t xml:space="preserve">Responses to the discussion paper were submitted online via the Department of Industry and Science consultation hub and through email at </w:t>
      </w:r>
      <w:hyperlink r:id="rId26" w:history="1">
        <w:r w:rsidRPr="00746EAC">
          <w:rPr>
            <w:rStyle w:val="Hyperlink"/>
          </w:rPr>
          <w:t>crcreview@industry.gov.au</w:t>
        </w:r>
      </w:hyperlink>
      <w:r w:rsidRPr="00CB540F">
        <w:t>. Submissions closed on 11 November 2014 and 251 for</w:t>
      </w:r>
      <w:r w:rsidR="008A7192">
        <w:t>mal submissions were received.</w:t>
      </w:r>
    </w:p>
    <w:p w14:paraId="7DF00270" w14:textId="77777777" w:rsidR="00CB540F" w:rsidRPr="00CB540F" w:rsidRDefault="00CB540F" w:rsidP="002D34D5">
      <w:pPr>
        <w:pStyle w:val="BodyText"/>
      </w:pPr>
      <w:r w:rsidRPr="00CB540F">
        <w:t>All submissions were reviewed by the review leader and departmental staff and were taken into account when preparing this report.</w:t>
      </w:r>
    </w:p>
    <w:p w14:paraId="7B9A892E" w14:textId="77777777" w:rsidR="004E6EF0" w:rsidRDefault="004E6EF0">
      <w:pPr>
        <w:spacing w:line="240" w:lineRule="auto"/>
        <w:rPr>
          <w:rFonts w:ascii="Times New Roman" w:eastAsiaTheme="minorHAnsi" w:hAnsi="Times New Roman"/>
          <w:b/>
          <w:bCs/>
          <w:color w:val="000000" w:themeColor="text1"/>
          <w:sz w:val="28"/>
          <w:szCs w:val="28"/>
        </w:rPr>
      </w:pPr>
      <w:bookmarkStart w:id="54" w:name="_Toc413948627"/>
      <w:bookmarkStart w:id="55" w:name="_Toc415042868"/>
      <w:r>
        <w:br w:type="page"/>
      </w:r>
    </w:p>
    <w:p w14:paraId="728DABB5" w14:textId="77777777" w:rsidR="00CB540F" w:rsidRPr="00CB540F" w:rsidRDefault="00CB540F" w:rsidP="00CC5BF1">
      <w:pPr>
        <w:pStyle w:val="Heading4"/>
        <w:ind w:left="0" w:firstLine="0"/>
      </w:pPr>
      <w:r w:rsidRPr="00CB540F">
        <w:lastRenderedPageBreak/>
        <w:t>1.4 List of individual meetings</w:t>
      </w:r>
      <w:bookmarkEnd w:id="54"/>
      <w:bookmarkEnd w:id="55"/>
    </w:p>
    <w:tbl>
      <w:tblPr>
        <w:tblStyle w:val="TableGrid2"/>
        <w:tblW w:w="9180" w:type="dxa"/>
        <w:tblLook w:val="04A0" w:firstRow="1" w:lastRow="0" w:firstColumn="1" w:lastColumn="0" w:noHBand="0" w:noVBand="1"/>
        <w:tblCaption w:val="List of Individual Meetings"/>
      </w:tblPr>
      <w:tblGrid>
        <w:gridCol w:w="1526"/>
        <w:gridCol w:w="7654"/>
      </w:tblGrid>
      <w:tr w:rsidR="00CB540F" w:rsidRPr="004E6EF0" w14:paraId="00FF2BCD" w14:textId="77777777" w:rsidTr="00C314F6">
        <w:trPr>
          <w:cantSplit/>
          <w:trHeight w:val="313"/>
          <w:tblHeader/>
        </w:trPr>
        <w:tc>
          <w:tcPr>
            <w:tcW w:w="1526" w:type="dxa"/>
            <w:hideMark/>
          </w:tcPr>
          <w:p w14:paraId="400144A7" w14:textId="77777777" w:rsidR="00CB540F" w:rsidRPr="004E6EF0" w:rsidRDefault="00CB540F" w:rsidP="00CB540F">
            <w:pPr>
              <w:spacing w:line="240" w:lineRule="auto"/>
              <w:rPr>
                <w:rFonts w:cs="Arial"/>
                <w:b/>
                <w:bCs/>
                <w:color w:val="auto"/>
                <w:lang w:eastAsia="en-AU"/>
              </w:rPr>
            </w:pPr>
            <w:r w:rsidRPr="004E6EF0">
              <w:rPr>
                <w:rFonts w:cs="Arial"/>
                <w:b/>
                <w:bCs/>
                <w:color w:val="auto"/>
                <w:lang w:eastAsia="en-AU"/>
              </w:rPr>
              <w:t>Date of meeting</w:t>
            </w:r>
          </w:p>
        </w:tc>
        <w:tc>
          <w:tcPr>
            <w:tcW w:w="7654" w:type="dxa"/>
            <w:hideMark/>
          </w:tcPr>
          <w:p w14:paraId="0BB384ED" w14:textId="77777777" w:rsidR="00CB540F" w:rsidRPr="004E6EF0" w:rsidRDefault="00CB540F" w:rsidP="00CB540F">
            <w:pPr>
              <w:spacing w:line="240" w:lineRule="auto"/>
              <w:rPr>
                <w:rFonts w:cs="Arial"/>
                <w:b/>
                <w:bCs/>
                <w:color w:val="auto"/>
                <w:lang w:eastAsia="en-AU"/>
              </w:rPr>
            </w:pPr>
            <w:r w:rsidRPr="004E6EF0">
              <w:rPr>
                <w:rFonts w:cs="Arial"/>
                <w:b/>
                <w:bCs/>
                <w:color w:val="auto"/>
                <w:lang w:eastAsia="en-AU"/>
              </w:rPr>
              <w:t>Organisation</w:t>
            </w:r>
          </w:p>
        </w:tc>
      </w:tr>
      <w:tr w:rsidR="00CB540F" w:rsidRPr="004E6EF0" w14:paraId="0D41E98C" w14:textId="77777777" w:rsidTr="00C314F6">
        <w:trPr>
          <w:cantSplit/>
          <w:trHeight w:val="60"/>
        </w:trPr>
        <w:tc>
          <w:tcPr>
            <w:tcW w:w="1526" w:type="dxa"/>
            <w:hideMark/>
          </w:tcPr>
          <w:p w14:paraId="584017AF" w14:textId="77777777" w:rsidR="00CB540F" w:rsidRPr="004E6EF0" w:rsidRDefault="00CB540F" w:rsidP="00CB540F">
            <w:pPr>
              <w:spacing w:line="240" w:lineRule="auto"/>
              <w:rPr>
                <w:rFonts w:cs="Arial"/>
                <w:color w:val="auto"/>
                <w:lang w:eastAsia="en-AU"/>
              </w:rPr>
            </w:pPr>
            <w:r w:rsidRPr="004E6EF0">
              <w:rPr>
                <w:rFonts w:cs="Arial"/>
                <w:color w:val="auto"/>
                <w:lang w:eastAsia="en-AU"/>
              </w:rPr>
              <w:t>13/10/2014</w:t>
            </w:r>
          </w:p>
        </w:tc>
        <w:tc>
          <w:tcPr>
            <w:tcW w:w="7654" w:type="dxa"/>
            <w:hideMark/>
          </w:tcPr>
          <w:p w14:paraId="2DD987F7" w14:textId="77777777" w:rsidR="00CB540F" w:rsidRPr="004E6EF0" w:rsidRDefault="00CB540F" w:rsidP="00CB540F">
            <w:pPr>
              <w:spacing w:line="240" w:lineRule="auto"/>
              <w:rPr>
                <w:rFonts w:cs="Arial"/>
                <w:color w:val="auto"/>
                <w:lang w:eastAsia="en-AU"/>
              </w:rPr>
            </w:pPr>
            <w:r w:rsidRPr="004E6EF0">
              <w:rPr>
                <w:rFonts w:cs="Arial"/>
                <w:color w:val="auto"/>
                <w:lang w:eastAsia="en-AU"/>
              </w:rPr>
              <w:t>Bushfire &amp; Natural Hazards CRC</w:t>
            </w:r>
          </w:p>
        </w:tc>
      </w:tr>
      <w:tr w:rsidR="00CB540F" w:rsidRPr="004E6EF0" w14:paraId="495EE916" w14:textId="77777777" w:rsidTr="002C6AF0">
        <w:trPr>
          <w:cantSplit/>
          <w:trHeight w:val="60"/>
        </w:trPr>
        <w:tc>
          <w:tcPr>
            <w:tcW w:w="1526" w:type="dxa"/>
            <w:hideMark/>
          </w:tcPr>
          <w:p w14:paraId="34A95908" w14:textId="77777777" w:rsidR="00CB540F" w:rsidRPr="004E6EF0" w:rsidRDefault="00CB540F" w:rsidP="00CB540F">
            <w:pPr>
              <w:spacing w:line="240" w:lineRule="auto"/>
              <w:rPr>
                <w:rFonts w:cs="Arial"/>
                <w:color w:val="auto"/>
                <w:lang w:eastAsia="en-AU"/>
              </w:rPr>
            </w:pPr>
            <w:r w:rsidRPr="004E6EF0">
              <w:rPr>
                <w:rFonts w:cs="Arial"/>
                <w:color w:val="auto"/>
                <w:lang w:eastAsia="en-AU"/>
              </w:rPr>
              <w:t>13/10/2014</w:t>
            </w:r>
          </w:p>
        </w:tc>
        <w:tc>
          <w:tcPr>
            <w:tcW w:w="7654" w:type="dxa"/>
            <w:hideMark/>
          </w:tcPr>
          <w:p w14:paraId="5FC95215" w14:textId="77777777" w:rsidR="00CB540F" w:rsidRPr="004E6EF0" w:rsidRDefault="00CB540F" w:rsidP="00CB540F">
            <w:pPr>
              <w:spacing w:line="240" w:lineRule="auto"/>
              <w:rPr>
                <w:rFonts w:cs="Arial"/>
                <w:color w:val="auto"/>
                <w:lang w:eastAsia="en-AU"/>
              </w:rPr>
            </w:pPr>
            <w:r w:rsidRPr="004E6EF0">
              <w:rPr>
                <w:rFonts w:cs="Arial"/>
                <w:color w:val="auto"/>
                <w:lang w:eastAsia="en-AU"/>
              </w:rPr>
              <w:t>Australian Research Council</w:t>
            </w:r>
          </w:p>
        </w:tc>
      </w:tr>
      <w:tr w:rsidR="00CB540F" w:rsidRPr="004E6EF0" w14:paraId="70212082" w14:textId="77777777" w:rsidTr="00C314F6">
        <w:trPr>
          <w:cantSplit/>
          <w:trHeight w:val="60"/>
        </w:trPr>
        <w:tc>
          <w:tcPr>
            <w:tcW w:w="1526" w:type="dxa"/>
            <w:hideMark/>
          </w:tcPr>
          <w:p w14:paraId="5920DBB0" w14:textId="77777777" w:rsidR="00CB540F" w:rsidRPr="004E6EF0" w:rsidRDefault="00CB540F" w:rsidP="00CB540F">
            <w:pPr>
              <w:spacing w:line="240" w:lineRule="auto"/>
              <w:rPr>
                <w:rFonts w:cs="Arial"/>
                <w:color w:val="auto"/>
                <w:lang w:eastAsia="en-AU"/>
              </w:rPr>
            </w:pPr>
            <w:r w:rsidRPr="004E6EF0">
              <w:rPr>
                <w:rFonts w:cs="Arial"/>
                <w:color w:val="auto"/>
                <w:lang w:eastAsia="en-AU"/>
              </w:rPr>
              <w:t>13/10/2014</w:t>
            </w:r>
          </w:p>
        </w:tc>
        <w:tc>
          <w:tcPr>
            <w:tcW w:w="7654" w:type="dxa"/>
            <w:hideMark/>
          </w:tcPr>
          <w:p w14:paraId="5C98E1F3" w14:textId="77777777" w:rsidR="00CB540F" w:rsidRPr="004E6EF0" w:rsidRDefault="00CB540F" w:rsidP="00CB540F">
            <w:pPr>
              <w:spacing w:line="240" w:lineRule="auto"/>
              <w:rPr>
                <w:rFonts w:cs="Arial"/>
                <w:color w:val="auto"/>
                <w:lang w:eastAsia="en-AU"/>
              </w:rPr>
            </w:pPr>
            <w:r w:rsidRPr="004E6EF0">
              <w:rPr>
                <w:rFonts w:cs="Arial"/>
                <w:color w:val="auto"/>
                <w:lang w:eastAsia="en-AU"/>
              </w:rPr>
              <w:t>National Health and Medical Research Council</w:t>
            </w:r>
          </w:p>
        </w:tc>
      </w:tr>
      <w:tr w:rsidR="00CB540F" w:rsidRPr="004E6EF0" w14:paraId="0955D605" w14:textId="77777777" w:rsidTr="00C314F6">
        <w:trPr>
          <w:cantSplit/>
          <w:trHeight w:val="60"/>
        </w:trPr>
        <w:tc>
          <w:tcPr>
            <w:tcW w:w="1526" w:type="dxa"/>
            <w:hideMark/>
          </w:tcPr>
          <w:p w14:paraId="41E91762" w14:textId="77777777" w:rsidR="00CB540F" w:rsidRPr="004E6EF0" w:rsidRDefault="00CB540F" w:rsidP="00CB540F">
            <w:pPr>
              <w:spacing w:line="240" w:lineRule="auto"/>
              <w:rPr>
                <w:rFonts w:cs="Arial"/>
                <w:color w:val="auto"/>
                <w:lang w:eastAsia="en-AU"/>
              </w:rPr>
            </w:pPr>
            <w:r w:rsidRPr="004E6EF0">
              <w:rPr>
                <w:rFonts w:cs="Arial"/>
                <w:color w:val="auto"/>
                <w:lang w:eastAsia="en-AU"/>
              </w:rPr>
              <w:t>27/10/2014</w:t>
            </w:r>
          </w:p>
        </w:tc>
        <w:tc>
          <w:tcPr>
            <w:tcW w:w="7654" w:type="dxa"/>
            <w:hideMark/>
          </w:tcPr>
          <w:p w14:paraId="2632E3B1" w14:textId="77777777" w:rsidR="00CB540F" w:rsidRPr="004E6EF0" w:rsidRDefault="00CB540F" w:rsidP="00CB540F">
            <w:pPr>
              <w:spacing w:line="240" w:lineRule="auto"/>
              <w:rPr>
                <w:rFonts w:cs="Arial"/>
                <w:color w:val="auto"/>
                <w:lang w:eastAsia="en-AU"/>
              </w:rPr>
            </w:pPr>
            <w:r w:rsidRPr="004E6EF0">
              <w:rPr>
                <w:rFonts w:cs="Arial"/>
                <w:color w:val="auto"/>
                <w:lang w:eastAsia="en-AU"/>
              </w:rPr>
              <w:t>Contamination Assessment and Remediation of the Environment CRC</w:t>
            </w:r>
          </w:p>
        </w:tc>
      </w:tr>
      <w:tr w:rsidR="00CB540F" w:rsidRPr="004E6EF0" w14:paraId="6621DC42" w14:textId="77777777" w:rsidTr="00C314F6">
        <w:trPr>
          <w:cantSplit/>
          <w:trHeight w:val="60"/>
        </w:trPr>
        <w:tc>
          <w:tcPr>
            <w:tcW w:w="1526" w:type="dxa"/>
            <w:hideMark/>
          </w:tcPr>
          <w:p w14:paraId="3D0033B1" w14:textId="77777777" w:rsidR="00CB540F" w:rsidRPr="004E6EF0" w:rsidRDefault="00CB540F" w:rsidP="00CB540F">
            <w:pPr>
              <w:spacing w:line="240" w:lineRule="auto"/>
              <w:rPr>
                <w:rFonts w:cs="Arial"/>
                <w:color w:val="auto"/>
                <w:lang w:eastAsia="en-AU"/>
              </w:rPr>
            </w:pPr>
            <w:r w:rsidRPr="004E6EF0">
              <w:rPr>
                <w:rFonts w:cs="Arial"/>
                <w:color w:val="auto"/>
                <w:lang w:eastAsia="en-AU"/>
              </w:rPr>
              <w:t>27/10/2014</w:t>
            </w:r>
          </w:p>
        </w:tc>
        <w:tc>
          <w:tcPr>
            <w:tcW w:w="7654" w:type="dxa"/>
            <w:hideMark/>
          </w:tcPr>
          <w:p w14:paraId="4BCBD7C7" w14:textId="77777777" w:rsidR="00CB540F" w:rsidRPr="004E6EF0" w:rsidRDefault="00CB540F" w:rsidP="00CB540F">
            <w:pPr>
              <w:spacing w:line="240" w:lineRule="auto"/>
              <w:rPr>
                <w:rFonts w:cs="Arial"/>
                <w:color w:val="auto"/>
                <w:lang w:eastAsia="en-AU"/>
              </w:rPr>
            </w:pPr>
            <w:r w:rsidRPr="004E6EF0">
              <w:rPr>
                <w:rFonts w:cs="Arial"/>
                <w:color w:val="auto"/>
                <w:lang w:eastAsia="en-AU"/>
              </w:rPr>
              <w:t>Cell Therapy Manufacturing CRC</w:t>
            </w:r>
          </w:p>
        </w:tc>
      </w:tr>
      <w:tr w:rsidR="00CB540F" w:rsidRPr="004E6EF0" w14:paraId="137F0873" w14:textId="77777777" w:rsidTr="00C314F6">
        <w:trPr>
          <w:cantSplit/>
          <w:trHeight w:val="60"/>
        </w:trPr>
        <w:tc>
          <w:tcPr>
            <w:tcW w:w="1526" w:type="dxa"/>
            <w:hideMark/>
          </w:tcPr>
          <w:p w14:paraId="3C0BD08E" w14:textId="77777777" w:rsidR="00CB540F" w:rsidRPr="004E6EF0" w:rsidRDefault="00CB540F" w:rsidP="00CB540F">
            <w:pPr>
              <w:spacing w:line="240" w:lineRule="auto"/>
              <w:rPr>
                <w:rFonts w:cs="Arial"/>
                <w:color w:val="auto"/>
                <w:lang w:eastAsia="en-AU"/>
              </w:rPr>
            </w:pPr>
            <w:r w:rsidRPr="004E6EF0">
              <w:rPr>
                <w:rFonts w:cs="Arial"/>
                <w:color w:val="auto"/>
                <w:lang w:eastAsia="en-AU"/>
              </w:rPr>
              <w:t>27/10/2014</w:t>
            </w:r>
          </w:p>
        </w:tc>
        <w:tc>
          <w:tcPr>
            <w:tcW w:w="7654" w:type="dxa"/>
            <w:hideMark/>
          </w:tcPr>
          <w:p w14:paraId="2C4CA5BD" w14:textId="77777777" w:rsidR="00CB540F" w:rsidRPr="004E6EF0" w:rsidRDefault="00CB540F" w:rsidP="00CB540F">
            <w:pPr>
              <w:spacing w:line="240" w:lineRule="auto"/>
              <w:rPr>
                <w:rFonts w:cs="Arial"/>
                <w:color w:val="auto"/>
                <w:lang w:eastAsia="en-AU"/>
              </w:rPr>
            </w:pPr>
            <w:r w:rsidRPr="004E6EF0">
              <w:rPr>
                <w:rFonts w:cs="Arial"/>
                <w:color w:val="auto"/>
                <w:lang w:eastAsia="en-AU"/>
              </w:rPr>
              <w:t>Australian Technology Network</w:t>
            </w:r>
          </w:p>
        </w:tc>
      </w:tr>
      <w:tr w:rsidR="00CB540F" w:rsidRPr="004E6EF0" w14:paraId="3870C620" w14:textId="77777777" w:rsidTr="00C314F6">
        <w:trPr>
          <w:cantSplit/>
          <w:trHeight w:val="60"/>
        </w:trPr>
        <w:tc>
          <w:tcPr>
            <w:tcW w:w="1526" w:type="dxa"/>
            <w:hideMark/>
          </w:tcPr>
          <w:p w14:paraId="0B73CD84" w14:textId="77777777" w:rsidR="00CB540F" w:rsidRPr="004E6EF0" w:rsidRDefault="00CB540F" w:rsidP="00CB540F">
            <w:pPr>
              <w:spacing w:line="240" w:lineRule="auto"/>
              <w:rPr>
                <w:rFonts w:cs="Arial"/>
                <w:color w:val="auto"/>
                <w:lang w:eastAsia="en-AU"/>
              </w:rPr>
            </w:pPr>
            <w:r w:rsidRPr="004E6EF0">
              <w:rPr>
                <w:rFonts w:cs="Arial"/>
                <w:color w:val="auto"/>
                <w:lang w:eastAsia="en-AU"/>
              </w:rPr>
              <w:t>27/10/2014</w:t>
            </w:r>
          </w:p>
        </w:tc>
        <w:tc>
          <w:tcPr>
            <w:tcW w:w="7654" w:type="dxa"/>
            <w:hideMark/>
          </w:tcPr>
          <w:p w14:paraId="749FFB18" w14:textId="77777777" w:rsidR="00CB540F" w:rsidRPr="004E6EF0" w:rsidRDefault="00CB540F" w:rsidP="00CB540F">
            <w:pPr>
              <w:spacing w:line="240" w:lineRule="auto"/>
              <w:rPr>
                <w:rFonts w:cs="Arial"/>
                <w:color w:val="auto"/>
                <w:lang w:eastAsia="en-AU"/>
              </w:rPr>
            </w:pPr>
            <w:r w:rsidRPr="004E6EF0">
              <w:rPr>
                <w:rFonts w:cs="Arial"/>
                <w:color w:val="auto"/>
                <w:lang w:eastAsia="en-AU"/>
              </w:rPr>
              <w:t>Department of State Development (South Australia)*</w:t>
            </w:r>
          </w:p>
        </w:tc>
      </w:tr>
      <w:tr w:rsidR="00CB540F" w:rsidRPr="004E6EF0" w14:paraId="0334683D" w14:textId="77777777" w:rsidTr="00C314F6">
        <w:trPr>
          <w:cantSplit/>
          <w:trHeight w:val="60"/>
        </w:trPr>
        <w:tc>
          <w:tcPr>
            <w:tcW w:w="1526" w:type="dxa"/>
            <w:hideMark/>
          </w:tcPr>
          <w:p w14:paraId="596D7D95" w14:textId="77777777" w:rsidR="00CB540F" w:rsidRPr="004E6EF0" w:rsidRDefault="00CB540F" w:rsidP="00CB540F">
            <w:pPr>
              <w:spacing w:line="240" w:lineRule="auto"/>
              <w:rPr>
                <w:rFonts w:cs="Arial"/>
                <w:color w:val="auto"/>
                <w:lang w:eastAsia="en-AU"/>
              </w:rPr>
            </w:pPr>
            <w:r w:rsidRPr="004E6EF0">
              <w:rPr>
                <w:rFonts w:cs="Arial"/>
                <w:color w:val="auto"/>
                <w:lang w:eastAsia="en-AU"/>
              </w:rPr>
              <w:t>27/10/2014</w:t>
            </w:r>
          </w:p>
        </w:tc>
        <w:tc>
          <w:tcPr>
            <w:tcW w:w="7654" w:type="dxa"/>
            <w:hideMark/>
          </w:tcPr>
          <w:p w14:paraId="5877B3AA" w14:textId="77777777" w:rsidR="00CB540F" w:rsidRPr="004E6EF0" w:rsidRDefault="00CB540F" w:rsidP="00CB540F">
            <w:pPr>
              <w:spacing w:line="240" w:lineRule="auto"/>
              <w:rPr>
                <w:rFonts w:cs="Arial"/>
                <w:color w:val="auto"/>
                <w:lang w:eastAsia="en-AU"/>
              </w:rPr>
            </w:pPr>
            <w:r w:rsidRPr="004E6EF0">
              <w:rPr>
                <w:rFonts w:cs="Arial"/>
                <w:color w:val="auto"/>
                <w:lang w:eastAsia="en-AU"/>
              </w:rPr>
              <w:t>Innovation Australia Board</w:t>
            </w:r>
          </w:p>
        </w:tc>
      </w:tr>
      <w:tr w:rsidR="00CB540F" w:rsidRPr="004E6EF0" w14:paraId="7D56A47B" w14:textId="77777777" w:rsidTr="00C314F6">
        <w:trPr>
          <w:cantSplit/>
          <w:trHeight w:val="60"/>
        </w:trPr>
        <w:tc>
          <w:tcPr>
            <w:tcW w:w="1526" w:type="dxa"/>
            <w:hideMark/>
          </w:tcPr>
          <w:p w14:paraId="0C8F99B8" w14:textId="77777777" w:rsidR="00CB540F" w:rsidRPr="004E6EF0" w:rsidRDefault="00CB540F" w:rsidP="00CB540F">
            <w:pPr>
              <w:spacing w:line="240" w:lineRule="auto"/>
              <w:rPr>
                <w:rFonts w:cs="Arial"/>
                <w:color w:val="auto"/>
                <w:lang w:eastAsia="en-AU"/>
              </w:rPr>
            </w:pPr>
            <w:r w:rsidRPr="004E6EF0">
              <w:rPr>
                <w:rFonts w:cs="Arial"/>
                <w:color w:val="auto"/>
                <w:lang w:eastAsia="en-AU"/>
              </w:rPr>
              <w:t>27/10/2014</w:t>
            </w:r>
          </w:p>
        </w:tc>
        <w:tc>
          <w:tcPr>
            <w:tcW w:w="7654" w:type="dxa"/>
            <w:hideMark/>
          </w:tcPr>
          <w:p w14:paraId="7C08EC1A" w14:textId="77777777" w:rsidR="00CB540F" w:rsidRPr="004E6EF0" w:rsidRDefault="00CB540F" w:rsidP="00CB540F">
            <w:pPr>
              <w:spacing w:line="240" w:lineRule="auto"/>
              <w:rPr>
                <w:rFonts w:cs="Arial"/>
                <w:color w:val="auto"/>
                <w:lang w:eastAsia="en-AU"/>
              </w:rPr>
            </w:pPr>
            <w:r w:rsidRPr="004E6EF0">
              <w:rPr>
                <w:rFonts w:cs="Arial"/>
                <w:color w:val="auto"/>
                <w:lang w:eastAsia="en-AU"/>
              </w:rPr>
              <w:t>South Australian Research and Development Institute</w:t>
            </w:r>
          </w:p>
        </w:tc>
      </w:tr>
      <w:tr w:rsidR="00CB540F" w:rsidRPr="004E6EF0" w14:paraId="6CD353A6" w14:textId="77777777" w:rsidTr="00E2708B">
        <w:trPr>
          <w:cantSplit/>
          <w:trHeight w:val="121"/>
        </w:trPr>
        <w:tc>
          <w:tcPr>
            <w:tcW w:w="1526" w:type="dxa"/>
            <w:hideMark/>
          </w:tcPr>
          <w:p w14:paraId="7FF10E1F" w14:textId="77777777" w:rsidR="00CB540F" w:rsidRPr="004E6EF0" w:rsidRDefault="00CB540F" w:rsidP="00CB540F">
            <w:pPr>
              <w:spacing w:line="240" w:lineRule="auto"/>
              <w:rPr>
                <w:rFonts w:cs="Arial"/>
                <w:color w:val="auto"/>
                <w:lang w:eastAsia="en-AU"/>
              </w:rPr>
            </w:pPr>
            <w:r w:rsidRPr="004E6EF0">
              <w:rPr>
                <w:rFonts w:cs="Arial"/>
                <w:color w:val="auto"/>
                <w:lang w:eastAsia="en-AU"/>
              </w:rPr>
              <w:t>28/10/2014</w:t>
            </w:r>
          </w:p>
        </w:tc>
        <w:tc>
          <w:tcPr>
            <w:tcW w:w="7654" w:type="dxa"/>
            <w:hideMark/>
          </w:tcPr>
          <w:p w14:paraId="5DB7BCD0" w14:textId="77777777" w:rsidR="00CB540F" w:rsidRPr="004E6EF0" w:rsidRDefault="00CB540F" w:rsidP="00CB540F">
            <w:pPr>
              <w:spacing w:line="240" w:lineRule="auto"/>
              <w:rPr>
                <w:rFonts w:cs="Arial"/>
                <w:color w:val="auto"/>
                <w:lang w:eastAsia="en-AU"/>
              </w:rPr>
            </w:pPr>
            <w:r w:rsidRPr="004E6EF0">
              <w:rPr>
                <w:rFonts w:cs="Arial"/>
                <w:color w:val="auto"/>
                <w:lang w:eastAsia="en-AU"/>
              </w:rPr>
              <w:t>CRC for Polymers</w:t>
            </w:r>
          </w:p>
        </w:tc>
      </w:tr>
      <w:tr w:rsidR="00CB540F" w:rsidRPr="004E6EF0" w14:paraId="5CBCB0B2" w14:textId="77777777" w:rsidTr="00C314F6">
        <w:trPr>
          <w:cantSplit/>
          <w:trHeight w:val="60"/>
        </w:trPr>
        <w:tc>
          <w:tcPr>
            <w:tcW w:w="1526" w:type="dxa"/>
            <w:hideMark/>
          </w:tcPr>
          <w:p w14:paraId="023CEA37" w14:textId="77777777" w:rsidR="00CB540F" w:rsidRPr="004E6EF0" w:rsidRDefault="00CB540F" w:rsidP="00CB540F">
            <w:pPr>
              <w:spacing w:line="240" w:lineRule="auto"/>
              <w:rPr>
                <w:rFonts w:cs="Arial"/>
                <w:color w:val="auto"/>
                <w:lang w:eastAsia="en-AU"/>
              </w:rPr>
            </w:pPr>
            <w:r w:rsidRPr="004E6EF0">
              <w:rPr>
                <w:rFonts w:cs="Arial"/>
                <w:color w:val="auto"/>
                <w:lang w:eastAsia="en-AU"/>
              </w:rPr>
              <w:t>28/10/2014</w:t>
            </w:r>
          </w:p>
        </w:tc>
        <w:tc>
          <w:tcPr>
            <w:tcW w:w="7654" w:type="dxa"/>
            <w:hideMark/>
          </w:tcPr>
          <w:p w14:paraId="75F1EA76" w14:textId="77777777" w:rsidR="00CB540F" w:rsidRPr="004E6EF0" w:rsidRDefault="00CB540F" w:rsidP="00CB540F">
            <w:pPr>
              <w:spacing w:line="240" w:lineRule="auto"/>
              <w:rPr>
                <w:rFonts w:cs="Arial"/>
                <w:color w:val="auto"/>
                <w:lang w:eastAsia="en-AU"/>
              </w:rPr>
            </w:pPr>
            <w:r w:rsidRPr="004E6EF0">
              <w:rPr>
                <w:rFonts w:cs="Arial"/>
                <w:color w:val="auto"/>
                <w:lang w:eastAsia="en-AU"/>
              </w:rPr>
              <w:t>Young and Well CRC*</w:t>
            </w:r>
          </w:p>
        </w:tc>
      </w:tr>
      <w:tr w:rsidR="00CB540F" w:rsidRPr="004E6EF0" w14:paraId="19B5C27C" w14:textId="77777777" w:rsidTr="00C314F6">
        <w:trPr>
          <w:cantSplit/>
          <w:trHeight w:val="60"/>
        </w:trPr>
        <w:tc>
          <w:tcPr>
            <w:tcW w:w="1526" w:type="dxa"/>
            <w:hideMark/>
          </w:tcPr>
          <w:p w14:paraId="4DD388C9" w14:textId="77777777" w:rsidR="00CB540F" w:rsidRPr="004E6EF0" w:rsidRDefault="00CB540F" w:rsidP="00CB540F">
            <w:pPr>
              <w:spacing w:line="240" w:lineRule="auto"/>
              <w:rPr>
                <w:rFonts w:cs="Arial"/>
                <w:color w:val="auto"/>
                <w:lang w:eastAsia="en-AU"/>
              </w:rPr>
            </w:pPr>
            <w:r w:rsidRPr="004E6EF0">
              <w:rPr>
                <w:rFonts w:cs="Arial"/>
                <w:color w:val="auto"/>
                <w:lang w:eastAsia="en-AU"/>
              </w:rPr>
              <w:t>28/10/2014</w:t>
            </w:r>
          </w:p>
        </w:tc>
        <w:tc>
          <w:tcPr>
            <w:tcW w:w="7654" w:type="dxa"/>
            <w:hideMark/>
          </w:tcPr>
          <w:p w14:paraId="473364FB" w14:textId="77777777" w:rsidR="00CB540F" w:rsidRPr="004E6EF0" w:rsidRDefault="00CB540F" w:rsidP="00CB540F">
            <w:pPr>
              <w:spacing w:line="240" w:lineRule="auto"/>
              <w:rPr>
                <w:rFonts w:cs="Arial"/>
                <w:color w:val="auto"/>
                <w:lang w:eastAsia="en-AU"/>
              </w:rPr>
            </w:pPr>
            <w:r w:rsidRPr="004E6EF0">
              <w:rPr>
                <w:rFonts w:cs="Arial"/>
                <w:color w:val="auto"/>
                <w:lang w:eastAsia="en-AU"/>
              </w:rPr>
              <w:t>Cancer Therapeutics CRC*</w:t>
            </w:r>
          </w:p>
        </w:tc>
      </w:tr>
      <w:tr w:rsidR="00CB540F" w:rsidRPr="004E6EF0" w14:paraId="034D2BAE" w14:textId="77777777" w:rsidTr="00E2708B">
        <w:trPr>
          <w:cantSplit/>
          <w:trHeight w:val="70"/>
        </w:trPr>
        <w:tc>
          <w:tcPr>
            <w:tcW w:w="1526" w:type="dxa"/>
            <w:hideMark/>
          </w:tcPr>
          <w:p w14:paraId="6CF2C598" w14:textId="77777777" w:rsidR="00CB540F" w:rsidRPr="004E6EF0" w:rsidRDefault="00CB540F" w:rsidP="00CB540F">
            <w:pPr>
              <w:spacing w:line="240" w:lineRule="auto"/>
              <w:rPr>
                <w:rFonts w:cs="Arial"/>
                <w:color w:val="auto"/>
                <w:lang w:eastAsia="en-AU"/>
              </w:rPr>
            </w:pPr>
            <w:r w:rsidRPr="004E6EF0">
              <w:rPr>
                <w:rFonts w:cs="Arial"/>
                <w:color w:val="auto"/>
                <w:lang w:eastAsia="en-AU"/>
              </w:rPr>
              <w:t>28/10/2014</w:t>
            </w:r>
          </w:p>
        </w:tc>
        <w:tc>
          <w:tcPr>
            <w:tcW w:w="7654" w:type="dxa"/>
            <w:hideMark/>
          </w:tcPr>
          <w:p w14:paraId="38933B0D" w14:textId="77777777" w:rsidR="00CB540F" w:rsidRPr="004E6EF0" w:rsidRDefault="00CB540F" w:rsidP="00CB540F">
            <w:pPr>
              <w:spacing w:line="240" w:lineRule="auto"/>
              <w:rPr>
                <w:rFonts w:cs="Arial"/>
                <w:color w:val="auto"/>
                <w:lang w:eastAsia="en-AU"/>
              </w:rPr>
            </w:pPr>
            <w:r w:rsidRPr="004E6EF0">
              <w:rPr>
                <w:rFonts w:cs="Arial"/>
                <w:color w:val="auto"/>
                <w:lang w:eastAsia="en-AU"/>
              </w:rPr>
              <w:t>Monash University</w:t>
            </w:r>
          </w:p>
        </w:tc>
      </w:tr>
      <w:tr w:rsidR="00CB540F" w:rsidRPr="004E6EF0" w14:paraId="59B5916E" w14:textId="77777777" w:rsidTr="00E2708B">
        <w:trPr>
          <w:cantSplit/>
          <w:trHeight w:val="70"/>
        </w:trPr>
        <w:tc>
          <w:tcPr>
            <w:tcW w:w="1526" w:type="dxa"/>
            <w:hideMark/>
          </w:tcPr>
          <w:p w14:paraId="42917067" w14:textId="77777777" w:rsidR="00CB540F" w:rsidRPr="004E6EF0" w:rsidRDefault="00CB540F" w:rsidP="00CB540F">
            <w:pPr>
              <w:spacing w:line="240" w:lineRule="auto"/>
              <w:rPr>
                <w:rFonts w:cs="Arial"/>
                <w:color w:val="auto"/>
                <w:lang w:eastAsia="en-AU"/>
              </w:rPr>
            </w:pPr>
            <w:r w:rsidRPr="004E6EF0">
              <w:rPr>
                <w:rFonts w:cs="Arial"/>
                <w:color w:val="auto"/>
                <w:lang w:eastAsia="en-AU"/>
              </w:rPr>
              <w:t>28/10/2014</w:t>
            </w:r>
          </w:p>
        </w:tc>
        <w:tc>
          <w:tcPr>
            <w:tcW w:w="7654" w:type="dxa"/>
            <w:hideMark/>
          </w:tcPr>
          <w:p w14:paraId="6091F01E" w14:textId="77777777" w:rsidR="00CB540F" w:rsidRPr="004E6EF0" w:rsidRDefault="00CB540F" w:rsidP="00CB540F">
            <w:pPr>
              <w:spacing w:line="240" w:lineRule="auto"/>
              <w:rPr>
                <w:rFonts w:cs="Arial"/>
                <w:color w:val="auto"/>
                <w:lang w:eastAsia="en-AU"/>
              </w:rPr>
            </w:pPr>
            <w:r w:rsidRPr="004E6EF0">
              <w:rPr>
                <w:rFonts w:cs="Arial"/>
                <w:color w:val="auto"/>
                <w:lang w:eastAsia="en-AU"/>
              </w:rPr>
              <w:t xml:space="preserve">Australian Academy of Technology, Science and Engineering </w:t>
            </w:r>
          </w:p>
        </w:tc>
      </w:tr>
      <w:tr w:rsidR="00CB540F" w:rsidRPr="004E6EF0" w14:paraId="77E7E6CF" w14:textId="77777777" w:rsidTr="00E2708B">
        <w:trPr>
          <w:cantSplit/>
          <w:trHeight w:val="70"/>
        </w:trPr>
        <w:tc>
          <w:tcPr>
            <w:tcW w:w="1526" w:type="dxa"/>
            <w:hideMark/>
          </w:tcPr>
          <w:p w14:paraId="2598FD55" w14:textId="77777777" w:rsidR="00CB540F" w:rsidRPr="004E6EF0" w:rsidRDefault="00CB540F" w:rsidP="00CB540F">
            <w:pPr>
              <w:spacing w:line="240" w:lineRule="auto"/>
              <w:rPr>
                <w:rFonts w:cs="Arial"/>
                <w:color w:val="auto"/>
                <w:lang w:eastAsia="en-AU"/>
              </w:rPr>
            </w:pPr>
            <w:r w:rsidRPr="004E6EF0">
              <w:rPr>
                <w:rFonts w:cs="Arial"/>
                <w:color w:val="auto"/>
                <w:lang w:eastAsia="en-AU"/>
              </w:rPr>
              <w:t>28/10/2014</w:t>
            </w:r>
          </w:p>
        </w:tc>
        <w:tc>
          <w:tcPr>
            <w:tcW w:w="7654" w:type="dxa"/>
            <w:hideMark/>
          </w:tcPr>
          <w:p w14:paraId="793B6D95" w14:textId="77777777" w:rsidR="00CB540F" w:rsidRPr="004E6EF0" w:rsidRDefault="00CB540F" w:rsidP="00CB540F">
            <w:pPr>
              <w:spacing w:line="240" w:lineRule="auto"/>
              <w:rPr>
                <w:rFonts w:cs="Arial"/>
                <w:color w:val="auto"/>
                <w:lang w:eastAsia="en-AU"/>
              </w:rPr>
            </w:pPr>
            <w:r w:rsidRPr="004E6EF0">
              <w:rPr>
                <w:rFonts w:cs="Arial"/>
                <w:color w:val="auto"/>
                <w:lang w:eastAsia="en-AU"/>
              </w:rPr>
              <w:t>Defence Materials Technology Centre</w:t>
            </w:r>
          </w:p>
        </w:tc>
      </w:tr>
      <w:tr w:rsidR="00CB540F" w:rsidRPr="004E6EF0" w14:paraId="5941E47D" w14:textId="77777777" w:rsidTr="00E2708B">
        <w:trPr>
          <w:cantSplit/>
          <w:trHeight w:val="70"/>
        </w:trPr>
        <w:tc>
          <w:tcPr>
            <w:tcW w:w="1526" w:type="dxa"/>
            <w:hideMark/>
          </w:tcPr>
          <w:p w14:paraId="168E92CE" w14:textId="77777777" w:rsidR="00CB540F" w:rsidRPr="004E6EF0" w:rsidRDefault="00CB540F" w:rsidP="00CB540F">
            <w:pPr>
              <w:spacing w:line="240" w:lineRule="auto"/>
              <w:rPr>
                <w:rFonts w:cs="Arial"/>
                <w:color w:val="auto"/>
                <w:lang w:eastAsia="en-AU"/>
              </w:rPr>
            </w:pPr>
            <w:r w:rsidRPr="004E6EF0">
              <w:rPr>
                <w:rFonts w:cs="Arial"/>
                <w:color w:val="auto"/>
                <w:lang w:eastAsia="en-AU"/>
              </w:rPr>
              <w:t>28/10/2014</w:t>
            </w:r>
          </w:p>
        </w:tc>
        <w:tc>
          <w:tcPr>
            <w:tcW w:w="7654" w:type="dxa"/>
            <w:hideMark/>
          </w:tcPr>
          <w:p w14:paraId="76A2A932" w14:textId="77777777" w:rsidR="00CB540F" w:rsidRPr="004E6EF0" w:rsidRDefault="00CB540F" w:rsidP="00CB540F">
            <w:pPr>
              <w:spacing w:line="240" w:lineRule="auto"/>
              <w:rPr>
                <w:rFonts w:cs="Arial"/>
                <w:color w:val="auto"/>
                <w:lang w:eastAsia="en-AU"/>
              </w:rPr>
            </w:pPr>
            <w:r w:rsidRPr="004E6EF0">
              <w:rPr>
                <w:rFonts w:cs="Arial"/>
                <w:color w:val="auto"/>
                <w:lang w:eastAsia="en-AU"/>
              </w:rPr>
              <w:t>Innovative Research Universities*</w:t>
            </w:r>
          </w:p>
        </w:tc>
      </w:tr>
      <w:tr w:rsidR="00CB540F" w:rsidRPr="004E6EF0" w14:paraId="0E0ACF7B" w14:textId="77777777" w:rsidTr="00E2708B">
        <w:trPr>
          <w:cantSplit/>
          <w:trHeight w:val="70"/>
        </w:trPr>
        <w:tc>
          <w:tcPr>
            <w:tcW w:w="1526" w:type="dxa"/>
            <w:hideMark/>
          </w:tcPr>
          <w:p w14:paraId="4FE77CE1" w14:textId="77777777" w:rsidR="00CB540F" w:rsidRPr="004E6EF0" w:rsidRDefault="00CB540F" w:rsidP="00CB540F">
            <w:pPr>
              <w:spacing w:line="240" w:lineRule="auto"/>
              <w:rPr>
                <w:rFonts w:cs="Arial"/>
                <w:color w:val="auto"/>
                <w:lang w:eastAsia="en-AU"/>
              </w:rPr>
            </w:pPr>
            <w:r w:rsidRPr="004E6EF0">
              <w:rPr>
                <w:rFonts w:cs="Arial"/>
                <w:color w:val="auto"/>
                <w:lang w:eastAsia="en-AU"/>
              </w:rPr>
              <w:t>28/10/2014</w:t>
            </w:r>
          </w:p>
        </w:tc>
        <w:tc>
          <w:tcPr>
            <w:tcW w:w="7654" w:type="dxa"/>
            <w:hideMark/>
          </w:tcPr>
          <w:p w14:paraId="7EAEAC09" w14:textId="77777777" w:rsidR="00CB540F" w:rsidRPr="004E6EF0" w:rsidRDefault="00CB540F" w:rsidP="00CB540F">
            <w:pPr>
              <w:spacing w:line="240" w:lineRule="auto"/>
              <w:rPr>
                <w:rFonts w:cs="Arial"/>
                <w:color w:val="auto"/>
                <w:lang w:eastAsia="en-AU"/>
              </w:rPr>
            </w:pPr>
            <w:r w:rsidRPr="004E6EF0">
              <w:rPr>
                <w:rFonts w:cs="Arial"/>
                <w:color w:val="auto"/>
                <w:lang w:eastAsia="en-AU"/>
              </w:rPr>
              <w:t>Minerals Council of Australia</w:t>
            </w:r>
          </w:p>
        </w:tc>
      </w:tr>
      <w:tr w:rsidR="00CB540F" w:rsidRPr="004E6EF0" w14:paraId="185248A3" w14:textId="77777777" w:rsidTr="00E2708B">
        <w:trPr>
          <w:cantSplit/>
          <w:trHeight w:val="70"/>
        </w:trPr>
        <w:tc>
          <w:tcPr>
            <w:tcW w:w="1526" w:type="dxa"/>
            <w:hideMark/>
          </w:tcPr>
          <w:p w14:paraId="4FC65F0D" w14:textId="77777777" w:rsidR="00CB540F" w:rsidRPr="004E6EF0" w:rsidRDefault="00CB540F" w:rsidP="00CB540F">
            <w:pPr>
              <w:spacing w:line="240" w:lineRule="auto"/>
              <w:rPr>
                <w:rFonts w:cs="Arial"/>
                <w:color w:val="auto"/>
                <w:lang w:eastAsia="en-AU"/>
              </w:rPr>
            </w:pPr>
            <w:r w:rsidRPr="004E6EF0">
              <w:rPr>
                <w:rFonts w:cs="Arial"/>
                <w:color w:val="auto"/>
                <w:lang w:eastAsia="en-AU"/>
              </w:rPr>
              <w:t>29/10/2014</w:t>
            </w:r>
          </w:p>
        </w:tc>
        <w:tc>
          <w:tcPr>
            <w:tcW w:w="7654" w:type="dxa"/>
            <w:hideMark/>
          </w:tcPr>
          <w:p w14:paraId="08394680" w14:textId="77777777" w:rsidR="00CB540F" w:rsidRPr="004E6EF0" w:rsidRDefault="00CB540F" w:rsidP="00CB540F">
            <w:pPr>
              <w:spacing w:line="240" w:lineRule="auto"/>
              <w:rPr>
                <w:rFonts w:cs="Arial"/>
                <w:color w:val="auto"/>
                <w:lang w:eastAsia="en-AU"/>
              </w:rPr>
            </w:pPr>
            <w:r w:rsidRPr="004E6EF0">
              <w:rPr>
                <w:rFonts w:cs="Arial"/>
                <w:color w:val="auto"/>
                <w:lang w:eastAsia="en-AU"/>
              </w:rPr>
              <w:t>Deep Exploration Technologies CRC</w:t>
            </w:r>
          </w:p>
        </w:tc>
      </w:tr>
      <w:tr w:rsidR="00CB540F" w:rsidRPr="004E6EF0" w14:paraId="7E1B679C" w14:textId="77777777" w:rsidTr="00E2708B">
        <w:trPr>
          <w:cantSplit/>
          <w:trHeight w:val="256"/>
        </w:trPr>
        <w:tc>
          <w:tcPr>
            <w:tcW w:w="1526" w:type="dxa"/>
            <w:hideMark/>
          </w:tcPr>
          <w:p w14:paraId="27B9482B" w14:textId="77777777" w:rsidR="00CB540F" w:rsidRPr="004E6EF0" w:rsidRDefault="00CB540F" w:rsidP="00CB540F">
            <w:pPr>
              <w:spacing w:line="240" w:lineRule="auto"/>
              <w:rPr>
                <w:rFonts w:cs="Arial"/>
                <w:color w:val="auto"/>
                <w:lang w:eastAsia="en-AU"/>
              </w:rPr>
            </w:pPr>
            <w:r w:rsidRPr="004E6EF0">
              <w:rPr>
                <w:rFonts w:cs="Arial"/>
                <w:color w:val="auto"/>
                <w:lang w:eastAsia="en-AU"/>
              </w:rPr>
              <w:t>29/10/2014</w:t>
            </w:r>
          </w:p>
        </w:tc>
        <w:tc>
          <w:tcPr>
            <w:tcW w:w="7654" w:type="dxa"/>
            <w:hideMark/>
          </w:tcPr>
          <w:p w14:paraId="0A1260E2" w14:textId="77777777" w:rsidR="00CB540F" w:rsidRPr="004E6EF0" w:rsidRDefault="00CB540F" w:rsidP="00CB540F">
            <w:pPr>
              <w:spacing w:line="240" w:lineRule="auto"/>
              <w:rPr>
                <w:rFonts w:cs="Arial"/>
                <w:color w:val="auto"/>
                <w:lang w:eastAsia="en-AU"/>
              </w:rPr>
            </w:pPr>
            <w:r w:rsidRPr="004E6EF0">
              <w:rPr>
                <w:rFonts w:cs="Arial"/>
                <w:color w:val="auto"/>
                <w:lang w:eastAsia="en-AU"/>
              </w:rPr>
              <w:t>Energy Pipelines CRC*</w:t>
            </w:r>
          </w:p>
        </w:tc>
      </w:tr>
      <w:tr w:rsidR="00CB540F" w:rsidRPr="004E6EF0" w14:paraId="13CB4879" w14:textId="77777777" w:rsidTr="00E2708B">
        <w:trPr>
          <w:cantSplit/>
          <w:trHeight w:val="70"/>
        </w:trPr>
        <w:tc>
          <w:tcPr>
            <w:tcW w:w="1526" w:type="dxa"/>
            <w:hideMark/>
          </w:tcPr>
          <w:p w14:paraId="7C62BDA2" w14:textId="77777777" w:rsidR="00CB540F" w:rsidRPr="004E6EF0" w:rsidRDefault="00CB540F" w:rsidP="00CB540F">
            <w:pPr>
              <w:spacing w:line="240" w:lineRule="auto"/>
              <w:rPr>
                <w:rFonts w:cs="Arial"/>
                <w:color w:val="auto"/>
                <w:lang w:eastAsia="en-AU"/>
              </w:rPr>
            </w:pPr>
            <w:r w:rsidRPr="004E6EF0">
              <w:rPr>
                <w:rFonts w:cs="Arial"/>
                <w:color w:val="auto"/>
                <w:lang w:eastAsia="en-AU"/>
              </w:rPr>
              <w:t>29/10/2014</w:t>
            </w:r>
          </w:p>
        </w:tc>
        <w:tc>
          <w:tcPr>
            <w:tcW w:w="7654" w:type="dxa"/>
            <w:hideMark/>
          </w:tcPr>
          <w:p w14:paraId="7311FAB1" w14:textId="77777777" w:rsidR="00CB540F" w:rsidRPr="004E6EF0" w:rsidRDefault="00CB540F" w:rsidP="00CB540F">
            <w:pPr>
              <w:spacing w:line="240" w:lineRule="auto"/>
              <w:rPr>
                <w:rFonts w:cs="Arial"/>
                <w:color w:val="auto"/>
                <w:lang w:eastAsia="en-AU"/>
              </w:rPr>
            </w:pPr>
            <w:r w:rsidRPr="004E6EF0">
              <w:rPr>
                <w:rFonts w:cs="Arial"/>
                <w:color w:val="auto"/>
                <w:lang w:eastAsia="en-AU"/>
              </w:rPr>
              <w:t>Cochlear Limited</w:t>
            </w:r>
          </w:p>
        </w:tc>
      </w:tr>
      <w:tr w:rsidR="00CB540F" w:rsidRPr="004E6EF0" w14:paraId="41191C9E" w14:textId="77777777" w:rsidTr="00E2708B">
        <w:trPr>
          <w:cantSplit/>
          <w:trHeight w:val="70"/>
        </w:trPr>
        <w:tc>
          <w:tcPr>
            <w:tcW w:w="1526" w:type="dxa"/>
            <w:hideMark/>
          </w:tcPr>
          <w:p w14:paraId="78A7FA48" w14:textId="77777777" w:rsidR="00CB540F" w:rsidRPr="004E6EF0" w:rsidRDefault="00CB540F" w:rsidP="00CB540F">
            <w:pPr>
              <w:spacing w:line="240" w:lineRule="auto"/>
              <w:rPr>
                <w:rFonts w:cs="Arial"/>
                <w:color w:val="auto"/>
                <w:lang w:eastAsia="en-AU"/>
              </w:rPr>
            </w:pPr>
            <w:r w:rsidRPr="004E6EF0">
              <w:rPr>
                <w:rFonts w:cs="Arial"/>
                <w:color w:val="auto"/>
                <w:lang w:eastAsia="en-AU"/>
              </w:rPr>
              <w:t>29/10/2014</w:t>
            </w:r>
          </w:p>
        </w:tc>
        <w:tc>
          <w:tcPr>
            <w:tcW w:w="7654" w:type="dxa"/>
            <w:hideMark/>
          </w:tcPr>
          <w:p w14:paraId="5F39A26D" w14:textId="77777777" w:rsidR="00CB540F" w:rsidRPr="004E6EF0" w:rsidRDefault="00CB540F" w:rsidP="00CB540F">
            <w:pPr>
              <w:spacing w:line="240" w:lineRule="auto"/>
              <w:rPr>
                <w:rFonts w:cs="Arial"/>
                <w:color w:val="auto"/>
                <w:lang w:eastAsia="en-AU"/>
              </w:rPr>
            </w:pPr>
            <w:r w:rsidRPr="004E6EF0">
              <w:rPr>
                <w:rFonts w:cs="Arial"/>
                <w:color w:val="auto"/>
                <w:lang w:eastAsia="en-AU"/>
              </w:rPr>
              <w:t>Glencore</w:t>
            </w:r>
          </w:p>
        </w:tc>
      </w:tr>
      <w:tr w:rsidR="00CB540F" w:rsidRPr="004E6EF0" w14:paraId="7EAA1EC4" w14:textId="77777777" w:rsidTr="00E2708B">
        <w:trPr>
          <w:cantSplit/>
          <w:trHeight w:val="70"/>
        </w:trPr>
        <w:tc>
          <w:tcPr>
            <w:tcW w:w="1526" w:type="dxa"/>
            <w:hideMark/>
          </w:tcPr>
          <w:p w14:paraId="7B6BBE40" w14:textId="77777777" w:rsidR="00CB540F" w:rsidRPr="004E6EF0" w:rsidRDefault="00CB540F" w:rsidP="00CB540F">
            <w:pPr>
              <w:spacing w:line="240" w:lineRule="auto"/>
              <w:rPr>
                <w:rFonts w:cs="Arial"/>
                <w:color w:val="auto"/>
                <w:lang w:eastAsia="en-AU"/>
              </w:rPr>
            </w:pPr>
            <w:r w:rsidRPr="004E6EF0">
              <w:rPr>
                <w:rFonts w:cs="Arial"/>
                <w:color w:val="auto"/>
                <w:lang w:eastAsia="en-AU"/>
              </w:rPr>
              <w:t>29/10/2014</w:t>
            </w:r>
          </w:p>
        </w:tc>
        <w:tc>
          <w:tcPr>
            <w:tcW w:w="7654" w:type="dxa"/>
            <w:hideMark/>
          </w:tcPr>
          <w:p w14:paraId="6F6E89D2" w14:textId="77777777" w:rsidR="00CB540F" w:rsidRPr="004E6EF0" w:rsidRDefault="00CB540F" w:rsidP="00CB540F">
            <w:pPr>
              <w:spacing w:line="240" w:lineRule="auto"/>
              <w:rPr>
                <w:rFonts w:cs="Arial"/>
                <w:color w:val="auto"/>
                <w:lang w:eastAsia="en-AU"/>
              </w:rPr>
            </w:pPr>
            <w:r w:rsidRPr="004E6EF0">
              <w:rPr>
                <w:rFonts w:cs="Arial"/>
                <w:color w:val="auto"/>
                <w:lang w:eastAsia="en-AU"/>
              </w:rPr>
              <w:t>Orica</w:t>
            </w:r>
          </w:p>
        </w:tc>
      </w:tr>
      <w:tr w:rsidR="00CB540F" w:rsidRPr="004E6EF0" w14:paraId="0C75B5B1" w14:textId="77777777" w:rsidTr="00E2708B">
        <w:trPr>
          <w:cantSplit/>
          <w:trHeight w:val="70"/>
        </w:trPr>
        <w:tc>
          <w:tcPr>
            <w:tcW w:w="1526" w:type="dxa"/>
            <w:hideMark/>
          </w:tcPr>
          <w:p w14:paraId="5F6B518B" w14:textId="77777777" w:rsidR="00CB540F" w:rsidRPr="004E6EF0" w:rsidRDefault="00CB540F" w:rsidP="00CB540F">
            <w:pPr>
              <w:spacing w:line="240" w:lineRule="auto"/>
              <w:rPr>
                <w:rFonts w:cs="Arial"/>
                <w:color w:val="auto"/>
                <w:lang w:eastAsia="en-AU"/>
              </w:rPr>
            </w:pPr>
            <w:r w:rsidRPr="004E6EF0">
              <w:rPr>
                <w:rFonts w:cs="Arial"/>
                <w:color w:val="auto"/>
                <w:lang w:eastAsia="en-AU"/>
              </w:rPr>
              <w:t>29/10/2014</w:t>
            </w:r>
          </w:p>
        </w:tc>
        <w:tc>
          <w:tcPr>
            <w:tcW w:w="7654" w:type="dxa"/>
            <w:hideMark/>
          </w:tcPr>
          <w:p w14:paraId="33242394" w14:textId="77777777" w:rsidR="00CB540F" w:rsidRPr="004E6EF0" w:rsidRDefault="00CB540F" w:rsidP="00CB540F">
            <w:pPr>
              <w:spacing w:line="240" w:lineRule="auto"/>
              <w:rPr>
                <w:rFonts w:cs="Arial"/>
                <w:color w:val="auto"/>
                <w:lang w:eastAsia="en-AU"/>
              </w:rPr>
            </w:pPr>
            <w:r w:rsidRPr="004E6EF0">
              <w:rPr>
                <w:rFonts w:cs="Arial"/>
                <w:color w:val="auto"/>
                <w:lang w:eastAsia="en-AU"/>
              </w:rPr>
              <w:t>Advanced Composite Structures Australia Pty Ltd*</w:t>
            </w:r>
          </w:p>
        </w:tc>
      </w:tr>
      <w:tr w:rsidR="00CB540F" w:rsidRPr="004E6EF0" w14:paraId="66AAC47F" w14:textId="77777777" w:rsidTr="00E2708B">
        <w:trPr>
          <w:cantSplit/>
          <w:trHeight w:val="70"/>
        </w:trPr>
        <w:tc>
          <w:tcPr>
            <w:tcW w:w="1526" w:type="dxa"/>
            <w:hideMark/>
          </w:tcPr>
          <w:p w14:paraId="1AC8015F" w14:textId="77777777" w:rsidR="00CB540F" w:rsidRPr="004E6EF0" w:rsidRDefault="00CB540F" w:rsidP="00CB540F">
            <w:pPr>
              <w:spacing w:line="240" w:lineRule="auto"/>
              <w:rPr>
                <w:rFonts w:cs="Arial"/>
                <w:color w:val="auto"/>
                <w:lang w:eastAsia="en-AU"/>
              </w:rPr>
            </w:pPr>
            <w:r w:rsidRPr="004E6EF0">
              <w:rPr>
                <w:rFonts w:cs="Arial"/>
                <w:color w:val="auto"/>
                <w:lang w:eastAsia="en-AU"/>
              </w:rPr>
              <w:t>29/10/2014</w:t>
            </w:r>
          </w:p>
        </w:tc>
        <w:tc>
          <w:tcPr>
            <w:tcW w:w="7654" w:type="dxa"/>
            <w:hideMark/>
          </w:tcPr>
          <w:p w14:paraId="05E96A97" w14:textId="77777777" w:rsidR="00CB540F" w:rsidRPr="004E6EF0" w:rsidRDefault="00CB540F" w:rsidP="00CB540F">
            <w:pPr>
              <w:spacing w:line="240" w:lineRule="auto"/>
              <w:rPr>
                <w:rFonts w:cs="Arial"/>
                <w:color w:val="auto"/>
                <w:lang w:eastAsia="en-AU"/>
              </w:rPr>
            </w:pPr>
            <w:r w:rsidRPr="004E6EF0">
              <w:rPr>
                <w:rFonts w:cs="Arial"/>
                <w:color w:val="auto"/>
                <w:lang w:eastAsia="en-AU"/>
              </w:rPr>
              <w:t>Professor Mary O'Kane</w:t>
            </w:r>
          </w:p>
        </w:tc>
      </w:tr>
      <w:tr w:rsidR="00CB540F" w:rsidRPr="004E6EF0" w14:paraId="62124300" w14:textId="77777777" w:rsidTr="00E2708B">
        <w:trPr>
          <w:cantSplit/>
          <w:trHeight w:val="70"/>
        </w:trPr>
        <w:tc>
          <w:tcPr>
            <w:tcW w:w="1526" w:type="dxa"/>
            <w:hideMark/>
          </w:tcPr>
          <w:p w14:paraId="40412B55" w14:textId="77777777" w:rsidR="00CB540F" w:rsidRPr="004E6EF0" w:rsidRDefault="00CB540F" w:rsidP="00CB540F">
            <w:pPr>
              <w:spacing w:line="240" w:lineRule="auto"/>
              <w:rPr>
                <w:rFonts w:cs="Arial"/>
                <w:color w:val="auto"/>
                <w:lang w:eastAsia="en-AU"/>
              </w:rPr>
            </w:pPr>
            <w:r w:rsidRPr="004E6EF0">
              <w:rPr>
                <w:rFonts w:cs="Arial"/>
                <w:color w:val="auto"/>
                <w:lang w:eastAsia="en-AU"/>
              </w:rPr>
              <w:t>30/10/2014</w:t>
            </w:r>
          </w:p>
        </w:tc>
        <w:tc>
          <w:tcPr>
            <w:tcW w:w="7654" w:type="dxa"/>
            <w:hideMark/>
          </w:tcPr>
          <w:p w14:paraId="1F2824A3" w14:textId="77777777" w:rsidR="00CB540F" w:rsidRPr="004E6EF0" w:rsidRDefault="00CB540F" w:rsidP="00CB540F">
            <w:pPr>
              <w:spacing w:line="240" w:lineRule="auto"/>
              <w:rPr>
                <w:rFonts w:cs="Arial"/>
                <w:color w:val="auto"/>
                <w:lang w:eastAsia="en-AU"/>
              </w:rPr>
            </w:pPr>
            <w:r w:rsidRPr="004E6EF0">
              <w:rPr>
                <w:rFonts w:cs="Arial"/>
                <w:color w:val="auto"/>
                <w:lang w:eastAsia="en-AU"/>
              </w:rPr>
              <w:t>CRC for High Integrity Australian Pork</w:t>
            </w:r>
          </w:p>
        </w:tc>
      </w:tr>
      <w:tr w:rsidR="00CB540F" w:rsidRPr="004E6EF0" w14:paraId="298561CA" w14:textId="77777777" w:rsidTr="00E2708B">
        <w:trPr>
          <w:cantSplit/>
          <w:trHeight w:val="70"/>
        </w:trPr>
        <w:tc>
          <w:tcPr>
            <w:tcW w:w="1526" w:type="dxa"/>
            <w:hideMark/>
          </w:tcPr>
          <w:p w14:paraId="71A14345" w14:textId="77777777" w:rsidR="00CB540F" w:rsidRPr="004E6EF0" w:rsidRDefault="00CB540F" w:rsidP="00CB540F">
            <w:pPr>
              <w:spacing w:line="240" w:lineRule="auto"/>
              <w:rPr>
                <w:rFonts w:cs="Arial"/>
                <w:color w:val="auto"/>
                <w:lang w:eastAsia="en-AU"/>
              </w:rPr>
            </w:pPr>
            <w:r w:rsidRPr="004E6EF0">
              <w:rPr>
                <w:rFonts w:cs="Arial"/>
                <w:color w:val="auto"/>
                <w:lang w:eastAsia="en-AU"/>
              </w:rPr>
              <w:t>30/10/2014</w:t>
            </w:r>
          </w:p>
        </w:tc>
        <w:tc>
          <w:tcPr>
            <w:tcW w:w="7654" w:type="dxa"/>
            <w:hideMark/>
          </w:tcPr>
          <w:p w14:paraId="529E99F6" w14:textId="77777777" w:rsidR="00CB540F" w:rsidRPr="004E6EF0" w:rsidRDefault="00CB540F" w:rsidP="00CB540F">
            <w:pPr>
              <w:spacing w:line="240" w:lineRule="auto"/>
              <w:rPr>
                <w:rFonts w:cs="Arial"/>
                <w:color w:val="auto"/>
                <w:lang w:eastAsia="en-AU"/>
              </w:rPr>
            </w:pPr>
            <w:r w:rsidRPr="004E6EF0">
              <w:rPr>
                <w:rFonts w:cs="Arial"/>
                <w:color w:val="auto"/>
                <w:lang w:eastAsia="en-AU"/>
              </w:rPr>
              <w:t>Wound Management Innovation CRC</w:t>
            </w:r>
          </w:p>
        </w:tc>
      </w:tr>
      <w:tr w:rsidR="00CB540F" w:rsidRPr="004E6EF0" w14:paraId="72F1AA44" w14:textId="77777777" w:rsidTr="00723A83">
        <w:trPr>
          <w:cantSplit/>
          <w:trHeight w:val="1940"/>
        </w:trPr>
        <w:tc>
          <w:tcPr>
            <w:tcW w:w="1526" w:type="dxa"/>
            <w:hideMark/>
          </w:tcPr>
          <w:p w14:paraId="7D0539AD" w14:textId="77777777" w:rsidR="00CB540F" w:rsidRPr="004E6EF0" w:rsidRDefault="00CB540F" w:rsidP="00CB540F">
            <w:pPr>
              <w:spacing w:line="240" w:lineRule="auto"/>
              <w:rPr>
                <w:rFonts w:cs="Arial"/>
                <w:color w:val="auto"/>
                <w:lang w:eastAsia="en-AU"/>
              </w:rPr>
            </w:pPr>
            <w:r w:rsidRPr="004E6EF0">
              <w:rPr>
                <w:rFonts w:cs="Arial"/>
                <w:color w:val="auto"/>
                <w:lang w:eastAsia="en-AU"/>
              </w:rPr>
              <w:t>30/10/2014</w:t>
            </w:r>
          </w:p>
        </w:tc>
        <w:tc>
          <w:tcPr>
            <w:tcW w:w="7654" w:type="dxa"/>
            <w:hideMark/>
          </w:tcPr>
          <w:p w14:paraId="4C82A3FF" w14:textId="77777777" w:rsidR="00CB540F" w:rsidRPr="004E6EF0" w:rsidRDefault="00CB540F" w:rsidP="00CB540F">
            <w:pPr>
              <w:spacing w:line="240" w:lineRule="auto"/>
              <w:rPr>
                <w:rFonts w:cs="Arial"/>
                <w:color w:val="auto"/>
                <w:lang w:eastAsia="en-AU"/>
              </w:rPr>
            </w:pPr>
            <w:r w:rsidRPr="004E6EF0">
              <w:rPr>
                <w:rFonts w:cs="Arial"/>
                <w:color w:val="auto"/>
                <w:lang w:eastAsia="en-AU"/>
              </w:rPr>
              <w:t>Queensl</w:t>
            </w:r>
            <w:r w:rsidR="007B08AD" w:rsidRPr="004E6EF0">
              <w:rPr>
                <w:rFonts w:cs="Arial"/>
                <w:color w:val="auto"/>
                <w:lang w:eastAsia="en-AU"/>
              </w:rPr>
              <w:t>and State consortia comprised</w:t>
            </w:r>
            <w:r w:rsidRPr="004E6EF0">
              <w:rPr>
                <w:rFonts w:cs="Arial"/>
                <w:color w:val="auto"/>
                <w:lang w:eastAsia="en-AU"/>
              </w:rPr>
              <w:t>:</w:t>
            </w:r>
          </w:p>
          <w:p w14:paraId="4ADA5B1B" w14:textId="77777777" w:rsidR="00CB540F" w:rsidRPr="004E6EF0" w:rsidRDefault="00CB540F" w:rsidP="00CB540F">
            <w:pPr>
              <w:spacing w:line="240" w:lineRule="auto"/>
              <w:rPr>
                <w:rFonts w:cs="Arial"/>
                <w:color w:val="auto"/>
                <w:lang w:eastAsia="en-AU"/>
              </w:rPr>
            </w:pPr>
            <w:r w:rsidRPr="004E6EF0">
              <w:rPr>
                <w:rFonts w:cs="Arial"/>
                <w:color w:val="auto"/>
                <w:lang w:eastAsia="en-AU"/>
              </w:rPr>
              <w:t xml:space="preserve">Department of Science, Information Technology Innovation and the Arts  </w:t>
            </w:r>
          </w:p>
          <w:p w14:paraId="35E6031C" w14:textId="77777777" w:rsidR="00CB540F" w:rsidRPr="004E6EF0" w:rsidRDefault="00CB540F" w:rsidP="00CB540F">
            <w:pPr>
              <w:spacing w:line="240" w:lineRule="auto"/>
              <w:rPr>
                <w:rFonts w:cs="Arial"/>
                <w:color w:val="auto"/>
                <w:lang w:eastAsia="en-AU"/>
              </w:rPr>
            </w:pPr>
            <w:r w:rsidRPr="004E6EF0">
              <w:rPr>
                <w:rFonts w:cs="Arial"/>
                <w:color w:val="auto"/>
                <w:lang w:eastAsia="en-AU"/>
              </w:rPr>
              <w:t>Department of Agriculture, Fisheries and Forestry</w:t>
            </w:r>
          </w:p>
          <w:p w14:paraId="54121D04" w14:textId="77777777" w:rsidR="00CB540F" w:rsidRPr="004E6EF0" w:rsidRDefault="00CB540F" w:rsidP="00CB540F">
            <w:pPr>
              <w:spacing w:line="240" w:lineRule="auto"/>
              <w:rPr>
                <w:rFonts w:cs="Arial"/>
                <w:color w:val="auto"/>
                <w:lang w:eastAsia="en-AU"/>
              </w:rPr>
            </w:pPr>
            <w:r w:rsidRPr="004E6EF0">
              <w:rPr>
                <w:rFonts w:cs="Arial"/>
                <w:color w:val="auto"/>
                <w:lang w:eastAsia="en-AU"/>
              </w:rPr>
              <w:t>Department of Energy and Water Supply</w:t>
            </w:r>
          </w:p>
          <w:p w14:paraId="55F0061B" w14:textId="77777777" w:rsidR="00CB540F" w:rsidRPr="004E6EF0" w:rsidRDefault="00CB540F" w:rsidP="00CB540F">
            <w:pPr>
              <w:spacing w:line="240" w:lineRule="auto"/>
              <w:rPr>
                <w:rFonts w:cs="Arial"/>
                <w:color w:val="auto"/>
                <w:lang w:eastAsia="en-AU"/>
              </w:rPr>
            </w:pPr>
            <w:r w:rsidRPr="004E6EF0">
              <w:rPr>
                <w:rFonts w:cs="Arial"/>
                <w:color w:val="auto"/>
                <w:lang w:eastAsia="en-AU"/>
              </w:rPr>
              <w:t xml:space="preserve">Department of Education and Training </w:t>
            </w:r>
          </w:p>
          <w:p w14:paraId="742729F9" w14:textId="77777777" w:rsidR="00CB540F" w:rsidRPr="004E6EF0" w:rsidRDefault="00CB540F" w:rsidP="00CB540F">
            <w:pPr>
              <w:spacing w:line="240" w:lineRule="auto"/>
              <w:rPr>
                <w:rFonts w:cs="Arial"/>
                <w:color w:val="auto"/>
                <w:lang w:eastAsia="en-AU"/>
              </w:rPr>
            </w:pPr>
            <w:r w:rsidRPr="004E6EF0">
              <w:rPr>
                <w:rFonts w:cs="Arial"/>
                <w:color w:val="auto"/>
                <w:lang w:eastAsia="en-AU"/>
              </w:rPr>
              <w:t xml:space="preserve">Department of State Development, Infrastructure and Planning </w:t>
            </w:r>
          </w:p>
          <w:p w14:paraId="1D823271" w14:textId="77777777" w:rsidR="00CB540F" w:rsidRPr="004E6EF0" w:rsidRDefault="00CB540F" w:rsidP="00CB540F">
            <w:pPr>
              <w:spacing w:line="240" w:lineRule="auto"/>
              <w:rPr>
                <w:rFonts w:cs="Arial"/>
                <w:color w:val="auto"/>
                <w:lang w:eastAsia="en-AU"/>
              </w:rPr>
            </w:pPr>
            <w:r w:rsidRPr="004E6EF0">
              <w:rPr>
                <w:rFonts w:cs="Arial"/>
                <w:color w:val="auto"/>
                <w:lang w:eastAsia="en-AU"/>
              </w:rPr>
              <w:t>Department of Natural Resources and Mines</w:t>
            </w:r>
          </w:p>
          <w:p w14:paraId="26D5CBA1" w14:textId="77777777" w:rsidR="00CB540F" w:rsidRPr="004E6EF0" w:rsidRDefault="00CB540F" w:rsidP="00CB540F">
            <w:pPr>
              <w:spacing w:line="240" w:lineRule="auto"/>
              <w:rPr>
                <w:rFonts w:cs="Arial"/>
                <w:color w:val="auto"/>
                <w:lang w:eastAsia="en-AU"/>
              </w:rPr>
            </w:pPr>
            <w:r w:rsidRPr="004E6EF0">
              <w:rPr>
                <w:rFonts w:cs="Arial"/>
                <w:color w:val="auto"/>
                <w:lang w:eastAsia="en-AU"/>
              </w:rPr>
              <w:t>Public Safety Portfolio (Emergency Management, Rural Fire Service Queensland /  Queensland Fire and Emergency Services and Public Safety Business Agency)</w:t>
            </w:r>
          </w:p>
        </w:tc>
      </w:tr>
      <w:tr w:rsidR="00CB540F" w:rsidRPr="004E6EF0" w14:paraId="0703615C" w14:textId="77777777" w:rsidTr="00C314F6">
        <w:trPr>
          <w:cantSplit/>
          <w:trHeight w:val="100"/>
        </w:trPr>
        <w:tc>
          <w:tcPr>
            <w:tcW w:w="1526" w:type="dxa"/>
            <w:hideMark/>
          </w:tcPr>
          <w:p w14:paraId="3C1DD72F" w14:textId="77777777" w:rsidR="00CB540F" w:rsidRPr="004E6EF0" w:rsidRDefault="00CB540F" w:rsidP="00CB540F">
            <w:pPr>
              <w:spacing w:line="240" w:lineRule="auto"/>
              <w:rPr>
                <w:rFonts w:cs="Arial"/>
                <w:color w:val="auto"/>
                <w:lang w:eastAsia="en-AU"/>
              </w:rPr>
            </w:pPr>
            <w:r w:rsidRPr="004E6EF0">
              <w:rPr>
                <w:rFonts w:cs="Arial"/>
                <w:color w:val="auto"/>
                <w:lang w:eastAsia="en-AU"/>
              </w:rPr>
              <w:t>30/10/2014</w:t>
            </w:r>
          </w:p>
        </w:tc>
        <w:tc>
          <w:tcPr>
            <w:tcW w:w="7654" w:type="dxa"/>
            <w:hideMark/>
          </w:tcPr>
          <w:p w14:paraId="5FD4EFE1" w14:textId="77777777" w:rsidR="00CB540F" w:rsidRPr="004E6EF0" w:rsidRDefault="00CB540F" w:rsidP="00CB540F">
            <w:pPr>
              <w:spacing w:line="240" w:lineRule="auto"/>
              <w:rPr>
                <w:rFonts w:cs="Arial"/>
                <w:color w:val="auto"/>
                <w:lang w:eastAsia="en-AU"/>
              </w:rPr>
            </w:pPr>
            <w:r w:rsidRPr="004E6EF0">
              <w:rPr>
                <w:rFonts w:cs="Arial"/>
                <w:color w:val="auto"/>
                <w:lang w:eastAsia="en-AU"/>
              </w:rPr>
              <w:t>43pl</w:t>
            </w:r>
          </w:p>
        </w:tc>
      </w:tr>
      <w:tr w:rsidR="00CB540F" w:rsidRPr="004E6EF0" w14:paraId="67FC59C5" w14:textId="77777777" w:rsidTr="00E2708B">
        <w:trPr>
          <w:cantSplit/>
          <w:trHeight w:val="70"/>
        </w:trPr>
        <w:tc>
          <w:tcPr>
            <w:tcW w:w="1526" w:type="dxa"/>
            <w:hideMark/>
          </w:tcPr>
          <w:p w14:paraId="27BAB900" w14:textId="77777777" w:rsidR="00CB540F" w:rsidRPr="004E6EF0" w:rsidRDefault="00CB540F" w:rsidP="00CB540F">
            <w:pPr>
              <w:spacing w:line="240" w:lineRule="auto"/>
              <w:rPr>
                <w:rFonts w:cs="Arial"/>
                <w:color w:val="auto"/>
                <w:lang w:eastAsia="en-AU"/>
              </w:rPr>
            </w:pPr>
            <w:r w:rsidRPr="004E6EF0">
              <w:rPr>
                <w:rFonts w:cs="Arial"/>
                <w:color w:val="auto"/>
                <w:lang w:eastAsia="en-AU"/>
              </w:rPr>
              <w:t>30/10/2014</w:t>
            </w:r>
          </w:p>
        </w:tc>
        <w:tc>
          <w:tcPr>
            <w:tcW w:w="7654" w:type="dxa"/>
            <w:hideMark/>
          </w:tcPr>
          <w:p w14:paraId="4157FFC7" w14:textId="77777777" w:rsidR="00CB540F" w:rsidRPr="004E6EF0" w:rsidRDefault="00CB540F" w:rsidP="00CB540F">
            <w:pPr>
              <w:spacing w:line="240" w:lineRule="auto"/>
              <w:rPr>
                <w:rFonts w:cs="Arial"/>
                <w:color w:val="auto"/>
                <w:lang w:eastAsia="en-AU"/>
              </w:rPr>
            </w:pPr>
            <w:r w:rsidRPr="004E6EF0">
              <w:rPr>
                <w:rFonts w:cs="Arial"/>
                <w:color w:val="auto"/>
                <w:lang w:eastAsia="en-AU"/>
              </w:rPr>
              <w:t>Siemens Hearing Instruments</w:t>
            </w:r>
          </w:p>
        </w:tc>
      </w:tr>
      <w:tr w:rsidR="00CB540F" w:rsidRPr="004E6EF0" w14:paraId="2147D40F" w14:textId="77777777" w:rsidTr="00E2708B">
        <w:trPr>
          <w:cantSplit/>
          <w:trHeight w:val="70"/>
        </w:trPr>
        <w:tc>
          <w:tcPr>
            <w:tcW w:w="1526" w:type="dxa"/>
            <w:hideMark/>
          </w:tcPr>
          <w:p w14:paraId="570CCAA8" w14:textId="77777777" w:rsidR="00CB540F" w:rsidRPr="004E6EF0" w:rsidRDefault="00CB540F" w:rsidP="00CB540F">
            <w:pPr>
              <w:spacing w:line="240" w:lineRule="auto"/>
              <w:rPr>
                <w:rFonts w:cs="Arial"/>
                <w:color w:val="auto"/>
                <w:lang w:eastAsia="en-AU"/>
              </w:rPr>
            </w:pPr>
            <w:r w:rsidRPr="004E6EF0">
              <w:rPr>
                <w:rFonts w:cs="Arial"/>
                <w:color w:val="auto"/>
                <w:lang w:eastAsia="en-AU"/>
              </w:rPr>
              <w:t>30/10/2014</w:t>
            </w:r>
          </w:p>
        </w:tc>
        <w:tc>
          <w:tcPr>
            <w:tcW w:w="7654" w:type="dxa"/>
            <w:hideMark/>
          </w:tcPr>
          <w:p w14:paraId="20C7850C" w14:textId="77777777" w:rsidR="00CB540F" w:rsidRPr="004E6EF0" w:rsidRDefault="00CB540F" w:rsidP="00CB540F">
            <w:pPr>
              <w:spacing w:line="240" w:lineRule="auto"/>
              <w:rPr>
                <w:rFonts w:cs="Arial"/>
                <w:color w:val="auto"/>
                <w:lang w:eastAsia="en-AU"/>
              </w:rPr>
            </w:pPr>
            <w:proofErr w:type="spellStart"/>
            <w:r w:rsidRPr="004E6EF0">
              <w:rPr>
                <w:rFonts w:cs="Arial"/>
                <w:color w:val="auto"/>
                <w:lang w:eastAsia="en-AU"/>
              </w:rPr>
              <w:t>Fraunhofer</w:t>
            </w:r>
            <w:proofErr w:type="spellEnd"/>
            <w:r w:rsidRPr="004E6EF0">
              <w:rPr>
                <w:rFonts w:cs="Arial"/>
                <w:color w:val="auto"/>
                <w:lang w:eastAsia="en-AU"/>
              </w:rPr>
              <w:t xml:space="preserve"> Institute</w:t>
            </w:r>
          </w:p>
        </w:tc>
      </w:tr>
      <w:tr w:rsidR="00CB540F" w:rsidRPr="004E6EF0" w14:paraId="4DEEF880" w14:textId="77777777" w:rsidTr="00E2708B">
        <w:trPr>
          <w:cantSplit/>
          <w:trHeight w:val="70"/>
        </w:trPr>
        <w:tc>
          <w:tcPr>
            <w:tcW w:w="1526" w:type="dxa"/>
            <w:hideMark/>
          </w:tcPr>
          <w:p w14:paraId="5B9F0DDA" w14:textId="77777777" w:rsidR="00CB540F" w:rsidRPr="004E6EF0" w:rsidRDefault="00CB540F" w:rsidP="00CB540F">
            <w:pPr>
              <w:spacing w:line="240" w:lineRule="auto"/>
              <w:rPr>
                <w:rFonts w:cs="Arial"/>
                <w:color w:val="auto"/>
                <w:lang w:eastAsia="en-AU"/>
              </w:rPr>
            </w:pPr>
            <w:r w:rsidRPr="004E6EF0">
              <w:rPr>
                <w:rFonts w:cs="Arial"/>
                <w:color w:val="auto"/>
                <w:lang w:eastAsia="en-AU"/>
              </w:rPr>
              <w:t>04/11/2014</w:t>
            </w:r>
          </w:p>
        </w:tc>
        <w:tc>
          <w:tcPr>
            <w:tcW w:w="7654" w:type="dxa"/>
            <w:hideMark/>
          </w:tcPr>
          <w:p w14:paraId="7FE34C31" w14:textId="77777777" w:rsidR="00CB540F" w:rsidRPr="004E6EF0" w:rsidRDefault="00CB540F" w:rsidP="00CB540F">
            <w:pPr>
              <w:spacing w:line="240" w:lineRule="auto"/>
              <w:rPr>
                <w:rFonts w:cs="Arial"/>
                <w:color w:val="auto"/>
                <w:lang w:eastAsia="en-AU"/>
              </w:rPr>
            </w:pPr>
            <w:r w:rsidRPr="004E6EF0">
              <w:rPr>
                <w:rFonts w:cs="Arial"/>
                <w:color w:val="auto"/>
                <w:lang w:eastAsia="en-AU"/>
              </w:rPr>
              <w:t>Defence Science Technology Organisation</w:t>
            </w:r>
          </w:p>
        </w:tc>
      </w:tr>
      <w:tr w:rsidR="00CB540F" w:rsidRPr="004E6EF0" w14:paraId="6774FDAD" w14:textId="77777777" w:rsidTr="00E2708B">
        <w:trPr>
          <w:cantSplit/>
          <w:trHeight w:val="70"/>
        </w:trPr>
        <w:tc>
          <w:tcPr>
            <w:tcW w:w="1526" w:type="dxa"/>
            <w:hideMark/>
          </w:tcPr>
          <w:p w14:paraId="63C01459" w14:textId="77777777" w:rsidR="00CB540F" w:rsidRPr="004E6EF0" w:rsidRDefault="00CB540F" w:rsidP="00CB540F">
            <w:pPr>
              <w:spacing w:line="240" w:lineRule="auto"/>
              <w:rPr>
                <w:rFonts w:cs="Arial"/>
                <w:color w:val="auto"/>
                <w:lang w:eastAsia="en-AU"/>
              </w:rPr>
            </w:pPr>
            <w:r w:rsidRPr="004E6EF0">
              <w:rPr>
                <w:rFonts w:cs="Arial"/>
                <w:color w:val="auto"/>
                <w:lang w:eastAsia="en-AU"/>
              </w:rPr>
              <w:t>05/11/2014</w:t>
            </w:r>
          </w:p>
        </w:tc>
        <w:tc>
          <w:tcPr>
            <w:tcW w:w="7654" w:type="dxa"/>
            <w:hideMark/>
          </w:tcPr>
          <w:p w14:paraId="5AD98FF8" w14:textId="77777777" w:rsidR="00CB540F" w:rsidRPr="004E6EF0" w:rsidRDefault="00CB540F" w:rsidP="00CB540F">
            <w:pPr>
              <w:spacing w:line="240" w:lineRule="auto"/>
              <w:rPr>
                <w:rFonts w:cs="Arial"/>
                <w:color w:val="auto"/>
                <w:lang w:eastAsia="en-AU"/>
              </w:rPr>
            </w:pPr>
            <w:r w:rsidRPr="004E6EF0">
              <w:rPr>
                <w:rFonts w:cs="Arial"/>
                <w:color w:val="auto"/>
                <w:lang w:eastAsia="en-AU"/>
              </w:rPr>
              <w:t>META</w:t>
            </w:r>
          </w:p>
        </w:tc>
      </w:tr>
      <w:tr w:rsidR="00CB540F" w:rsidRPr="004E6EF0" w14:paraId="2031F885" w14:textId="77777777" w:rsidTr="002C6AF0">
        <w:trPr>
          <w:cantSplit/>
          <w:trHeight w:val="137"/>
        </w:trPr>
        <w:tc>
          <w:tcPr>
            <w:tcW w:w="1526" w:type="dxa"/>
            <w:hideMark/>
          </w:tcPr>
          <w:p w14:paraId="0E34B4DC" w14:textId="77777777" w:rsidR="00CB540F" w:rsidRPr="004E6EF0" w:rsidRDefault="00CB540F" w:rsidP="00CB540F">
            <w:pPr>
              <w:spacing w:line="240" w:lineRule="auto"/>
              <w:rPr>
                <w:rFonts w:cs="Arial"/>
                <w:color w:val="auto"/>
                <w:lang w:eastAsia="en-AU"/>
              </w:rPr>
            </w:pPr>
            <w:r w:rsidRPr="004E6EF0">
              <w:rPr>
                <w:rFonts w:cs="Arial"/>
                <w:color w:val="auto"/>
                <w:lang w:eastAsia="en-AU"/>
              </w:rPr>
              <w:t>05/11/2014</w:t>
            </w:r>
          </w:p>
        </w:tc>
        <w:tc>
          <w:tcPr>
            <w:tcW w:w="7654" w:type="dxa"/>
            <w:hideMark/>
          </w:tcPr>
          <w:p w14:paraId="170B1BB0" w14:textId="77777777" w:rsidR="00CB540F" w:rsidRPr="004E6EF0" w:rsidRDefault="00CB540F" w:rsidP="00CB540F">
            <w:pPr>
              <w:spacing w:line="240" w:lineRule="auto"/>
              <w:rPr>
                <w:rFonts w:cs="Arial"/>
                <w:color w:val="auto"/>
                <w:lang w:eastAsia="en-AU"/>
              </w:rPr>
            </w:pPr>
            <w:r w:rsidRPr="004E6EF0">
              <w:rPr>
                <w:rFonts w:cs="Arial"/>
                <w:color w:val="auto"/>
                <w:lang w:eastAsia="en-AU"/>
              </w:rPr>
              <w:t>Cooperative Research Centres Committee</w:t>
            </w:r>
          </w:p>
        </w:tc>
      </w:tr>
      <w:tr w:rsidR="00CB540F" w:rsidRPr="004E6EF0" w14:paraId="5257E37C" w14:textId="77777777" w:rsidTr="00E2708B">
        <w:trPr>
          <w:cantSplit/>
          <w:trHeight w:val="256"/>
        </w:trPr>
        <w:tc>
          <w:tcPr>
            <w:tcW w:w="1526" w:type="dxa"/>
            <w:hideMark/>
          </w:tcPr>
          <w:p w14:paraId="3817C808" w14:textId="77777777" w:rsidR="00CB540F" w:rsidRPr="004E6EF0" w:rsidRDefault="00CB540F" w:rsidP="00CB540F">
            <w:pPr>
              <w:spacing w:line="240" w:lineRule="auto"/>
              <w:rPr>
                <w:rFonts w:cs="Arial"/>
                <w:color w:val="auto"/>
                <w:lang w:eastAsia="en-AU"/>
              </w:rPr>
            </w:pPr>
            <w:r w:rsidRPr="004E6EF0">
              <w:rPr>
                <w:rFonts w:cs="Arial"/>
                <w:color w:val="auto"/>
                <w:lang w:eastAsia="en-AU"/>
              </w:rPr>
              <w:t>06/11/2014</w:t>
            </w:r>
          </w:p>
        </w:tc>
        <w:tc>
          <w:tcPr>
            <w:tcW w:w="7654" w:type="dxa"/>
            <w:hideMark/>
          </w:tcPr>
          <w:p w14:paraId="036199DA" w14:textId="77777777" w:rsidR="00CB540F" w:rsidRPr="004E6EF0" w:rsidRDefault="00CB540F" w:rsidP="00CB540F">
            <w:pPr>
              <w:spacing w:line="240" w:lineRule="auto"/>
              <w:rPr>
                <w:rFonts w:cs="Arial"/>
                <w:color w:val="auto"/>
                <w:lang w:eastAsia="en-AU"/>
              </w:rPr>
            </w:pPr>
            <w:r w:rsidRPr="004E6EF0">
              <w:rPr>
                <w:rFonts w:cs="Arial"/>
                <w:color w:val="auto"/>
                <w:lang w:eastAsia="en-AU"/>
              </w:rPr>
              <w:t>Cooperative Research Centres Association</w:t>
            </w:r>
          </w:p>
        </w:tc>
      </w:tr>
      <w:tr w:rsidR="00CB540F" w:rsidRPr="004E6EF0" w14:paraId="46A3B229" w14:textId="77777777" w:rsidTr="00E2708B">
        <w:trPr>
          <w:cantSplit/>
          <w:trHeight w:val="70"/>
        </w:trPr>
        <w:tc>
          <w:tcPr>
            <w:tcW w:w="1526" w:type="dxa"/>
            <w:hideMark/>
          </w:tcPr>
          <w:p w14:paraId="10BEFB18" w14:textId="77777777" w:rsidR="00CB540F" w:rsidRPr="004E6EF0" w:rsidRDefault="00CB540F" w:rsidP="00CB540F">
            <w:pPr>
              <w:spacing w:line="240" w:lineRule="auto"/>
              <w:rPr>
                <w:rFonts w:cs="Arial"/>
                <w:color w:val="auto"/>
                <w:lang w:eastAsia="en-AU"/>
              </w:rPr>
            </w:pPr>
            <w:r w:rsidRPr="004E6EF0">
              <w:rPr>
                <w:rFonts w:cs="Arial"/>
                <w:color w:val="auto"/>
                <w:lang w:eastAsia="en-AU"/>
              </w:rPr>
              <w:lastRenderedPageBreak/>
              <w:t>07/11/2014</w:t>
            </w:r>
          </w:p>
        </w:tc>
        <w:tc>
          <w:tcPr>
            <w:tcW w:w="7654" w:type="dxa"/>
            <w:hideMark/>
          </w:tcPr>
          <w:p w14:paraId="09B3828B" w14:textId="77777777" w:rsidR="00CB540F" w:rsidRPr="004E6EF0" w:rsidRDefault="00CB540F" w:rsidP="00CB540F">
            <w:pPr>
              <w:spacing w:line="240" w:lineRule="auto"/>
              <w:rPr>
                <w:rFonts w:cs="Arial"/>
                <w:color w:val="auto"/>
                <w:lang w:eastAsia="en-AU"/>
              </w:rPr>
            </w:pPr>
            <w:r w:rsidRPr="004E6EF0">
              <w:rPr>
                <w:rFonts w:cs="Arial"/>
                <w:color w:val="auto"/>
                <w:lang w:eastAsia="en-AU"/>
              </w:rPr>
              <w:t>Australian Antarctic Division</w:t>
            </w:r>
          </w:p>
        </w:tc>
      </w:tr>
      <w:tr w:rsidR="00CB540F" w:rsidRPr="004E6EF0" w14:paraId="7B3F72AD" w14:textId="77777777" w:rsidTr="002C6AF0">
        <w:trPr>
          <w:cantSplit/>
          <w:trHeight w:val="60"/>
        </w:trPr>
        <w:tc>
          <w:tcPr>
            <w:tcW w:w="1526" w:type="dxa"/>
            <w:hideMark/>
          </w:tcPr>
          <w:p w14:paraId="10F6BA6B" w14:textId="77777777" w:rsidR="00CB540F" w:rsidRPr="004E6EF0" w:rsidRDefault="00CB540F" w:rsidP="00CB540F">
            <w:pPr>
              <w:spacing w:line="240" w:lineRule="auto"/>
              <w:rPr>
                <w:rFonts w:cs="Arial"/>
                <w:color w:val="auto"/>
                <w:lang w:eastAsia="en-AU"/>
              </w:rPr>
            </w:pPr>
            <w:r w:rsidRPr="004E6EF0">
              <w:rPr>
                <w:rFonts w:cs="Arial"/>
                <w:color w:val="auto"/>
                <w:lang w:eastAsia="en-AU"/>
              </w:rPr>
              <w:t>07/11/2014</w:t>
            </w:r>
          </w:p>
        </w:tc>
        <w:tc>
          <w:tcPr>
            <w:tcW w:w="7654" w:type="dxa"/>
            <w:hideMark/>
          </w:tcPr>
          <w:p w14:paraId="645A6772" w14:textId="77777777" w:rsidR="00CB540F" w:rsidRPr="004E6EF0" w:rsidRDefault="00CB540F" w:rsidP="00CB540F">
            <w:pPr>
              <w:spacing w:line="240" w:lineRule="auto"/>
              <w:rPr>
                <w:rFonts w:cs="Arial"/>
                <w:color w:val="auto"/>
                <w:lang w:eastAsia="en-AU"/>
              </w:rPr>
            </w:pPr>
            <w:r w:rsidRPr="004E6EF0">
              <w:rPr>
                <w:rFonts w:cs="Arial"/>
                <w:color w:val="auto"/>
                <w:lang w:eastAsia="en-AU"/>
              </w:rPr>
              <w:t xml:space="preserve">Committee for Economic Development of Australia </w:t>
            </w:r>
          </w:p>
        </w:tc>
      </w:tr>
      <w:tr w:rsidR="00CB540F" w:rsidRPr="004E6EF0" w14:paraId="5FADE8F8" w14:textId="77777777" w:rsidTr="002C6AF0">
        <w:trPr>
          <w:cantSplit/>
          <w:trHeight w:val="60"/>
        </w:trPr>
        <w:tc>
          <w:tcPr>
            <w:tcW w:w="1526" w:type="dxa"/>
            <w:hideMark/>
          </w:tcPr>
          <w:p w14:paraId="4C1F5720" w14:textId="77777777" w:rsidR="00CB540F" w:rsidRPr="004E6EF0" w:rsidRDefault="00CB540F" w:rsidP="00CB540F">
            <w:pPr>
              <w:spacing w:line="240" w:lineRule="auto"/>
              <w:rPr>
                <w:rFonts w:cs="Arial"/>
                <w:color w:val="auto"/>
                <w:lang w:eastAsia="en-AU"/>
              </w:rPr>
            </w:pPr>
            <w:r w:rsidRPr="004E6EF0">
              <w:rPr>
                <w:rFonts w:cs="Arial"/>
                <w:color w:val="auto"/>
                <w:lang w:eastAsia="en-AU"/>
              </w:rPr>
              <w:t>07/11/2014</w:t>
            </w:r>
          </w:p>
        </w:tc>
        <w:tc>
          <w:tcPr>
            <w:tcW w:w="7654" w:type="dxa"/>
            <w:hideMark/>
          </w:tcPr>
          <w:p w14:paraId="695E3F43" w14:textId="77777777" w:rsidR="00CB540F" w:rsidRPr="004E6EF0" w:rsidRDefault="00CB540F" w:rsidP="00CB540F">
            <w:pPr>
              <w:spacing w:line="240" w:lineRule="auto"/>
              <w:rPr>
                <w:rFonts w:cs="Arial"/>
                <w:color w:val="auto"/>
                <w:lang w:eastAsia="en-AU"/>
              </w:rPr>
            </w:pPr>
            <w:r w:rsidRPr="004E6EF0">
              <w:rPr>
                <w:rFonts w:cs="Arial"/>
                <w:color w:val="auto"/>
                <w:lang w:eastAsia="en-AU"/>
              </w:rPr>
              <w:t>CSIRO</w:t>
            </w:r>
          </w:p>
        </w:tc>
      </w:tr>
      <w:tr w:rsidR="00CB540F" w:rsidRPr="004E6EF0" w14:paraId="1A895AF3" w14:textId="77777777" w:rsidTr="00E2708B">
        <w:trPr>
          <w:cantSplit/>
          <w:trHeight w:val="114"/>
        </w:trPr>
        <w:tc>
          <w:tcPr>
            <w:tcW w:w="1526" w:type="dxa"/>
            <w:hideMark/>
          </w:tcPr>
          <w:p w14:paraId="2DCF670F" w14:textId="77777777" w:rsidR="00CB540F" w:rsidRPr="004E6EF0" w:rsidRDefault="00CB540F" w:rsidP="00CB540F">
            <w:pPr>
              <w:spacing w:line="240" w:lineRule="auto"/>
              <w:rPr>
                <w:rFonts w:cs="Arial"/>
                <w:color w:val="auto"/>
                <w:lang w:eastAsia="en-AU"/>
              </w:rPr>
            </w:pPr>
            <w:r w:rsidRPr="004E6EF0">
              <w:rPr>
                <w:rFonts w:cs="Arial"/>
                <w:color w:val="auto"/>
                <w:lang w:eastAsia="en-AU"/>
              </w:rPr>
              <w:t>10/11/2014</w:t>
            </w:r>
          </w:p>
        </w:tc>
        <w:tc>
          <w:tcPr>
            <w:tcW w:w="7654" w:type="dxa"/>
            <w:hideMark/>
          </w:tcPr>
          <w:p w14:paraId="08B172AF" w14:textId="77777777" w:rsidR="00CB540F" w:rsidRPr="004E6EF0" w:rsidRDefault="00CB540F" w:rsidP="00CB540F">
            <w:pPr>
              <w:spacing w:line="240" w:lineRule="auto"/>
              <w:rPr>
                <w:rFonts w:cs="Arial"/>
                <w:color w:val="auto"/>
                <w:lang w:eastAsia="en-AU"/>
              </w:rPr>
            </w:pPr>
            <w:r w:rsidRPr="004E6EF0">
              <w:rPr>
                <w:rFonts w:cs="Arial"/>
                <w:color w:val="auto"/>
                <w:lang w:eastAsia="en-AU"/>
              </w:rPr>
              <w:t>University of Melbourne</w:t>
            </w:r>
          </w:p>
        </w:tc>
      </w:tr>
      <w:tr w:rsidR="00CB540F" w:rsidRPr="004E6EF0" w14:paraId="2E156166" w14:textId="77777777" w:rsidTr="00E2708B">
        <w:trPr>
          <w:cantSplit/>
          <w:trHeight w:val="70"/>
        </w:trPr>
        <w:tc>
          <w:tcPr>
            <w:tcW w:w="1526" w:type="dxa"/>
            <w:hideMark/>
          </w:tcPr>
          <w:p w14:paraId="2272D8AC" w14:textId="77777777" w:rsidR="00CB540F" w:rsidRPr="004E6EF0" w:rsidRDefault="00CB540F" w:rsidP="00CB540F">
            <w:pPr>
              <w:spacing w:line="240" w:lineRule="auto"/>
              <w:rPr>
                <w:rFonts w:cs="Arial"/>
                <w:color w:val="auto"/>
                <w:lang w:eastAsia="en-AU"/>
              </w:rPr>
            </w:pPr>
            <w:r w:rsidRPr="004E6EF0">
              <w:rPr>
                <w:rFonts w:cs="Arial"/>
                <w:color w:val="auto"/>
                <w:lang w:eastAsia="en-AU"/>
              </w:rPr>
              <w:t>11/11/2014</w:t>
            </w:r>
          </w:p>
        </w:tc>
        <w:tc>
          <w:tcPr>
            <w:tcW w:w="7654" w:type="dxa"/>
            <w:hideMark/>
          </w:tcPr>
          <w:p w14:paraId="2AEF0166" w14:textId="77777777" w:rsidR="00CB540F" w:rsidRPr="004E6EF0" w:rsidRDefault="00CB540F" w:rsidP="00CB540F">
            <w:pPr>
              <w:spacing w:line="240" w:lineRule="auto"/>
              <w:rPr>
                <w:rFonts w:cs="Arial"/>
                <w:color w:val="auto"/>
                <w:lang w:eastAsia="en-AU"/>
              </w:rPr>
            </w:pPr>
            <w:r w:rsidRPr="004E6EF0">
              <w:rPr>
                <w:rFonts w:cs="Arial"/>
                <w:color w:val="auto"/>
                <w:lang w:eastAsia="en-AU"/>
              </w:rPr>
              <w:t>Australian Chamber of Commerce and Industry</w:t>
            </w:r>
          </w:p>
        </w:tc>
      </w:tr>
      <w:tr w:rsidR="00CB540F" w:rsidRPr="004E6EF0" w14:paraId="6FEF208B" w14:textId="77777777" w:rsidTr="00E2708B">
        <w:trPr>
          <w:cantSplit/>
          <w:trHeight w:val="70"/>
        </w:trPr>
        <w:tc>
          <w:tcPr>
            <w:tcW w:w="1526" w:type="dxa"/>
            <w:hideMark/>
          </w:tcPr>
          <w:p w14:paraId="05465A81" w14:textId="77777777" w:rsidR="00CB540F" w:rsidRPr="004E6EF0" w:rsidRDefault="00CB540F" w:rsidP="00CB540F">
            <w:pPr>
              <w:spacing w:line="240" w:lineRule="auto"/>
              <w:rPr>
                <w:rFonts w:cs="Arial"/>
                <w:color w:val="auto"/>
                <w:lang w:eastAsia="en-AU"/>
              </w:rPr>
            </w:pPr>
            <w:r w:rsidRPr="004E6EF0">
              <w:rPr>
                <w:rFonts w:cs="Arial"/>
                <w:color w:val="auto"/>
                <w:lang w:eastAsia="en-AU"/>
              </w:rPr>
              <w:t>11/11/2014</w:t>
            </w:r>
          </w:p>
        </w:tc>
        <w:tc>
          <w:tcPr>
            <w:tcW w:w="7654" w:type="dxa"/>
            <w:hideMark/>
          </w:tcPr>
          <w:p w14:paraId="770AAF2C" w14:textId="77777777" w:rsidR="00CB540F" w:rsidRPr="004E6EF0" w:rsidRDefault="00CB540F" w:rsidP="00CB540F">
            <w:pPr>
              <w:spacing w:line="240" w:lineRule="auto"/>
              <w:rPr>
                <w:rFonts w:cs="Arial"/>
                <w:color w:val="auto"/>
                <w:lang w:eastAsia="en-AU"/>
              </w:rPr>
            </w:pPr>
            <w:r w:rsidRPr="004E6EF0">
              <w:rPr>
                <w:rFonts w:cs="Arial"/>
                <w:color w:val="auto"/>
                <w:lang w:eastAsia="en-AU"/>
              </w:rPr>
              <w:t>Queensland Chief Scientist</w:t>
            </w:r>
          </w:p>
        </w:tc>
      </w:tr>
      <w:tr w:rsidR="00CB540F" w:rsidRPr="004E6EF0" w14:paraId="521B6081" w14:textId="77777777" w:rsidTr="00E2708B">
        <w:trPr>
          <w:cantSplit/>
          <w:trHeight w:val="70"/>
        </w:trPr>
        <w:tc>
          <w:tcPr>
            <w:tcW w:w="1526" w:type="dxa"/>
            <w:hideMark/>
          </w:tcPr>
          <w:p w14:paraId="43C0748C" w14:textId="77777777" w:rsidR="00CB540F" w:rsidRPr="004E6EF0" w:rsidRDefault="00CB540F" w:rsidP="00CB540F">
            <w:pPr>
              <w:spacing w:line="240" w:lineRule="auto"/>
              <w:rPr>
                <w:rFonts w:cs="Arial"/>
                <w:color w:val="auto"/>
                <w:lang w:eastAsia="en-AU"/>
              </w:rPr>
            </w:pPr>
            <w:r w:rsidRPr="004E6EF0">
              <w:rPr>
                <w:rFonts w:cs="Arial"/>
                <w:color w:val="auto"/>
                <w:lang w:eastAsia="en-AU"/>
              </w:rPr>
              <w:t>11/11/2014</w:t>
            </w:r>
          </w:p>
        </w:tc>
        <w:tc>
          <w:tcPr>
            <w:tcW w:w="7654" w:type="dxa"/>
            <w:hideMark/>
          </w:tcPr>
          <w:p w14:paraId="49440908" w14:textId="77777777" w:rsidR="00CB540F" w:rsidRPr="004E6EF0" w:rsidRDefault="00CB540F" w:rsidP="00CB540F">
            <w:pPr>
              <w:spacing w:line="240" w:lineRule="auto"/>
              <w:rPr>
                <w:rFonts w:cs="Arial"/>
                <w:color w:val="auto"/>
                <w:lang w:eastAsia="en-AU"/>
              </w:rPr>
            </w:pPr>
            <w:r w:rsidRPr="004E6EF0">
              <w:rPr>
                <w:rFonts w:cs="Arial"/>
                <w:color w:val="auto"/>
                <w:lang w:eastAsia="en-AU"/>
              </w:rPr>
              <w:t>Regional University Network</w:t>
            </w:r>
          </w:p>
        </w:tc>
      </w:tr>
      <w:tr w:rsidR="00CB540F" w:rsidRPr="004E6EF0" w14:paraId="26B9C447" w14:textId="77777777" w:rsidTr="00E2708B">
        <w:trPr>
          <w:cantSplit/>
          <w:trHeight w:val="70"/>
        </w:trPr>
        <w:tc>
          <w:tcPr>
            <w:tcW w:w="1526" w:type="dxa"/>
            <w:hideMark/>
          </w:tcPr>
          <w:p w14:paraId="7F522494" w14:textId="77777777" w:rsidR="00CB540F" w:rsidRPr="004E6EF0" w:rsidRDefault="00CB540F" w:rsidP="00CB540F">
            <w:pPr>
              <w:spacing w:line="240" w:lineRule="auto"/>
              <w:rPr>
                <w:rFonts w:cs="Arial"/>
                <w:color w:val="auto"/>
                <w:lang w:eastAsia="en-AU"/>
              </w:rPr>
            </w:pPr>
            <w:r w:rsidRPr="004E6EF0">
              <w:rPr>
                <w:rFonts w:cs="Arial"/>
                <w:color w:val="auto"/>
                <w:lang w:eastAsia="en-AU"/>
              </w:rPr>
              <w:t>12/11/2014</w:t>
            </w:r>
          </w:p>
        </w:tc>
        <w:tc>
          <w:tcPr>
            <w:tcW w:w="7654" w:type="dxa"/>
            <w:hideMark/>
          </w:tcPr>
          <w:p w14:paraId="0D523B4D" w14:textId="77777777" w:rsidR="00CB540F" w:rsidRPr="004E6EF0" w:rsidRDefault="00CB540F" w:rsidP="00CB540F">
            <w:pPr>
              <w:spacing w:line="240" w:lineRule="auto"/>
              <w:rPr>
                <w:rFonts w:cs="Arial"/>
                <w:color w:val="auto"/>
                <w:lang w:eastAsia="en-AU"/>
              </w:rPr>
            </w:pPr>
            <w:r w:rsidRPr="004E6EF0">
              <w:rPr>
                <w:rFonts w:cs="Arial"/>
                <w:color w:val="auto"/>
                <w:lang w:eastAsia="en-AU"/>
              </w:rPr>
              <w:t>Attorney General's department</w:t>
            </w:r>
            <w:r w:rsidR="002C6AF0" w:rsidRPr="004E6EF0">
              <w:rPr>
                <w:rFonts w:cs="Arial"/>
                <w:color w:val="auto"/>
                <w:lang w:eastAsia="en-AU"/>
              </w:rPr>
              <w:t xml:space="preserve"> (Australian Government)</w:t>
            </w:r>
          </w:p>
        </w:tc>
      </w:tr>
      <w:tr w:rsidR="00CB540F" w:rsidRPr="004E6EF0" w14:paraId="461C1253" w14:textId="77777777" w:rsidTr="00E2708B">
        <w:trPr>
          <w:cantSplit/>
          <w:trHeight w:val="70"/>
        </w:trPr>
        <w:tc>
          <w:tcPr>
            <w:tcW w:w="1526" w:type="dxa"/>
            <w:hideMark/>
          </w:tcPr>
          <w:p w14:paraId="3FABA053" w14:textId="77777777" w:rsidR="00CB540F" w:rsidRPr="004E6EF0" w:rsidRDefault="00CB540F" w:rsidP="00CB540F">
            <w:pPr>
              <w:spacing w:line="240" w:lineRule="auto"/>
              <w:rPr>
                <w:rFonts w:cs="Arial"/>
                <w:color w:val="auto"/>
                <w:lang w:eastAsia="en-AU"/>
              </w:rPr>
            </w:pPr>
            <w:r w:rsidRPr="004E6EF0">
              <w:rPr>
                <w:rFonts w:cs="Arial"/>
                <w:color w:val="auto"/>
                <w:lang w:eastAsia="en-AU"/>
              </w:rPr>
              <w:t>12/11/2014</w:t>
            </w:r>
          </w:p>
        </w:tc>
        <w:tc>
          <w:tcPr>
            <w:tcW w:w="7654" w:type="dxa"/>
            <w:hideMark/>
          </w:tcPr>
          <w:p w14:paraId="36326366" w14:textId="77777777" w:rsidR="00CB540F" w:rsidRPr="004E6EF0" w:rsidRDefault="00CB540F" w:rsidP="00CB540F">
            <w:pPr>
              <w:spacing w:line="240" w:lineRule="auto"/>
              <w:rPr>
                <w:rFonts w:cs="Arial"/>
                <w:color w:val="auto"/>
                <w:lang w:eastAsia="en-AU"/>
              </w:rPr>
            </w:pPr>
            <w:r w:rsidRPr="004E6EF0">
              <w:rPr>
                <w:rFonts w:cs="Arial"/>
                <w:color w:val="auto"/>
                <w:lang w:eastAsia="en-AU"/>
              </w:rPr>
              <w:t>Council of Small Business of Australia</w:t>
            </w:r>
          </w:p>
        </w:tc>
      </w:tr>
      <w:tr w:rsidR="00CB540F" w:rsidRPr="004E6EF0" w14:paraId="6F980097" w14:textId="77777777" w:rsidTr="00E2708B">
        <w:trPr>
          <w:cantSplit/>
          <w:trHeight w:val="289"/>
        </w:trPr>
        <w:tc>
          <w:tcPr>
            <w:tcW w:w="1526" w:type="dxa"/>
            <w:hideMark/>
          </w:tcPr>
          <w:p w14:paraId="3DF7E4ED" w14:textId="77777777" w:rsidR="00CB540F" w:rsidRPr="004E6EF0" w:rsidRDefault="00CB540F" w:rsidP="00CB540F">
            <w:pPr>
              <w:spacing w:line="240" w:lineRule="auto"/>
              <w:rPr>
                <w:rFonts w:cs="Arial"/>
                <w:color w:val="auto"/>
                <w:lang w:eastAsia="en-AU"/>
              </w:rPr>
            </w:pPr>
            <w:r w:rsidRPr="004E6EF0">
              <w:rPr>
                <w:rFonts w:cs="Arial"/>
                <w:color w:val="auto"/>
                <w:lang w:eastAsia="en-AU"/>
              </w:rPr>
              <w:t>12/11/2014</w:t>
            </w:r>
          </w:p>
        </w:tc>
        <w:tc>
          <w:tcPr>
            <w:tcW w:w="7654" w:type="dxa"/>
            <w:hideMark/>
          </w:tcPr>
          <w:p w14:paraId="6A162BB7" w14:textId="77777777" w:rsidR="00CB540F" w:rsidRPr="004E6EF0" w:rsidRDefault="00CB540F" w:rsidP="00CB540F">
            <w:pPr>
              <w:spacing w:line="240" w:lineRule="auto"/>
              <w:rPr>
                <w:rFonts w:cs="Arial"/>
                <w:color w:val="auto"/>
                <w:lang w:eastAsia="en-AU"/>
              </w:rPr>
            </w:pPr>
            <w:r w:rsidRPr="004E6EF0">
              <w:rPr>
                <w:rFonts w:cs="Arial"/>
                <w:color w:val="auto"/>
                <w:lang w:eastAsia="en-AU"/>
              </w:rPr>
              <w:t>Group of Eight</w:t>
            </w:r>
          </w:p>
        </w:tc>
      </w:tr>
      <w:tr w:rsidR="00CB540F" w:rsidRPr="004E6EF0" w14:paraId="3A64D002" w14:textId="77777777" w:rsidTr="00E2708B">
        <w:trPr>
          <w:cantSplit/>
          <w:trHeight w:val="70"/>
        </w:trPr>
        <w:tc>
          <w:tcPr>
            <w:tcW w:w="1526" w:type="dxa"/>
            <w:hideMark/>
          </w:tcPr>
          <w:p w14:paraId="355B9D63" w14:textId="77777777" w:rsidR="00CB540F" w:rsidRPr="004E6EF0" w:rsidRDefault="00CB540F" w:rsidP="00CB540F">
            <w:pPr>
              <w:spacing w:line="240" w:lineRule="auto"/>
              <w:rPr>
                <w:rFonts w:cs="Arial"/>
                <w:color w:val="auto"/>
                <w:lang w:eastAsia="en-AU"/>
              </w:rPr>
            </w:pPr>
            <w:r w:rsidRPr="004E6EF0">
              <w:rPr>
                <w:rFonts w:cs="Arial"/>
                <w:color w:val="auto"/>
                <w:lang w:eastAsia="en-AU"/>
              </w:rPr>
              <w:t>13/11/2014</w:t>
            </w:r>
          </w:p>
        </w:tc>
        <w:tc>
          <w:tcPr>
            <w:tcW w:w="7654" w:type="dxa"/>
            <w:hideMark/>
          </w:tcPr>
          <w:p w14:paraId="16B1B476" w14:textId="77777777" w:rsidR="00CB540F" w:rsidRPr="004E6EF0" w:rsidRDefault="00CB540F" w:rsidP="00CB540F">
            <w:pPr>
              <w:spacing w:line="240" w:lineRule="auto"/>
              <w:rPr>
                <w:rFonts w:cs="Arial"/>
                <w:color w:val="auto"/>
                <w:lang w:eastAsia="en-AU"/>
              </w:rPr>
            </w:pPr>
            <w:r w:rsidRPr="004E6EF0">
              <w:rPr>
                <w:rFonts w:cs="Arial"/>
                <w:color w:val="auto"/>
                <w:lang w:eastAsia="en-AU"/>
              </w:rPr>
              <w:t>Australian Manufacturing Technology Institute Limited</w:t>
            </w:r>
          </w:p>
        </w:tc>
      </w:tr>
      <w:tr w:rsidR="00CB540F" w:rsidRPr="004E6EF0" w14:paraId="79164579" w14:textId="77777777" w:rsidTr="00E2708B">
        <w:trPr>
          <w:cantSplit/>
          <w:trHeight w:val="70"/>
        </w:trPr>
        <w:tc>
          <w:tcPr>
            <w:tcW w:w="1526" w:type="dxa"/>
            <w:hideMark/>
          </w:tcPr>
          <w:p w14:paraId="488CBEF5" w14:textId="77777777" w:rsidR="00CB540F" w:rsidRPr="004E6EF0" w:rsidRDefault="00CB540F" w:rsidP="00CB540F">
            <w:pPr>
              <w:spacing w:line="240" w:lineRule="auto"/>
              <w:rPr>
                <w:rFonts w:cs="Arial"/>
                <w:color w:val="auto"/>
                <w:lang w:eastAsia="en-AU"/>
              </w:rPr>
            </w:pPr>
            <w:r w:rsidRPr="004E6EF0">
              <w:rPr>
                <w:rFonts w:cs="Arial"/>
                <w:color w:val="auto"/>
                <w:lang w:eastAsia="en-AU"/>
              </w:rPr>
              <w:t>13/11/2014</w:t>
            </w:r>
          </w:p>
        </w:tc>
        <w:tc>
          <w:tcPr>
            <w:tcW w:w="7654" w:type="dxa"/>
            <w:hideMark/>
          </w:tcPr>
          <w:p w14:paraId="5A869BDD" w14:textId="77777777" w:rsidR="00CB540F" w:rsidRPr="004E6EF0" w:rsidRDefault="00CB540F" w:rsidP="00CB540F">
            <w:pPr>
              <w:spacing w:line="240" w:lineRule="auto"/>
              <w:rPr>
                <w:rFonts w:cs="Arial"/>
                <w:color w:val="auto"/>
                <w:lang w:eastAsia="en-AU"/>
              </w:rPr>
            </w:pPr>
            <w:r w:rsidRPr="004E6EF0">
              <w:rPr>
                <w:rFonts w:cs="Arial"/>
                <w:color w:val="auto"/>
                <w:lang w:eastAsia="en-AU"/>
              </w:rPr>
              <w:t>BHP</w:t>
            </w:r>
          </w:p>
        </w:tc>
      </w:tr>
      <w:tr w:rsidR="00CB540F" w:rsidRPr="004E6EF0" w14:paraId="71FEBAC3" w14:textId="77777777" w:rsidTr="00E2708B">
        <w:trPr>
          <w:cantSplit/>
          <w:trHeight w:val="70"/>
        </w:trPr>
        <w:tc>
          <w:tcPr>
            <w:tcW w:w="1526" w:type="dxa"/>
            <w:hideMark/>
          </w:tcPr>
          <w:p w14:paraId="66742B24" w14:textId="77777777" w:rsidR="00CB540F" w:rsidRPr="004E6EF0" w:rsidRDefault="00CB540F" w:rsidP="00CB540F">
            <w:pPr>
              <w:spacing w:line="240" w:lineRule="auto"/>
              <w:rPr>
                <w:rFonts w:cs="Arial"/>
                <w:color w:val="auto"/>
                <w:lang w:eastAsia="en-AU"/>
              </w:rPr>
            </w:pPr>
            <w:r w:rsidRPr="004E6EF0">
              <w:rPr>
                <w:rFonts w:cs="Arial"/>
                <w:color w:val="auto"/>
                <w:lang w:eastAsia="en-AU"/>
              </w:rPr>
              <w:t>13/11/2014</w:t>
            </w:r>
          </w:p>
        </w:tc>
        <w:tc>
          <w:tcPr>
            <w:tcW w:w="7654" w:type="dxa"/>
            <w:hideMark/>
          </w:tcPr>
          <w:p w14:paraId="11A7EB68" w14:textId="77777777" w:rsidR="00CB540F" w:rsidRPr="004E6EF0" w:rsidRDefault="00CB540F" w:rsidP="00CB540F">
            <w:pPr>
              <w:spacing w:line="240" w:lineRule="auto"/>
              <w:rPr>
                <w:rFonts w:cs="Arial"/>
                <w:color w:val="auto"/>
                <w:lang w:eastAsia="en-AU"/>
              </w:rPr>
            </w:pPr>
            <w:r w:rsidRPr="004E6EF0">
              <w:rPr>
                <w:rFonts w:cs="Arial"/>
                <w:color w:val="auto"/>
                <w:lang w:eastAsia="en-AU"/>
              </w:rPr>
              <w:t>Australian Industry Group</w:t>
            </w:r>
          </w:p>
        </w:tc>
      </w:tr>
      <w:tr w:rsidR="00CB540F" w:rsidRPr="004E6EF0" w14:paraId="78A456D7" w14:textId="77777777" w:rsidTr="00E2708B">
        <w:trPr>
          <w:cantSplit/>
          <w:trHeight w:val="70"/>
        </w:trPr>
        <w:tc>
          <w:tcPr>
            <w:tcW w:w="1526" w:type="dxa"/>
            <w:hideMark/>
          </w:tcPr>
          <w:p w14:paraId="544FBDB4" w14:textId="77777777" w:rsidR="00CB540F" w:rsidRPr="004E6EF0" w:rsidRDefault="00CB540F" w:rsidP="00CB540F">
            <w:pPr>
              <w:spacing w:line="240" w:lineRule="auto"/>
              <w:rPr>
                <w:rFonts w:cs="Arial"/>
                <w:color w:val="auto"/>
                <w:lang w:eastAsia="en-AU"/>
              </w:rPr>
            </w:pPr>
            <w:r w:rsidRPr="004E6EF0">
              <w:rPr>
                <w:rFonts w:cs="Arial"/>
                <w:color w:val="auto"/>
                <w:lang w:eastAsia="en-AU"/>
              </w:rPr>
              <w:t>09/12/2014</w:t>
            </w:r>
          </w:p>
        </w:tc>
        <w:tc>
          <w:tcPr>
            <w:tcW w:w="7654" w:type="dxa"/>
            <w:hideMark/>
          </w:tcPr>
          <w:p w14:paraId="122D8DC4" w14:textId="77777777" w:rsidR="00CB540F" w:rsidRPr="004E6EF0" w:rsidRDefault="00CB540F" w:rsidP="00CB540F">
            <w:pPr>
              <w:spacing w:line="240" w:lineRule="auto"/>
              <w:rPr>
                <w:rFonts w:cs="Arial"/>
                <w:color w:val="auto"/>
                <w:lang w:eastAsia="en-AU"/>
              </w:rPr>
            </w:pPr>
            <w:r w:rsidRPr="004E6EF0">
              <w:rPr>
                <w:rFonts w:cs="Arial"/>
                <w:color w:val="auto"/>
                <w:lang w:eastAsia="en-AU"/>
              </w:rPr>
              <w:t>Federal Ministry of Education and Research (Germany)</w:t>
            </w:r>
          </w:p>
        </w:tc>
      </w:tr>
      <w:tr w:rsidR="00CB540F" w:rsidRPr="004E6EF0" w14:paraId="005A3416" w14:textId="77777777" w:rsidTr="00E2708B">
        <w:trPr>
          <w:cantSplit/>
          <w:trHeight w:val="70"/>
        </w:trPr>
        <w:tc>
          <w:tcPr>
            <w:tcW w:w="1526" w:type="dxa"/>
          </w:tcPr>
          <w:p w14:paraId="53A4709D" w14:textId="77777777" w:rsidR="00CB540F" w:rsidRPr="004E6EF0" w:rsidRDefault="00CB540F" w:rsidP="00CB540F">
            <w:pPr>
              <w:spacing w:line="240" w:lineRule="auto"/>
              <w:rPr>
                <w:rFonts w:cs="Arial"/>
                <w:color w:val="auto"/>
                <w:lang w:eastAsia="en-AU"/>
              </w:rPr>
            </w:pPr>
            <w:r w:rsidRPr="004E6EF0">
              <w:rPr>
                <w:rFonts w:cs="Arial"/>
                <w:color w:val="auto"/>
                <w:lang w:eastAsia="en-AU"/>
              </w:rPr>
              <w:t>15/12/2014</w:t>
            </w:r>
          </w:p>
        </w:tc>
        <w:tc>
          <w:tcPr>
            <w:tcW w:w="7654" w:type="dxa"/>
          </w:tcPr>
          <w:p w14:paraId="66811046" w14:textId="77777777" w:rsidR="00CB540F" w:rsidRPr="004E6EF0" w:rsidRDefault="00CB540F" w:rsidP="00CB540F">
            <w:pPr>
              <w:spacing w:line="240" w:lineRule="auto"/>
              <w:rPr>
                <w:rFonts w:cs="Arial"/>
                <w:color w:val="auto"/>
                <w:lang w:eastAsia="en-AU"/>
              </w:rPr>
            </w:pPr>
            <w:r w:rsidRPr="004E6EF0">
              <w:rPr>
                <w:rFonts w:cs="Arial"/>
                <w:color w:val="auto"/>
                <w:lang w:eastAsia="en-AU"/>
              </w:rPr>
              <w:t>Aurizon*</w:t>
            </w:r>
          </w:p>
        </w:tc>
      </w:tr>
      <w:tr w:rsidR="00CB540F" w:rsidRPr="004E6EF0" w14:paraId="14768903" w14:textId="77777777" w:rsidTr="00E2708B">
        <w:trPr>
          <w:cantSplit/>
          <w:trHeight w:val="70"/>
        </w:trPr>
        <w:tc>
          <w:tcPr>
            <w:tcW w:w="1526" w:type="dxa"/>
          </w:tcPr>
          <w:p w14:paraId="1F8CDDA0" w14:textId="77777777" w:rsidR="00CB540F" w:rsidRPr="004E6EF0" w:rsidRDefault="00CB540F" w:rsidP="00CB540F">
            <w:pPr>
              <w:spacing w:line="240" w:lineRule="auto"/>
              <w:rPr>
                <w:rFonts w:cs="Arial"/>
                <w:color w:val="auto"/>
                <w:lang w:eastAsia="en-AU"/>
              </w:rPr>
            </w:pPr>
            <w:r w:rsidRPr="004E6EF0">
              <w:rPr>
                <w:rFonts w:cs="Arial"/>
                <w:color w:val="auto"/>
                <w:lang w:eastAsia="en-AU"/>
              </w:rPr>
              <w:t>04/02/2015</w:t>
            </w:r>
          </w:p>
        </w:tc>
        <w:tc>
          <w:tcPr>
            <w:tcW w:w="7654" w:type="dxa"/>
          </w:tcPr>
          <w:p w14:paraId="7A1F0E5A" w14:textId="77777777" w:rsidR="00CB540F" w:rsidRPr="004E6EF0" w:rsidRDefault="00CB540F" w:rsidP="00CB540F">
            <w:pPr>
              <w:spacing w:line="240" w:lineRule="auto"/>
              <w:rPr>
                <w:rFonts w:cs="Arial"/>
                <w:color w:val="auto"/>
                <w:lang w:eastAsia="en-AU"/>
              </w:rPr>
            </w:pPr>
            <w:proofErr w:type="spellStart"/>
            <w:r w:rsidRPr="004E6EF0">
              <w:rPr>
                <w:rFonts w:cs="Arial"/>
                <w:color w:val="auto"/>
                <w:lang w:eastAsia="en-AU"/>
              </w:rPr>
              <w:t>Sirca</w:t>
            </w:r>
            <w:proofErr w:type="spellEnd"/>
            <w:r w:rsidRPr="004E6EF0">
              <w:rPr>
                <w:rFonts w:cs="Arial"/>
                <w:color w:val="auto"/>
                <w:lang w:eastAsia="en-AU"/>
              </w:rPr>
              <w:t>*</w:t>
            </w:r>
          </w:p>
        </w:tc>
      </w:tr>
      <w:tr w:rsidR="00CB540F" w:rsidRPr="004E6EF0" w14:paraId="75C0D937" w14:textId="77777777" w:rsidTr="00E2708B">
        <w:trPr>
          <w:cantSplit/>
          <w:trHeight w:val="70"/>
        </w:trPr>
        <w:tc>
          <w:tcPr>
            <w:tcW w:w="1526" w:type="dxa"/>
          </w:tcPr>
          <w:p w14:paraId="2272E460" w14:textId="77777777" w:rsidR="00CB540F" w:rsidRPr="004E6EF0" w:rsidRDefault="00CB540F" w:rsidP="00CB540F">
            <w:pPr>
              <w:spacing w:line="240" w:lineRule="auto"/>
              <w:rPr>
                <w:rFonts w:cs="Arial"/>
                <w:color w:val="auto"/>
                <w:lang w:eastAsia="en-AU"/>
              </w:rPr>
            </w:pPr>
            <w:r w:rsidRPr="004E6EF0">
              <w:rPr>
                <w:rFonts w:cs="Arial"/>
                <w:color w:val="auto"/>
                <w:lang w:eastAsia="en-AU"/>
              </w:rPr>
              <w:t>05/02/2015</w:t>
            </w:r>
          </w:p>
        </w:tc>
        <w:tc>
          <w:tcPr>
            <w:tcW w:w="7654" w:type="dxa"/>
          </w:tcPr>
          <w:p w14:paraId="2CAFF7C4" w14:textId="77777777" w:rsidR="00CB540F" w:rsidRPr="004E6EF0" w:rsidRDefault="00CB540F" w:rsidP="00CB540F">
            <w:pPr>
              <w:spacing w:line="240" w:lineRule="auto"/>
              <w:rPr>
                <w:rFonts w:cs="Arial"/>
                <w:color w:val="auto"/>
                <w:lang w:eastAsia="en-AU"/>
              </w:rPr>
            </w:pPr>
            <w:r w:rsidRPr="004E6EF0">
              <w:rPr>
                <w:rFonts w:cs="Arial"/>
                <w:color w:val="auto"/>
                <w:lang w:eastAsia="en-AU"/>
              </w:rPr>
              <w:t>Department of Agriculture*</w:t>
            </w:r>
            <w:r w:rsidR="002C6AF0" w:rsidRPr="004E6EF0">
              <w:rPr>
                <w:rFonts w:cs="Arial"/>
                <w:color w:val="auto"/>
                <w:lang w:eastAsia="en-AU"/>
              </w:rPr>
              <w:t xml:space="preserve"> (Australian Government)</w:t>
            </w:r>
          </w:p>
        </w:tc>
      </w:tr>
      <w:tr w:rsidR="00CB540F" w:rsidRPr="004E6EF0" w14:paraId="6DF36F39" w14:textId="77777777" w:rsidTr="00E2708B">
        <w:trPr>
          <w:cantSplit/>
          <w:trHeight w:val="70"/>
        </w:trPr>
        <w:tc>
          <w:tcPr>
            <w:tcW w:w="1526" w:type="dxa"/>
          </w:tcPr>
          <w:p w14:paraId="025A09F8" w14:textId="77777777" w:rsidR="00CB540F" w:rsidRPr="004E6EF0" w:rsidRDefault="00CB540F" w:rsidP="00CB540F">
            <w:pPr>
              <w:spacing w:line="240" w:lineRule="auto"/>
              <w:rPr>
                <w:rFonts w:cs="Arial"/>
                <w:color w:val="auto"/>
                <w:lang w:eastAsia="en-AU"/>
              </w:rPr>
            </w:pPr>
            <w:r w:rsidRPr="004E6EF0">
              <w:rPr>
                <w:rFonts w:cs="Arial"/>
                <w:color w:val="auto"/>
                <w:lang w:eastAsia="en-AU"/>
              </w:rPr>
              <w:t>10/02/2015</w:t>
            </w:r>
          </w:p>
        </w:tc>
        <w:tc>
          <w:tcPr>
            <w:tcW w:w="7654" w:type="dxa"/>
          </w:tcPr>
          <w:p w14:paraId="533D33A7" w14:textId="77777777" w:rsidR="00CB540F" w:rsidRPr="004E6EF0" w:rsidRDefault="00CB540F" w:rsidP="00CB540F">
            <w:pPr>
              <w:spacing w:line="240" w:lineRule="auto"/>
              <w:rPr>
                <w:rFonts w:cs="Arial"/>
                <w:color w:val="auto"/>
                <w:lang w:eastAsia="en-AU"/>
              </w:rPr>
            </w:pPr>
            <w:r w:rsidRPr="004E6EF0">
              <w:rPr>
                <w:rFonts w:cs="Arial"/>
                <w:color w:val="auto"/>
                <w:lang w:eastAsia="en-AU"/>
              </w:rPr>
              <w:t>Department of Primary Industries (NSW)*</w:t>
            </w:r>
          </w:p>
        </w:tc>
      </w:tr>
      <w:tr w:rsidR="00CB540F" w:rsidRPr="004E6EF0" w14:paraId="1F171276" w14:textId="77777777" w:rsidTr="00E2708B">
        <w:trPr>
          <w:cantSplit/>
          <w:trHeight w:val="70"/>
        </w:trPr>
        <w:tc>
          <w:tcPr>
            <w:tcW w:w="1526" w:type="dxa"/>
          </w:tcPr>
          <w:p w14:paraId="2EFEE195" w14:textId="77777777" w:rsidR="00CB540F" w:rsidRPr="004E6EF0" w:rsidRDefault="00CB540F" w:rsidP="00CB540F">
            <w:pPr>
              <w:spacing w:line="240" w:lineRule="auto"/>
              <w:rPr>
                <w:rFonts w:cs="Arial"/>
                <w:color w:val="auto"/>
                <w:lang w:eastAsia="en-AU"/>
              </w:rPr>
            </w:pPr>
            <w:r w:rsidRPr="004E6EF0">
              <w:rPr>
                <w:rFonts w:cs="Arial"/>
                <w:color w:val="auto"/>
                <w:lang w:eastAsia="en-AU"/>
              </w:rPr>
              <w:t>25/02/2015</w:t>
            </w:r>
          </w:p>
        </w:tc>
        <w:tc>
          <w:tcPr>
            <w:tcW w:w="7654" w:type="dxa"/>
          </w:tcPr>
          <w:p w14:paraId="0320DEFC" w14:textId="77777777" w:rsidR="00CB540F" w:rsidRPr="004E6EF0" w:rsidRDefault="00CB540F" w:rsidP="00CB540F">
            <w:pPr>
              <w:spacing w:line="240" w:lineRule="auto"/>
              <w:rPr>
                <w:rFonts w:cs="Arial"/>
                <w:color w:val="auto"/>
                <w:lang w:eastAsia="en-AU"/>
              </w:rPr>
            </w:pPr>
            <w:r w:rsidRPr="004E6EF0">
              <w:rPr>
                <w:rFonts w:cs="Arial"/>
                <w:color w:val="auto"/>
                <w:lang w:eastAsia="en-AU"/>
              </w:rPr>
              <w:t>CRC Committee chair</w:t>
            </w:r>
          </w:p>
        </w:tc>
      </w:tr>
      <w:tr w:rsidR="00CB540F" w:rsidRPr="004E6EF0" w14:paraId="66A9C86C" w14:textId="77777777" w:rsidTr="00E2708B">
        <w:trPr>
          <w:cantSplit/>
          <w:trHeight w:val="70"/>
        </w:trPr>
        <w:tc>
          <w:tcPr>
            <w:tcW w:w="1526" w:type="dxa"/>
          </w:tcPr>
          <w:p w14:paraId="532BF317" w14:textId="77777777" w:rsidR="00CB540F" w:rsidRPr="004E6EF0" w:rsidRDefault="00CB540F" w:rsidP="00CB540F">
            <w:pPr>
              <w:spacing w:line="240" w:lineRule="auto"/>
              <w:rPr>
                <w:rFonts w:cs="Arial"/>
                <w:color w:val="auto"/>
                <w:lang w:eastAsia="en-AU"/>
              </w:rPr>
            </w:pPr>
            <w:r w:rsidRPr="004E6EF0">
              <w:rPr>
                <w:rFonts w:cs="Arial"/>
                <w:color w:val="auto"/>
                <w:lang w:eastAsia="en-AU"/>
              </w:rPr>
              <w:t>02/03/2015</w:t>
            </w:r>
          </w:p>
        </w:tc>
        <w:tc>
          <w:tcPr>
            <w:tcW w:w="7654" w:type="dxa"/>
          </w:tcPr>
          <w:p w14:paraId="58198901" w14:textId="77777777" w:rsidR="00CB540F" w:rsidRPr="004E6EF0" w:rsidRDefault="00CB540F" w:rsidP="00CB540F">
            <w:pPr>
              <w:spacing w:line="240" w:lineRule="auto"/>
              <w:rPr>
                <w:rFonts w:cs="Arial"/>
                <w:color w:val="auto"/>
                <w:lang w:eastAsia="en-AU"/>
              </w:rPr>
            </w:pPr>
            <w:r w:rsidRPr="004E6EF0">
              <w:rPr>
                <w:rFonts w:cs="Arial"/>
                <w:color w:val="auto"/>
                <w:lang w:eastAsia="en-AU"/>
              </w:rPr>
              <w:t>ALS Global*</w:t>
            </w:r>
          </w:p>
        </w:tc>
      </w:tr>
    </w:tbl>
    <w:p w14:paraId="1A7AC801" w14:textId="77777777" w:rsidR="00CB540F" w:rsidRPr="00CB540F" w:rsidRDefault="00CB540F" w:rsidP="008664A6">
      <w:pPr>
        <w:pStyle w:val="captions"/>
        <w:spacing w:before="120"/>
      </w:pPr>
      <w:r w:rsidRPr="00CB540F">
        <w:t xml:space="preserve"> *meeting conducted by review secretariat on behalf of review leader</w:t>
      </w:r>
    </w:p>
    <w:p w14:paraId="73578FFF" w14:textId="77777777" w:rsidR="004E6EF0" w:rsidRDefault="004E6EF0">
      <w:pPr>
        <w:spacing w:line="240" w:lineRule="auto"/>
        <w:rPr>
          <w:rFonts w:ascii="Times New Roman" w:eastAsiaTheme="minorHAnsi" w:hAnsi="Times New Roman"/>
          <w:b/>
          <w:bCs/>
          <w:color w:val="000000" w:themeColor="text1"/>
          <w:sz w:val="28"/>
          <w:szCs w:val="28"/>
        </w:rPr>
      </w:pPr>
      <w:bookmarkStart w:id="56" w:name="_Toc413948628"/>
      <w:bookmarkStart w:id="57" w:name="_Toc415042869"/>
      <w:bookmarkStart w:id="58" w:name="_Toc413232557"/>
      <w:r>
        <w:br w:type="page"/>
      </w:r>
    </w:p>
    <w:p w14:paraId="013C2E57" w14:textId="77777777" w:rsidR="00CB540F" w:rsidRPr="007D5029" w:rsidRDefault="00CB540F" w:rsidP="007D5029">
      <w:pPr>
        <w:pStyle w:val="Heading4"/>
        <w:ind w:left="0" w:firstLine="0"/>
      </w:pPr>
      <w:r w:rsidRPr="007D5029">
        <w:lastRenderedPageBreak/>
        <w:t>1.5 List of submissions</w:t>
      </w:r>
      <w:bookmarkEnd w:id="56"/>
      <w:bookmarkEnd w:id="57"/>
    </w:p>
    <w:tbl>
      <w:tblPr>
        <w:tblStyle w:val="TableGrid2"/>
        <w:tblW w:w="9180" w:type="dxa"/>
        <w:tblLook w:val="04A0" w:firstRow="1" w:lastRow="0" w:firstColumn="1" w:lastColumn="0" w:noHBand="0" w:noVBand="1"/>
        <w:tblCaption w:val="List of submissions"/>
      </w:tblPr>
      <w:tblGrid>
        <w:gridCol w:w="1577"/>
        <w:gridCol w:w="7603"/>
      </w:tblGrid>
      <w:tr w:rsidR="00CB540F" w:rsidRPr="004E6EF0" w14:paraId="21684666" w14:textId="77777777" w:rsidTr="00A2598E">
        <w:trPr>
          <w:trHeight w:val="315"/>
          <w:tblHeader/>
        </w:trPr>
        <w:tc>
          <w:tcPr>
            <w:tcW w:w="1577" w:type="dxa"/>
            <w:hideMark/>
          </w:tcPr>
          <w:bookmarkEnd w:id="58"/>
          <w:p w14:paraId="7CCA6717" w14:textId="77777777" w:rsidR="00CB540F" w:rsidRPr="004E6EF0" w:rsidRDefault="00CB540F" w:rsidP="007D5029">
            <w:pPr>
              <w:spacing w:line="240" w:lineRule="auto"/>
              <w:rPr>
                <w:rFonts w:cs="Arial"/>
                <w:b/>
                <w:bCs/>
                <w:color w:val="auto"/>
                <w:lang w:eastAsia="en-AU"/>
              </w:rPr>
            </w:pPr>
            <w:r w:rsidRPr="004E6EF0">
              <w:rPr>
                <w:rFonts w:cs="Arial"/>
                <w:b/>
                <w:bCs/>
                <w:color w:val="auto"/>
                <w:lang w:eastAsia="en-AU"/>
              </w:rPr>
              <w:t>Submission Number</w:t>
            </w:r>
          </w:p>
        </w:tc>
        <w:tc>
          <w:tcPr>
            <w:tcW w:w="7603" w:type="dxa"/>
            <w:hideMark/>
          </w:tcPr>
          <w:p w14:paraId="7BE1D2FE" w14:textId="77777777" w:rsidR="00CB540F" w:rsidRPr="004E6EF0" w:rsidRDefault="00CB540F" w:rsidP="007D5029">
            <w:pPr>
              <w:spacing w:line="240" w:lineRule="auto"/>
              <w:rPr>
                <w:rFonts w:cs="Arial"/>
                <w:b/>
                <w:bCs/>
                <w:color w:val="auto"/>
                <w:lang w:eastAsia="en-AU"/>
              </w:rPr>
            </w:pPr>
            <w:r w:rsidRPr="004E6EF0">
              <w:rPr>
                <w:rFonts w:cs="Arial"/>
                <w:b/>
                <w:bCs/>
                <w:color w:val="auto"/>
                <w:lang w:eastAsia="en-AU"/>
              </w:rPr>
              <w:t>Organisation/Individual</w:t>
            </w:r>
          </w:p>
        </w:tc>
      </w:tr>
      <w:tr w:rsidR="00CB540F" w:rsidRPr="004E6EF0" w14:paraId="48D6C388" w14:textId="77777777" w:rsidTr="00A2598E">
        <w:trPr>
          <w:trHeight w:val="60"/>
          <w:tblHeader/>
        </w:trPr>
        <w:tc>
          <w:tcPr>
            <w:tcW w:w="1577" w:type="dxa"/>
            <w:noWrap/>
            <w:hideMark/>
          </w:tcPr>
          <w:p w14:paraId="38616EBA" w14:textId="77777777" w:rsidR="00CB540F" w:rsidRPr="004E6EF0" w:rsidRDefault="00CB540F" w:rsidP="007D5029">
            <w:pPr>
              <w:spacing w:line="240" w:lineRule="auto"/>
              <w:rPr>
                <w:rFonts w:cs="Arial"/>
                <w:color w:val="auto"/>
                <w:lang w:eastAsia="en-AU"/>
              </w:rPr>
            </w:pPr>
            <w:r w:rsidRPr="004E6EF0">
              <w:rPr>
                <w:rFonts w:cs="Arial"/>
                <w:color w:val="auto"/>
                <w:lang w:eastAsia="en-AU"/>
              </w:rPr>
              <w:t>1</w:t>
            </w:r>
          </w:p>
        </w:tc>
        <w:tc>
          <w:tcPr>
            <w:tcW w:w="7603" w:type="dxa"/>
            <w:noWrap/>
            <w:hideMark/>
          </w:tcPr>
          <w:p w14:paraId="0CE1ADD7" w14:textId="77777777" w:rsidR="00CB540F" w:rsidRPr="004E6EF0" w:rsidRDefault="00CB540F" w:rsidP="007D5029">
            <w:pPr>
              <w:spacing w:line="240" w:lineRule="auto"/>
              <w:rPr>
                <w:rFonts w:cs="Arial"/>
                <w:color w:val="auto"/>
                <w:lang w:eastAsia="en-AU"/>
              </w:rPr>
            </w:pPr>
            <w:r w:rsidRPr="004E6EF0">
              <w:rPr>
                <w:rFonts w:cs="Arial"/>
                <w:color w:val="auto"/>
                <w:lang w:eastAsia="en-AU"/>
              </w:rPr>
              <w:t>Royal Australian Chemical Institute</w:t>
            </w:r>
          </w:p>
        </w:tc>
      </w:tr>
      <w:tr w:rsidR="00CB540F" w:rsidRPr="004E6EF0" w14:paraId="609617BF" w14:textId="77777777" w:rsidTr="00A2598E">
        <w:trPr>
          <w:trHeight w:val="60"/>
          <w:tblHeader/>
        </w:trPr>
        <w:tc>
          <w:tcPr>
            <w:tcW w:w="1577" w:type="dxa"/>
            <w:noWrap/>
            <w:hideMark/>
          </w:tcPr>
          <w:p w14:paraId="72181B9C" w14:textId="77777777" w:rsidR="00CB540F" w:rsidRPr="004E6EF0" w:rsidRDefault="00CB540F" w:rsidP="007D5029">
            <w:pPr>
              <w:spacing w:line="240" w:lineRule="auto"/>
              <w:rPr>
                <w:rFonts w:cs="Arial"/>
                <w:color w:val="auto"/>
                <w:lang w:eastAsia="en-AU"/>
              </w:rPr>
            </w:pPr>
            <w:r w:rsidRPr="004E6EF0">
              <w:rPr>
                <w:rFonts w:cs="Arial"/>
                <w:color w:val="auto"/>
                <w:lang w:eastAsia="en-AU"/>
              </w:rPr>
              <w:t>2</w:t>
            </w:r>
          </w:p>
        </w:tc>
        <w:tc>
          <w:tcPr>
            <w:tcW w:w="7603" w:type="dxa"/>
            <w:noWrap/>
            <w:hideMark/>
          </w:tcPr>
          <w:p w14:paraId="21E81C65" w14:textId="77777777" w:rsidR="00CB540F" w:rsidRPr="004E6EF0" w:rsidRDefault="00CB540F" w:rsidP="007D5029">
            <w:pPr>
              <w:spacing w:line="240" w:lineRule="auto"/>
              <w:rPr>
                <w:rFonts w:cs="Arial"/>
                <w:color w:val="auto"/>
                <w:lang w:eastAsia="en-AU"/>
              </w:rPr>
            </w:pPr>
            <w:r w:rsidRPr="004E6EF0">
              <w:rPr>
                <w:rFonts w:cs="Arial"/>
                <w:color w:val="auto"/>
                <w:lang w:eastAsia="en-AU"/>
              </w:rPr>
              <w:t>Poultry CRC</w:t>
            </w:r>
          </w:p>
        </w:tc>
      </w:tr>
      <w:tr w:rsidR="00CB540F" w:rsidRPr="004E6EF0" w14:paraId="6E1818E9" w14:textId="77777777" w:rsidTr="00A2598E">
        <w:trPr>
          <w:trHeight w:val="60"/>
          <w:tblHeader/>
        </w:trPr>
        <w:tc>
          <w:tcPr>
            <w:tcW w:w="1577" w:type="dxa"/>
            <w:noWrap/>
            <w:hideMark/>
          </w:tcPr>
          <w:p w14:paraId="7919D80B" w14:textId="77777777" w:rsidR="00CB540F" w:rsidRPr="004E6EF0" w:rsidRDefault="00CB540F" w:rsidP="007D5029">
            <w:pPr>
              <w:spacing w:line="240" w:lineRule="auto"/>
              <w:rPr>
                <w:rFonts w:cs="Arial"/>
                <w:color w:val="auto"/>
                <w:lang w:eastAsia="en-AU"/>
              </w:rPr>
            </w:pPr>
            <w:r w:rsidRPr="004E6EF0">
              <w:rPr>
                <w:rFonts w:cs="Arial"/>
                <w:color w:val="auto"/>
                <w:lang w:eastAsia="en-AU"/>
              </w:rPr>
              <w:t>3</w:t>
            </w:r>
          </w:p>
        </w:tc>
        <w:tc>
          <w:tcPr>
            <w:tcW w:w="7603" w:type="dxa"/>
            <w:noWrap/>
            <w:hideMark/>
          </w:tcPr>
          <w:p w14:paraId="6F822025"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Monax</w:t>
            </w:r>
            <w:proofErr w:type="spellEnd"/>
            <w:r w:rsidRPr="004E6EF0">
              <w:rPr>
                <w:rFonts w:cs="Arial"/>
                <w:color w:val="auto"/>
                <w:lang w:eastAsia="en-AU"/>
              </w:rPr>
              <w:t xml:space="preserve"> Mining Ltd</w:t>
            </w:r>
          </w:p>
        </w:tc>
      </w:tr>
      <w:tr w:rsidR="00CB540F" w:rsidRPr="004E6EF0" w14:paraId="4980F4E4" w14:textId="77777777" w:rsidTr="00A2598E">
        <w:trPr>
          <w:trHeight w:val="255"/>
          <w:tblHeader/>
        </w:trPr>
        <w:tc>
          <w:tcPr>
            <w:tcW w:w="1577" w:type="dxa"/>
            <w:noWrap/>
            <w:hideMark/>
          </w:tcPr>
          <w:p w14:paraId="2D808B05" w14:textId="77777777" w:rsidR="00CB540F" w:rsidRPr="004E6EF0" w:rsidRDefault="00CB540F" w:rsidP="007D5029">
            <w:pPr>
              <w:spacing w:line="240" w:lineRule="auto"/>
              <w:rPr>
                <w:rFonts w:cs="Arial"/>
                <w:color w:val="auto"/>
                <w:lang w:eastAsia="en-AU"/>
              </w:rPr>
            </w:pPr>
            <w:r w:rsidRPr="004E6EF0">
              <w:rPr>
                <w:rFonts w:cs="Arial"/>
                <w:color w:val="auto"/>
                <w:lang w:eastAsia="en-AU"/>
              </w:rPr>
              <w:t>4</w:t>
            </w:r>
          </w:p>
        </w:tc>
        <w:tc>
          <w:tcPr>
            <w:tcW w:w="7603" w:type="dxa"/>
            <w:noWrap/>
            <w:hideMark/>
          </w:tcPr>
          <w:p w14:paraId="376219B5" w14:textId="77777777" w:rsidR="00CB540F" w:rsidRPr="004E6EF0" w:rsidRDefault="00CB540F" w:rsidP="007D5029">
            <w:pPr>
              <w:spacing w:line="240" w:lineRule="auto"/>
              <w:rPr>
                <w:rFonts w:cs="Arial"/>
                <w:color w:val="auto"/>
                <w:lang w:eastAsia="en-AU"/>
              </w:rPr>
            </w:pPr>
            <w:r w:rsidRPr="004E6EF0">
              <w:rPr>
                <w:rFonts w:cs="Arial"/>
                <w:color w:val="auto"/>
                <w:lang w:eastAsia="en-AU"/>
              </w:rPr>
              <w:t>Winemakers Federation of Australia</w:t>
            </w:r>
          </w:p>
        </w:tc>
      </w:tr>
      <w:tr w:rsidR="00CB540F" w:rsidRPr="004E6EF0" w14:paraId="5521CF05" w14:textId="77777777" w:rsidTr="00A2598E">
        <w:trPr>
          <w:trHeight w:val="255"/>
          <w:tblHeader/>
        </w:trPr>
        <w:tc>
          <w:tcPr>
            <w:tcW w:w="1577" w:type="dxa"/>
            <w:noWrap/>
            <w:hideMark/>
          </w:tcPr>
          <w:p w14:paraId="733FBB3F" w14:textId="77777777" w:rsidR="00CB540F" w:rsidRPr="004E6EF0" w:rsidRDefault="00CB540F" w:rsidP="007D5029">
            <w:pPr>
              <w:spacing w:line="240" w:lineRule="auto"/>
              <w:rPr>
                <w:rFonts w:cs="Arial"/>
                <w:color w:val="auto"/>
                <w:lang w:eastAsia="en-AU"/>
              </w:rPr>
            </w:pPr>
            <w:r w:rsidRPr="004E6EF0">
              <w:rPr>
                <w:rFonts w:cs="Arial"/>
                <w:color w:val="auto"/>
                <w:lang w:eastAsia="en-AU"/>
              </w:rPr>
              <w:t>5</w:t>
            </w:r>
          </w:p>
        </w:tc>
        <w:tc>
          <w:tcPr>
            <w:tcW w:w="7603" w:type="dxa"/>
            <w:noWrap/>
            <w:hideMark/>
          </w:tcPr>
          <w:p w14:paraId="6EFF59B8" w14:textId="77777777" w:rsidR="00CB540F" w:rsidRPr="004E6EF0" w:rsidRDefault="00CB540F" w:rsidP="007D5029">
            <w:pPr>
              <w:spacing w:line="240" w:lineRule="auto"/>
              <w:rPr>
                <w:rFonts w:cs="Arial"/>
                <w:color w:val="auto"/>
                <w:lang w:eastAsia="en-AU"/>
              </w:rPr>
            </w:pPr>
            <w:r w:rsidRPr="004E6EF0">
              <w:rPr>
                <w:rFonts w:cs="Arial"/>
                <w:color w:val="auto"/>
                <w:lang w:eastAsia="en-AU"/>
              </w:rPr>
              <w:t>Hunter Medical Research Institute</w:t>
            </w:r>
          </w:p>
        </w:tc>
      </w:tr>
      <w:tr w:rsidR="00CB540F" w:rsidRPr="004E6EF0" w14:paraId="6FB9EA00" w14:textId="77777777" w:rsidTr="00A2598E">
        <w:trPr>
          <w:trHeight w:val="255"/>
          <w:tblHeader/>
        </w:trPr>
        <w:tc>
          <w:tcPr>
            <w:tcW w:w="1577" w:type="dxa"/>
            <w:noWrap/>
            <w:hideMark/>
          </w:tcPr>
          <w:p w14:paraId="0D0FD14E" w14:textId="77777777" w:rsidR="00CB540F" w:rsidRPr="004E6EF0" w:rsidRDefault="00CB540F" w:rsidP="007D5029">
            <w:pPr>
              <w:spacing w:line="240" w:lineRule="auto"/>
              <w:rPr>
                <w:rFonts w:cs="Arial"/>
                <w:color w:val="auto"/>
                <w:lang w:eastAsia="en-AU"/>
              </w:rPr>
            </w:pPr>
            <w:r w:rsidRPr="004E6EF0">
              <w:rPr>
                <w:rFonts w:cs="Arial"/>
                <w:color w:val="auto"/>
                <w:lang w:eastAsia="en-AU"/>
              </w:rPr>
              <w:t>6</w:t>
            </w:r>
          </w:p>
        </w:tc>
        <w:tc>
          <w:tcPr>
            <w:tcW w:w="7603" w:type="dxa"/>
            <w:noWrap/>
            <w:hideMark/>
          </w:tcPr>
          <w:p w14:paraId="32DD52B0" w14:textId="77777777" w:rsidR="00CB540F" w:rsidRPr="004E6EF0" w:rsidRDefault="00CB540F" w:rsidP="007D5029">
            <w:pPr>
              <w:spacing w:line="240" w:lineRule="auto"/>
              <w:rPr>
                <w:rFonts w:cs="Arial"/>
                <w:color w:val="auto"/>
                <w:lang w:eastAsia="en-AU"/>
              </w:rPr>
            </w:pPr>
            <w:r w:rsidRPr="004E6EF0">
              <w:rPr>
                <w:rFonts w:cs="Arial"/>
                <w:color w:val="auto"/>
                <w:lang w:eastAsia="en-AU"/>
              </w:rPr>
              <w:t>YNDK Pty Ltd</w:t>
            </w:r>
          </w:p>
        </w:tc>
      </w:tr>
      <w:tr w:rsidR="00CB540F" w:rsidRPr="004E6EF0" w14:paraId="5A3C00BC" w14:textId="77777777" w:rsidTr="00A2598E">
        <w:trPr>
          <w:trHeight w:val="60"/>
          <w:tblHeader/>
        </w:trPr>
        <w:tc>
          <w:tcPr>
            <w:tcW w:w="1577" w:type="dxa"/>
            <w:noWrap/>
            <w:hideMark/>
          </w:tcPr>
          <w:p w14:paraId="4A52E774" w14:textId="77777777" w:rsidR="00CB540F" w:rsidRPr="004E6EF0" w:rsidRDefault="00CB540F" w:rsidP="007D5029">
            <w:pPr>
              <w:spacing w:line="240" w:lineRule="auto"/>
              <w:rPr>
                <w:rFonts w:cs="Arial"/>
                <w:color w:val="auto"/>
                <w:lang w:eastAsia="en-AU"/>
              </w:rPr>
            </w:pPr>
            <w:r w:rsidRPr="004E6EF0">
              <w:rPr>
                <w:rFonts w:cs="Arial"/>
                <w:color w:val="auto"/>
                <w:lang w:eastAsia="en-AU"/>
              </w:rPr>
              <w:t>7</w:t>
            </w:r>
          </w:p>
        </w:tc>
        <w:tc>
          <w:tcPr>
            <w:tcW w:w="7603" w:type="dxa"/>
            <w:noWrap/>
            <w:hideMark/>
          </w:tcPr>
          <w:p w14:paraId="698624BB" w14:textId="77777777" w:rsidR="00CB540F" w:rsidRPr="004E6EF0" w:rsidRDefault="00CB540F" w:rsidP="007D5029">
            <w:pPr>
              <w:spacing w:line="240" w:lineRule="auto"/>
              <w:rPr>
                <w:rFonts w:cs="Arial"/>
                <w:color w:val="auto"/>
                <w:lang w:eastAsia="en-AU"/>
              </w:rPr>
            </w:pPr>
            <w:r w:rsidRPr="004E6EF0">
              <w:rPr>
                <w:rFonts w:cs="Arial"/>
                <w:color w:val="auto"/>
                <w:lang w:eastAsia="en-AU"/>
              </w:rPr>
              <w:t>Energy Pipelines CRC</w:t>
            </w:r>
          </w:p>
        </w:tc>
      </w:tr>
      <w:tr w:rsidR="00CB540F" w:rsidRPr="004E6EF0" w14:paraId="5E8FE18B" w14:textId="77777777" w:rsidTr="00A2598E">
        <w:trPr>
          <w:trHeight w:val="255"/>
          <w:tblHeader/>
        </w:trPr>
        <w:tc>
          <w:tcPr>
            <w:tcW w:w="1577" w:type="dxa"/>
            <w:noWrap/>
            <w:hideMark/>
          </w:tcPr>
          <w:p w14:paraId="4AF50E3A" w14:textId="77777777" w:rsidR="00CB540F" w:rsidRPr="004E6EF0" w:rsidRDefault="00CB540F" w:rsidP="007D5029">
            <w:pPr>
              <w:spacing w:line="240" w:lineRule="auto"/>
              <w:rPr>
                <w:rFonts w:cs="Arial"/>
                <w:color w:val="auto"/>
                <w:lang w:eastAsia="en-AU"/>
              </w:rPr>
            </w:pPr>
            <w:r w:rsidRPr="004E6EF0">
              <w:rPr>
                <w:rFonts w:cs="Arial"/>
                <w:color w:val="auto"/>
                <w:lang w:eastAsia="en-AU"/>
              </w:rPr>
              <w:t>8</w:t>
            </w:r>
          </w:p>
        </w:tc>
        <w:tc>
          <w:tcPr>
            <w:tcW w:w="7603" w:type="dxa"/>
            <w:noWrap/>
            <w:hideMark/>
          </w:tcPr>
          <w:p w14:paraId="362FB06C" w14:textId="77777777" w:rsidR="00CB540F" w:rsidRPr="004E6EF0" w:rsidRDefault="00CB540F" w:rsidP="007D5029">
            <w:pPr>
              <w:spacing w:line="240" w:lineRule="auto"/>
              <w:rPr>
                <w:rFonts w:cs="Arial"/>
                <w:color w:val="auto"/>
                <w:lang w:eastAsia="en-AU"/>
              </w:rPr>
            </w:pPr>
            <w:r w:rsidRPr="004E6EF0">
              <w:rPr>
                <w:rFonts w:cs="Arial"/>
                <w:color w:val="auto"/>
                <w:lang w:eastAsia="en-AU"/>
              </w:rPr>
              <w:t>CSIRO Staff Association</w:t>
            </w:r>
          </w:p>
        </w:tc>
      </w:tr>
      <w:tr w:rsidR="00CB540F" w:rsidRPr="004E6EF0" w14:paraId="4CA2914D" w14:textId="77777777" w:rsidTr="00A2598E">
        <w:trPr>
          <w:trHeight w:val="255"/>
          <w:tblHeader/>
        </w:trPr>
        <w:tc>
          <w:tcPr>
            <w:tcW w:w="1577" w:type="dxa"/>
            <w:noWrap/>
            <w:hideMark/>
          </w:tcPr>
          <w:p w14:paraId="50CC882F" w14:textId="77777777" w:rsidR="00CB540F" w:rsidRPr="004E6EF0" w:rsidRDefault="00CB540F" w:rsidP="007D5029">
            <w:pPr>
              <w:spacing w:line="240" w:lineRule="auto"/>
              <w:rPr>
                <w:rFonts w:cs="Arial"/>
                <w:color w:val="auto"/>
                <w:lang w:eastAsia="en-AU"/>
              </w:rPr>
            </w:pPr>
            <w:r w:rsidRPr="004E6EF0">
              <w:rPr>
                <w:rFonts w:cs="Arial"/>
                <w:color w:val="auto"/>
                <w:lang w:eastAsia="en-AU"/>
              </w:rPr>
              <w:t>9</w:t>
            </w:r>
          </w:p>
        </w:tc>
        <w:tc>
          <w:tcPr>
            <w:tcW w:w="7603" w:type="dxa"/>
            <w:noWrap/>
            <w:hideMark/>
          </w:tcPr>
          <w:p w14:paraId="5191421F" w14:textId="77777777" w:rsidR="00CB540F" w:rsidRPr="004E6EF0" w:rsidRDefault="00CB540F" w:rsidP="007D5029">
            <w:pPr>
              <w:spacing w:line="240" w:lineRule="auto"/>
              <w:rPr>
                <w:rFonts w:cs="Arial"/>
                <w:color w:val="auto"/>
                <w:lang w:eastAsia="en-AU"/>
              </w:rPr>
            </w:pPr>
            <w:r w:rsidRPr="004E6EF0">
              <w:rPr>
                <w:rFonts w:cs="Arial"/>
                <w:color w:val="auto"/>
                <w:lang w:eastAsia="en-AU"/>
              </w:rPr>
              <w:t>Hear and Say</w:t>
            </w:r>
          </w:p>
        </w:tc>
      </w:tr>
      <w:tr w:rsidR="00CB540F" w:rsidRPr="004E6EF0" w14:paraId="75AD1A99" w14:textId="77777777" w:rsidTr="00A2598E">
        <w:trPr>
          <w:trHeight w:val="255"/>
          <w:tblHeader/>
        </w:trPr>
        <w:tc>
          <w:tcPr>
            <w:tcW w:w="1577" w:type="dxa"/>
            <w:noWrap/>
            <w:hideMark/>
          </w:tcPr>
          <w:p w14:paraId="13AD2259" w14:textId="77777777" w:rsidR="00CB540F" w:rsidRPr="004E6EF0" w:rsidRDefault="00CB540F" w:rsidP="007D5029">
            <w:pPr>
              <w:spacing w:line="240" w:lineRule="auto"/>
              <w:rPr>
                <w:rFonts w:cs="Arial"/>
                <w:color w:val="auto"/>
                <w:lang w:eastAsia="en-AU"/>
              </w:rPr>
            </w:pPr>
            <w:r w:rsidRPr="004E6EF0">
              <w:rPr>
                <w:rFonts w:cs="Arial"/>
                <w:color w:val="auto"/>
                <w:lang w:eastAsia="en-AU"/>
              </w:rPr>
              <w:t>10</w:t>
            </w:r>
          </w:p>
        </w:tc>
        <w:tc>
          <w:tcPr>
            <w:tcW w:w="7603" w:type="dxa"/>
            <w:noWrap/>
            <w:hideMark/>
          </w:tcPr>
          <w:p w14:paraId="740B6EF8" w14:textId="77777777" w:rsidR="00CB540F" w:rsidRPr="004E6EF0" w:rsidRDefault="00CB540F" w:rsidP="007D5029">
            <w:pPr>
              <w:spacing w:line="240" w:lineRule="auto"/>
              <w:rPr>
                <w:rFonts w:cs="Arial"/>
                <w:color w:val="auto"/>
                <w:lang w:eastAsia="en-AU"/>
              </w:rPr>
            </w:pPr>
            <w:r w:rsidRPr="004E6EF0">
              <w:rPr>
                <w:rFonts w:cs="Arial"/>
                <w:color w:val="auto"/>
                <w:lang w:eastAsia="en-AU"/>
              </w:rPr>
              <w:t>The Shepherd Centre</w:t>
            </w:r>
          </w:p>
        </w:tc>
      </w:tr>
      <w:tr w:rsidR="00CB540F" w:rsidRPr="004E6EF0" w14:paraId="060FB771" w14:textId="77777777" w:rsidTr="00A2598E">
        <w:trPr>
          <w:trHeight w:val="255"/>
          <w:tblHeader/>
        </w:trPr>
        <w:tc>
          <w:tcPr>
            <w:tcW w:w="1577" w:type="dxa"/>
            <w:noWrap/>
            <w:hideMark/>
          </w:tcPr>
          <w:p w14:paraId="0CE25F30" w14:textId="77777777" w:rsidR="00CB540F" w:rsidRPr="004E6EF0" w:rsidRDefault="00CB540F" w:rsidP="007D5029">
            <w:pPr>
              <w:spacing w:line="240" w:lineRule="auto"/>
              <w:rPr>
                <w:rFonts w:cs="Arial"/>
                <w:color w:val="auto"/>
                <w:lang w:eastAsia="en-AU"/>
              </w:rPr>
            </w:pPr>
            <w:r w:rsidRPr="004E6EF0">
              <w:rPr>
                <w:rFonts w:cs="Arial"/>
                <w:color w:val="auto"/>
                <w:lang w:eastAsia="en-AU"/>
              </w:rPr>
              <w:t>11</w:t>
            </w:r>
          </w:p>
        </w:tc>
        <w:tc>
          <w:tcPr>
            <w:tcW w:w="7603" w:type="dxa"/>
            <w:noWrap/>
            <w:hideMark/>
          </w:tcPr>
          <w:p w14:paraId="636A74CD" w14:textId="77777777" w:rsidR="00CB540F" w:rsidRPr="004E6EF0" w:rsidRDefault="00CB540F" w:rsidP="007D5029">
            <w:pPr>
              <w:spacing w:line="240" w:lineRule="auto"/>
              <w:rPr>
                <w:rFonts w:cs="Arial"/>
                <w:color w:val="auto"/>
                <w:lang w:eastAsia="en-AU"/>
              </w:rPr>
            </w:pPr>
            <w:r w:rsidRPr="004E6EF0">
              <w:rPr>
                <w:rFonts w:cs="Arial"/>
                <w:color w:val="auto"/>
                <w:lang w:eastAsia="en-AU"/>
              </w:rPr>
              <w:t>CRC for Sheep Industry Innovation</w:t>
            </w:r>
          </w:p>
        </w:tc>
      </w:tr>
      <w:tr w:rsidR="00CB540F" w:rsidRPr="004E6EF0" w14:paraId="7052FE34" w14:textId="77777777" w:rsidTr="00A2598E">
        <w:trPr>
          <w:trHeight w:val="255"/>
          <w:tblHeader/>
        </w:trPr>
        <w:tc>
          <w:tcPr>
            <w:tcW w:w="1577" w:type="dxa"/>
            <w:noWrap/>
            <w:hideMark/>
          </w:tcPr>
          <w:p w14:paraId="23FD0ACC" w14:textId="77777777" w:rsidR="00CB540F" w:rsidRPr="004E6EF0" w:rsidRDefault="00CB540F" w:rsidP="007D5029">
            <w:pPr>
              <w:spacing w:line="240" w:lineRule="auto"/>
              <w:rPr>
                <w:rFonts w:cs="Arial"/>
                <w:color w:val="auto"/>
                <w:lang w:eastAsia="en-AU"/>
              </w:rPr>
            </w:pPr>
            <w:r w:rsidRPr="004E6EF0">
              <w:rPr>
                <w:rFonts w:cs="Arial"/>
                <w:color w:val="auto"/>
                <w:lang w:eastAsia="en-AU"/>
              </w:rPr>
              <w:t>12</w:t>
            </w:r>
          </w:p>
        </w:tc>
        <w:tc>
          <w:tcPr>
            <w:tcW w:w="7603" w:type="dxa"/>
            <w:noWrap/>
            <w:hideMark/>
          </w:tcPr>
          <w:p w14:paraId="3D93F60C" w14:textId="77777777" w:rsidR="00CB540F" w:rsidRPr="004E6EF0" w:rsidRDefault="00CB540F" w:rsidP="007D5029">
            <w:pPr>
              <w:spacing w:line="240" w:lineRule="auto"/>
              <w:rPr>
                <w:rFonts w:cs="Arial"/>
                <w:color w:val="auto"/>
                <w:lang w:eastAsia="en-AU"/>
              </w:rPr>
            </w:pPr>
            <w:r w:rsidRPr="004E6EF0">
              <w:rPr>
                <w:rFonts w:cs="Arial"/>
                <w:color w:val="auto"/>
                <w:lang w:eastAsia="en-AU"/>
              </w:rPr>
              <w:t>Piper Alderman</w:t>
            </w:r>
          </w:p>
        </w:tc>
      </w:tr>
      <w:tr w:rsidR="00CB540F" w:rsidRPr="004E6EF0" w14:paraId="35441860" w14:textId="77777777" w:rsidTr="00A2598E">
        <w:trPr>
          <w:trHeight w:val="255"/>
          <w:tblHeader/>
        </w:trPr>
        <w:tc>
          <w:tcPr>
            <w:tcW w:w="1577" w:type="dxa"/>
            <w:noWrap/>
            <w:hideMark/>
          </w:tcPr>
          <w:p w14:paraId="3AEEF48C" w14:textId="77777777" w:rsidR="00CB540F" w:rsidRPr="004E6EF0" w:rsidRDefault="00CB540F" w:rsidP="007D5029">
            <w:pPr>
              <w:spacing w:line="240" w:lineRule="auto"/>
              <w:rPr>
                <w:rFonts w:cs="Arial"/>
                <w:color w:val="auto"/>
                <w:lang w:eastAsia="en-AU"/>
              </w:rPr>
            </w:pPr>
            <w:r w:rsidRPr="004E6EF0">
              <w:rPr>
                <w:rFonts w:cs="Arial"/>
                <w:color w:val="auto"/>
                <w:lang w:eastAsia="en-AU"/>
              </w:rPr>
              <w:t>13</w:t>
            </w:r>
          </w:p>
        </w:tc>
        <w:tc>
          <w:tcPr>
            <w:tcW w:w="7603" w:type="dxa"/>
            <w:noWrap/>
            <w:hideMark/>
          </w:tcPr>
          <w:p w14:paraId="7C2868A9" w14:textId="77777777" w:rsidR="00CB540F" w:rsidRPr="004E6EF0" w:rsidRDefault="00CB540F" w:rsidP="007D5029">
            <w:pPr>
              <w:spacing w:line="240" w:lineRule="auto"/>
              <w:rPr>
                <w:rFonts w:cs="Arial"/>
                <w:color w:val="auto"/>
                <w:lang w:eastAsia="en-AU"/>
              </w:rPr>
            </w:pPr>
            <w:r w:rsidRPr="004E6EF0">
              <w:rPr>
                <w:rFonts w:cs="Arial"/>
                <w:color w:val="auto"/>
                <w:lang w:eastAsia="en-AU"/>
              </w:rPr>
              <w:t>Bruce Grey</w:t>
            </w:r>
          </w:p>
        </w:tc>
      </w:tr>
      <w:tr w:rsidR="00CB540F" w:rsidRPr="004E6EF0" w14:paraId="735AD4DE" w14:textId="77777777" w:rsidTr="00A2598E">
        <w:trPr>
          <w:trHeight w:val="255"/>
          <w:tblHeader/>
        </w:trPr>
        <w:tc>
          <w:tcPr>
            <w:tcW w:w="1577" w:type="dxa"/>
            <w:noWrap/>
            <w:hideMark/>
          </w:tcPr>
          <w:p w14:paraId="1067F3D1" w14:textId="77777777" w:rsidR="00CB540F" w:rsidRPr="004E6EF0" w:rsidRDefault="00CB540F" w:rsidP="007D5029">
            <w:pPr>
              <w:spacing w:line="240" w:lineRule="auto"/>
              <w:rPr>
                <w:rFonts w:cs="Arial"/>
                <w:color w:val="auto"/>
                <w:lang w:eastAsia="en-AU"/>
              </w:rPr>
            </w:pPr>
            <w:r w:rsidRPr="004E6EF0">
              <w:rPr>
                <w:rFonts w:cs="Arial"/>
                <w:color w:val="auto"/>
                <w:lang w:eastAsia="en-AU"/>
              </w:rPr>
              <w:t>14</w:t>
            </w:r>
          </w:p>
        </w:tc>
        <w:tc>
          <w:tcPr>
            <w:tcW w:w="7603" w:type="dxa"/>
            <w:noWrap/>
            <w:hideMark/>
          </w:tcPr>
          <w:p w14:paraId="7F0163B3" w14:textId="77777777" w:rsidR="00CB540F" w:rsidRPr="004E6EF0" w:rsidRDefault="00CB540F" w:rsidP="007D5029">
            <w:pPr>
              <w:spacing w:line="240" w:lineRule="auto"/>
              <w:rPr>
                <w:rFonts w:cs="Arial"/>
                <w:color w:val="auto"/>
                <w:lang w:eastAsia="en-AU"/>
              </w:rPr>
            </w:pPr>
            <w:r w:rsidRPr="004E6EF0">
              <w:rPr>
                <w:rFonts w:cs="Arial"/>
                <w:color w:val="auto"/>
                <w:lang w:eastAsia="en-AU"/>
              </w:rPr>
              <w:t>Children's Cancer Institute</w:t>
            </w:r>
          </w:p>
        </w:tc>
      </w:tr>
      <w:tr w:rsidR="00CB540F" w:rsidRPr="004E6EF0" w14:paraId="3A300D62" w14:textId="77777777" w:rsidTr="00A2598E">
        <w:trPr>
          <w:trHeight w:val="255"/>
          <w:tblHeader/>
        </w:trPr>
        <w:tc>
          <w:tcPr>
            <w:tcW w:w="1577" w:type="dxa"/>
            <w:noWrap/>
            <w:hideMark/>
          </w:tcPr>
          <w:p w14:paraId="7EA538D0" w14:textId="77777777" w:rsidR="00CB540F" w:rsidRPr="004E6EF0" w:rsidRDefault="00CB540F" w:rsidP="007D5029">
            <w:pPr>
              <w:spacing w:line="240" w:lineRule="auto"/>
              <w:rPr>
                <w:rFonts w:cs="Arial"/>
                <w:color w:val="auto"/>
                <w:lang w:eastAsia="en-AU"/>
              </w:rPr>
            </w:pPr>
            <w:r w:rsidRPr="004E6EF0">
              <w:rPr>
                <w:rFonts w:cs="Arial"/>
                <w:color w:val="auto"/>
                <w:lang w:eastAsia="en-AU"/>
              </w:rPr>
              <w:t>15</w:t>
            </w:r>
          </w:p>
        </w:tc>
        <w:tc>
          <w:tcPr>
            <w:tcW w:w="7603" w:type="dxa"/>
            <w:noWrap/>
            <w:hideMark/>
          </w:tcPr>
          <w:p w14:paraId="2381809F" w14:textId="77777777" w:rsidR="00CB540F" w:rsidRPr="004E6EF0" w:rsidRDefault="00CB540F" w:rsidP="007D5029">
            <w:pPr>
              <w:spacing w:line="240" w:lineRule="auto"/>
              <w:rPr>
                <w:rFonts w:cs="Arial"/>
                <w:color w:val="auto"/>
                <w:lang w:eastAsia="en-AU"/>
              </w:rPr>
            </w:pPr>
            <w:r w:rsidRPr="004E6EF0">
              <w:rPr>
                <w:rFonts w:cs="Arial"/>
                <w:color w:val="auto"/>
                <w:lang w:eastAsia="en-AU"/>
              </w:rPr>
              <w:t>Kansas State University</w:t>
            </w:r>
          </w:p>
        </w:tc>
      </w:tr>
      <w:tr w:rsidR="00CB540F" w:rsidRPr="004E6EF0" w14:paraId="607DB86B" w14:textId="77777777" w:rsidTr="00A2598E">
        <w:trPr>
          <w:trHeight w:val="255"/>
          <w:tblHeader/>
        </w:trPr>
        <w:tc>
          <w:tcPr>
            <w:tcW w:w="1577" w:type="dxa"/>
            <w:noWrap/>
            <w:hideMark/>
          </w:tcPr>
          <w:p w14:paraId="607E363A" w14:textId="77777777" w:rsidR="00CB540F" w:rsidRPr="004E6EF0" w:rsidRDefault="00CB540F" w:rsidP="007D5029">
            <w:pPr>
              <w:spacing w:line="240" w:lineRule="auto"/>
              <w:rPr>
                <w:rFonts w:cs="Arial"/>
                <w:color w:val="auto"/>
                <w:lang w:eastAsia="en-AU"/>
              </w:rPr>
            </w:pPr>
            <w:r w:rsidRPr="004E6EF0">
              <w:rPr>
                <w:rFonts w:cs="Arial"/>
                <w:color w:val="auto"/>
                <w:lang w:eastAsia="en-AU"/>
              </w:rPr>
              <w:t>16</w:t>
            </w:r>
          </w:p>
        </w:tc>
        <w:tc>
          <w:tcPr>
            <w:tcW w:w="7603" w:type="dxa"/>
            <w:noWrap/>
            <w:hideMark/>
          </w:tcPr>
          <w:p w14:paraId="64F32FCD"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Australian Council of Engineering Deans</w:t>
            </w:r>
          </w:p>
        </w:tc>
      </w:tr>
      <w:tr w:rsidR="00CB540F" w:rsidRPr="004E6EF0" w14:paraId="2BBBD9DF" w14:textId="77777777" w:rsidTr="00A2598E">
        <w:trPr>
          <w:trHeight w:val="255"/>
          <w:tblHeader/>
        </w:trPr>
        <w:tc>
          <w:tcPr>
            <w:tcW w:w="1577" w:type="dxa"/>
            <w:noWrap/>
            <w:hideMark/>
          </w:tcPr>
          <w:p w14:paraId="5218BEC1" w14:textId="77777777" w:rsidR="00CB540F" w:rsidRPr="004E6EF0" w:rsidRDefault="00CB540F" w:rsidP="007D5029">
            <w:pPr>
              <w:spacing w:line="240" w:lineRule="auto"/>
              <w:rPr>
                <w:rFonts w:cs="Arial"/>
                <w:color w:val="auto"/>
                <w:lang w:eastAsia="en-AU"/>
              </w:rPr>
            </w:pPr>
            <w:r w:rsidRPr="004E6EF0">
              <w:rPr>
                <w:rFonts w:cs="Arial"/>
                <w:color w:val="auto"/>
                <w:lang w:eastAsia="en-AU"/>
              </w:rPr>
              <w:t>17</w:t>
            </w:r>
          </w:p>
        </w:tc>
        <w:tc>
          <w:tcPr>
            <w:tcW w:w="7603" w:type="dxa"/>
            <w:noWrap/>
            <w:hideMark/>
          </w:tcPr>
          <w:p w14:paraId="1A5AE2CF" w14:textId="77777777" w:rsidR="00CB540F" w:rsidRPr="004E6EF0" w:rsidRDefault="00CB540F" w:rsidP="007D5029">
            <w:pPr>
              <w:spacing w:line="240" w:lineRule="auto"/>
              <w:rPr>
                <w:rFonts w:cs="Arial"/>
                <w:color w:val="auto"/>
                <w:lang w:eastAsia="en-AU"/>
              </w:rPr>
            </w:pPr>
            <w:r w:rsidRPr="004E6EF0">
              <w:rPr>
                <w:rFonts w:cs="Arial"/>
                <w:color w:val="auto"/>
                <w:lang w:eastAsia="en-AU"/>
              </w:rPr>
              <w:t>University of New England</w:t>
            </w:r>
          </w:p>
        </w:tc>
      </w:tr>
      <w:tr w:rsidR="00CB540F" w:rsidRPr="004E6EF0" w14:paraId="6AA49471" w14:textId="77777777" w:rsidTr="00A2598E">
        <w:trPr>
          <w:trHeight w:val="255"/>
          <w:tblHeader/>
        </w:trPr>
        <w:tc>
          <w:tcPr>
            <w:tcW w:w="1577" w:type="dxa"/>
            <w:noWrap/>
            <w:hideMark/>
          </w:tcPr>
          <w:p w14:paraId="60A1FC1A" w14:textId="77777777" w:rsidR="00CB540F" w:rsidRPr="004E6EF0" w:rsidRDefault="00CB540F" w:rsidP="007D5029">
            <w:pPr>
              <w:spacing w:line="240" w:lineRule="auto"/>
              <w:rPr>
                <w:rFonts w:cs="Arial"/>
                <w:color w:val="auto"/>
                <w:lang w:eastAsia="en-AU"/>
              </w:rPr>
            </w:pPr>
            <w:r w:rsidRPr="004E6EF0">
              <w:rPr>
                <w:rFonts w:cs="Arial"/>
                <w:color w:val="auto"/>
                <w:lang w:eastAsia="en-AU"/>
              </w:rPr>
              <w:t>18</w:t>
            </w:r>
          </w:p>
        </w:tc>
        <w:tc>
          <w:tcPr>
            <w:tcW w:w="7603" w:type="dxa"/>
            <w:noWrap/>
            <w:hideMark/>
          </w:tcPr>
          <w:p w14:paraId="41516536"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Ian Pitman </w:t>
            </w:r>
          </w:p>
        </w:tc>
      </w:tr>
      <w:tr w:rsidR="00CB540F" w:rsidRPr="004E6EF0" w14:paraId="040039F9" w14:textId="77777777" w:rsidTr="00A2598E">
        <w:trPr>
          <w:trHeight w:val="255"/>
          <w:tblHeader/>
        </w:trPr>
        <w:tc>
          <w:tcPr>
            <w:tcW w:w="1577" w:type="dxa"/>
            <w:noWrap/>
            <w:hideMark/>
          </w:tcPr>
          <w:p w14:paraId="46DFAC5C" w14:textId="77777777" w:rsidR="00CB540F" w:rsidRPr="004E6EF0" w:rsidRDefault="00CB540F" w:rsidP="007D5029">
            <w:pPr>
              <w:spacing w:line="240" w:lineRule="auto"/>
              <w:rPr>
                <w:rFonts w:cs="Arial"/>
                <w:color w:val="auto"/>
                <w:lang w:eastAsia="en-AU"/>
              </w:rPr>
            </w:pPr>
            <w:r w:rsidRPr="004E6EF0">
              <w:rPr>
                <w:rFonts w:cs="Arial"/>
                <w:color w:val="auto"/>
                <w:lang w:eastAsia="en-AU"/>
              </w:rPr>
              <w:t>19</w:t>
            </w:r>
          </w:p>
        </w:tc>
        <w:tc>
          <w:tcPr>
            <w:tcW w:w="7603" w:type="dxa"/>
            <w:noWrap/>
            <w:hideMark/>
          </w:tcPr>
          <w:p w14:paraId="0DE42230" w14:textId="77777777" w:rsidR="00CB540F" w:rsidRPr="004E6EF0" w:rsidRDefault="00CB540F" w:rsidP="007D5029">
            <w:pPr>
              <w:spacing w:line="240" w:lineRule="auto"/>
              <w:rPr>
                <w:rFonts w:cs="Arial"/>
                <w:color w:val="auto"/>
                <w:lang w:eastAsia="en-AU"/>
              </w:rPr>
            </w:pPr>
            <w:r w:rsidRPr="004E6EF0">
              <w:rPr>
                <w:rFonts w:cs="Arial"/>
                <w:color w:val="auto"/>
                <w:lang w:eastAsia="en-AU"/>
              </w:rPr>
              <w:t>Association of Australian Medical Research Institute</w:t>
            </w:r>
          </w:p>
        </w:tc>
      </w:tr>
      <w:tr w:rsidR="00CB540F" w:rsidRPr="004E6EF0" w14:paraId="148698CA" w14:textId="77777777" w:rsidTr="00A2598E">
        <w:trPr>
          <w:trHeight w:val="255"/>
          <w:tblHeader/>
        </w:trPr>
        <w:tc>
          <w:tcPr>
            <w:tcW w:w="1577" w:type="dxa"/>
            <w:noWrap/>
            <w:hideMark/>
          </w:tcPr>
          <w:p w14:paraId="17BCB138" w14:textId="77777777" w:rsidR="00CB540F" w:rsidRPr="004E6EF0" w:rsidRDefault="00CB540F" w:rsidP="007D5029">
            <w:pPr>
              <w:spacing w:line="240" w:lineRule="auto"/>
              <w:rPr>
                <w:rFonts w:cs="Arial"/>
                <w:color w:val="auto"/>
                <w:lang w:eastAsia="en-AU"/>
              </w:rPr>
            </w:pPr>
            <w:r w:rsidRPr="004E6EF0">
              <w:rPr>
                <w:rFonts w:cs="Arial"/>
                <w:color w:val="auto"/>
                <w:lang w:eastAsia="en-AU"/>
              </w:rPr>
              <w:t>20</w:t>
            </w:r>
          </w:p>
        </w:tc>
        <w:tc>
          <w:tcPr>
            <w:tcW w:w="7603" w:type="dxa"/>
            <w:noWrap/>
            <w:hideMark/>
          </w:tcPr>
          <w:p w14:paraId="3CE767D1" w14:textId="77777777" w:rsidR="00CB540F" w:rsidRPr="004E6EF0" w:rsidRDefault="00CB540F" w:rsidP="007D5029">
            <w:pPr>
              <w:spacing w:line="240" w:lineRule="auto"/>
              <w:rPr>
                <w:rFonts w:cs="Arial"/>
                <w:color w:val="auto"/>
                <w:lang w:eastAsia="en-AU"/>
              </w:rPr>
            </w:pPr>
            <w:r w:rsidRPr="004E6EF0">
              <w:rPr>
                <w:rFonts w:cs="Arial"/>
                <w:color w:val="auto"/>
                <w:lang w:eastAsia="en-AU"/>
              </w:rPr>
              <w:t>CRC for Low Carbon Living</w:t>
            </w:r>
          </w:p>
        </w:tc>
      </w:tr>
      <w:tr w:rsidR="00CB540F" w:rsidRPr="004E6EF0" w14:paraId="2F2FC2E8" w14:textId="77777777" w:rsidTr="00A2598E">
        <w:trPr>
          <w:trHeight w:val="90"/>
          <w:tblHeader/>
        </w:trPr>
        <w:tc>
          <w:tcPr>
            <w:tcW w:w="1577" w:type="dxa"/>
            <w:noWrap/>
            <w:hideMark/>
          </w:tcPr>
          <w:p w14:paraId="0AA04B63" w14:textId="77777777" w:rsidR="00CB540F" w:rsidRPr="004E6EF0" w:rsidRDefault="00CB540F" w:rsidP="007D5029">
            <w:pPr>
              <w:spacing w:line="240" w:lineRule="auto"/>
              <w:rPr>
                <w:rFonts w:cs="Arial"/>
                <w:color w:val="auto"/>
                <w:lang w:eastAsia="en-AU"/>
              </w:rPr>
            </w:pPr>
            <w:r w:rsidRPr="004E6EF0">
              <w:rPr>
                <w:rFonts w:cs="Arial"/>
                <w:color w:val="auto"/>
                <w:lang w:eastAsia="en-AU"/>
              </w:rPr>
              <w:t>21</w:t>
            </w:r>
          </w:p>
        </w:tc>
        <w:tc>
          <w:tcPr>
            <w:tcW w:w="7603" w:type="dxa"/>
            <w:noWrap/>
            <w:hideMark/>
          </w:tcPr>
          <w:p w14:paraId="4278CBD0" w14:textId="77777777" w:rsidR="00CB540F" w:rsidRPr="004E6EF0" w:rsidRDefault="00CB540F" w:rsidP="007D5029">
            <w:pPr>
              <w:spacing w:line="240" w:lineRule="auto"/>
              <w:rPr>
                <w:rFonts w:cs="Arial"/>
                <w:color w:val="auto"/>
                <w:lang w:eastAsia="en-AU"/>
              </w:rPr>
            </w:pPr>
            <w:r w:rsidRPr="004E6EF0">
              <w:rPr>
                <w:rFonts w:cs="Arial"/>
                <w:color w:val="auto"/>
                <w:lang w:eastAsia="en-AU"/>
              </w:rPr>
              <w:t>Walter and Eliza Hall Institute</w:t>
            </w:r>
          </w:p>
        </w:tc>
      </w:tr>
      <w:tr w:rsidR="00CB540F" w:rsidRPr="004E6EF0" w14:paraId="067B458F" w14:textId="77777777" w:rsidTr="00A2598E">
        <w:trPr>
          <w:trHeight w:val="255"/>
          <w:tblHeader/>
        </w:trPr>
        <w:tc>
          <w:tcPr>
            <w:tcW w:w="1577" w:type="dxa"/>
            <w:noWrap/>
            <w:hideMark/>
          </w:tcPr>
          <w:p w14:paraId="5654F7AD" w14:textId="77777777" w:rsidR="00CB540F" w:rsidRPr="004E6EF0" w:rsidRDefault="00CB540F" w:rsidP="007D5029">
            <w:pPr>
              <w:spacing w:line="240" w:lineRule="auto"/>
              <w:rPr>
                <w:rFonts w:cs="Arial"/>
                <w:color w:val="auto"/>
                <w:lang w:eastAsia="en-AU"/>
              </w:rPr>
            </w:pPr>
            <w:r w:rsidRPr="004E6EF0">
              <w:rPr>
                <w:rFonts w:cs="Arial"/>
                <w:color w:val="auto"/>
                <w:lang w:eastAsia="en-AU"/>
              </w:rPr>
              <w:t>22</w:t>
            </w:r>
          </w:p>
        </w:tc>
        <w:tc>
          <w:tcPr>
            <w:tcW w:w="7603" w:type="dxa"/>
            <w:noWrap/>
            <w:hideMark/>
          </w:tcPr>
          <w:p w14:paraId="14AE86EF" w14:textId="77777777" w:rsidR="00CB540F" w:rsidRPr="004E6EF0" w:rsidRDefault="00CB540F" w:rsidP="007D5029">
            <w:pPr>
              <w:spacing w:line="240" w:lineRule="auto"/>
              <w:rPr>
                <w:rFonts w:cs="Arial"/>
                <w:color w:val="auto"/>
                <w:lang w:eastAsia="en-AU"/>
              </w:rPr>
            </w:pPr>
            <w:r w:rsidRPr="004E6EF0">
              <w:rPr>
                <w:rFonts w:cs="Arial"/>
                <w:color w:val="auto"/>
                <w:lang w:eastAsia="en-AU"/>
              </w:rPr>
              <w:t>Nasdaq</w:t>
            </w:r>
          </w:p>
        </w:tc>
      </w:tr>
      <w:tr w:rsidR="00CB540F" w:rsidRPr="004E6EF0" w14:paraId="16F4E338" w14:textId="77777777" w:rsidTr="00A2598E">
        <w:trPr>
          <w:trHeight w:val="255"/>
          <w:tblHeader/>
        </w:trPr>
        <w:tc>
          <w:tcPr>
            <w:tcW w:w="1577" w:type="dxa"/>
            <w:noWrap/>
            <w:hideMark/>
          </w:tcPr>
          <w:p w14:paraId="42284468" w14:textId="77777777" w:rsidR="00CB540F" w:rsidRPr="004E6EF0" w:rsidRDefault="00CB540F" w:rsidP="007D5029">
            <w:pPr>
              <w:spacing w:line="240" w:lineRule="auto"/>
              <w:rPr>
                <w:rFonts w:cs="Arial"/>
                <w:color w:val="auto"/>
                <w:lang w:eastAsia="en-AU"/>
              </w:rPr>
            </w:pPr>
            <w:r w:rsidRPr="004E6EF0">
              <w:rPr>
                <w:rFonts w:cs="Arial"/>
                <w:color w:val="auto"/>
                <w:lang w:eastAsia="en-AU"/>
              </w:rPr>
              <w:t>23</w:t>
            </w:r>
          </w:p>
        </w:tc>
        <w:tc>
          <w:tcPr>
            <w:tcW w:w="7603" w:type="dxa"/>
            <w:noWrap/>
            <w:hideMark/>
          </w:tcPr>
          <w:p w14:paraId="1DD5323C" w14:textId="77777777" w:rsidR="00CB540F" w:rsidRPr="004E6EF0" w:rsidRDefault="00CB540F" w:rsidP="007D5029">
            <w:pPr>
              <w:spacing w:line="240" w:lineRule="auto"/>
              <w:rPr>
                <w:rFonts w:cs="Arial"/>
                <w:color w:val="auto"/>
                <w:lang w:eastAsia="en-AU"/>
              </w:rPr>
            </w:pPr>
            <w:r w:rsidRPr="004E6EF0">
              <w:rPr>
                <w:rFonts w:cs="Arial"/>
                <w:color w:val="auto"/>
                <w:lang w:eastAsia="en-AU"/>
              </w:rPr>
              <w:t>City of Nedlands</w:t>
            </w:r>
          </w:p>
        </w:tc>
      </w:tr>
      <w:tr w:rsidR="00CB540F" w:rsidRPr="004E6EF0" w14:paraId="748F6975" w14:textId="77777777" w:rsidTr="00A2598E">
        <w:trPr>
          <w:trHeight w:val="255"/>
          <w:tblHeader/>
        </w:trPr>
        <w:tc>
          <w:tcPr>
            <w:tcW w:w="1577" w:type="dxa"/>
            <w:noWrap/>
            <w:hideMark/>
          </w:tcPr>
          <w:p w14:paraId="4BBD9065" w14:textId="77777777" w:rsidR="00CB540F" w:rsidRPr="004E6EF0" w:rsidRDefault="00CB540F" w:rsidP="007D5029">
            <w:pPr>
              <w:spacing w:line="240" w:lineRule="auto"/>
              <w:rPr>
                <w:rFonts w:cs="Arial"/>
                <w:color w:val="auto"/>
                <w:lang w:eastAsia="en-AU"/>
              </w:rPr>
            </w:pPr>
            <w:r w:rsidRPr="004E6EF0">
              <w:rPr>
                <w:rFonts w:cs="Arial"/>
                <w:color w:val="auto"/>
                <w:lang w:eastAsia="en-AU"/>
              </w:rPr>
              <w:t>24</w:t>
            </w:r>
          </w:p>
        </w:tc>
        <w:tc>
          <w:tcPr>
            <w:tcW w:w="7603" w:type="dxa"/>
            <w:noWrap/>
            <w:hideMark/>
          </w:tcPr>
          <w:p w14:paraId="42593D3F" w14:textId="77777777" w:rsidR="00CB540F" w:rsidRPr="004E6EF0" w:rsidRDefault="00CB540F" w:rsidP="007D5029">
            <w:pPr>
              <w:spacing w:line="240" w:lineRule="auto"/>
              <w:rPr>
                <w:rFonts w:cs="Arial"/>
                <w:color w:val="auto"/>
                <w:lang w:eastAsia="en-AU"/>
              </w:rPr>
            </w:pPr>
            <w:r w:rsidRPr="004E6EF0">
              <w:rPr>
                <w:rFonts w:cs="Arial"/>
                <w:color w:val="auto"/>
                <w:lang w:eastAsia="en-AU"/>
              </w:rPr>
              <w:t>University of Western Sydney</w:t>
            </w:r>
          </w:p>
        </w:tc>
      </w:tr>
      <w:tr w:rsidR="00CB540F" w:rsidRPr="004E6EF0" w14:paraId="05DDC254" w14:textId="77777777" w:rsidTr="00A2598E">
        <w:trPr>
          <w:trHeight w:val="255"/>
          <w:tblHeader/>
        </w:trPr>
        <w:tc>
          <w:tcPr>
            <w:tcW w:w="1577" w:type="dxa"/>
            <w:noWrap/>
            <w:hideMark/>
          </w:tcPr>
          <w:p w14:paraId="3CCDA9F6" w14:textId="77777777" w:rsidR="00CB540F" w:rsidRPr="004E6EF0" w:rsidRDefault="00CB540F" w:rsidP="007D5029">
            <w:pPr>
              <w:spacing w:line="240" w:lineRule="auto"/>
              <w:rPr>
                <w:rFonts w:cs="Arial"/>
                <w:color w:val="auto"/>
                <w:lang w:eastAsia="en-AU"/>
              </w:rPr>
            </w:pPr>
            <w:r w:rsidRPr="004E6EF0">
              <w:rPr>
                <w:rFonts w:cs="Arial"/>
                <w:color w:val="auto"/>
                <w:lang w:eastAsia="en-AU"/>
              </w:rPr>
              <w:t>25</w:t>
            </w:r>
          </w:p>
        </w:tc>
        <w:tc>
          <w:tcPr>
            <w:tcW w:w="7603" w:type="dxa"/>
            <w:noWrap/>
            <w:hideMark/>
          </w:tcPr>
          <w:p w14:paraId="38FE10F8" w14:textId="77777777" w:rsidR="00CB540F" w:rsidRPr="004E6EF0" w:rsidRDefault="00CB540F" w:rsidP="007D5029">
            <w:pPr>
              <w:spacing w:line="240" w:lineRule="auto"/>
              <w:rPr>
                <w:rFonts w:cs="Arial"/>
                <w:color w:val="auto"/>
                <w:lang w:eastAsia="en-AU"/>
              </w:rPr>
            </w:pPr>
            <w:r w:rsidRPr="004E6EF0">
              <w:rPr>
                <w:rFonts w:cs="Arial"/>
                <w:color w:val="auto"/>
                <w:lang w:eastAsia="en-AU"/>
              </w:rPr>
              <w:t>University of Wollongong</w:t>
            </w:r>
          </w:p>
        </w:tc>
      </w:tr>
      <w:tr w:rsidR="00CB540F" w:rsidRPr="004E6EF0" w14:paraId="1C04779F" w14:textId="77777777" w:rsidTr="00A2598E">
        <w:trPr>
          <w:trHeight w:val="255"/>
          <w:tblHeader/>
        </w:trPr>
        <w:tc>
          <w:tcPr>
            <w:tcW w:w="1577" w:type="dxa"/>
            <w:noWrap/>
            <w:hideMark/>
          </w:tcPr>
          <w:p w14:paraId="2774C7E4" w14:textId="77777777" w:rsidR="00CB540F" w:rsidRPr="004E6EF0" w:rsidRDefault="00CB540F" w:rsidP="007D5029">
            <w:pPr>
              <w:spacing w:line="240" w:lineRule="auto"/>
              <w:rPr>
                <w:rFonts w:cs="Arial"/>
                <w:color w:val="auto"/>
                <w:lang w:eastAsia="en-AU"/>
              </w:rPr>
            </w:pPr>
            <w:r w:rsidRPr="004E6EF0">
              <w:rPr>
                <w:rFonts w:cs="Arial"/>
                <w:color w:val="auto"/>
                <w:lang w:eastAsia="en-AU"/>
              </w:rPr>
              <w:t>26</w:t>
            </w:r>
          </w:p>
        </w:tc>
        <w:tc>
          <w:tcPr>
            <w:tcW w:w="7603" w:type="dxa"/>
            <w:noWrap/>
            <w:hideMark/>
          </w:tcPr>
          <w:p w14:paraId="46253238" w14:textId="77777777" w:rsidR="00CB540F" w:rsidRPr="004E6EF0" w:rsidRDefault="00CB540F" w:rsidP="007D5029">
            <w:pPr>
              <w:spacing w:line="240" w:lineRule="auto"/>
              <w:rPr>
                <w:rFonts w:cs="Arial"/>
                <w:color w:val="auto"/>
                <w:lang w:eastAsia="en-AU"/>
              </w:rPr>
            </w:pPr>
            <w:r w:rsidRPr="004E6EF0">
              <w:rPr>
                <w:rFonts w:cs="Arial"/>
                <w:color w:val="auto"/>
                <w:lang w:eastAsia="en-AU"/>
              </w:rPr>
              <w:t>CRC for Low Carbon Living</w:t>
            </w:r>
          </w:p>
        </w:tc>
      </w:tr>
      <w:tr w:rsidR="00CB540F" w:rsidRPr="004E6EF0" w14:paraId="0DCD865E" w14:textId="77777777" w:rsidTr="00A2598E">
        <w:trPr>
          <w:trHeight w:val="255"/>
          <w:tblHeader/>
        </w:trPr>
        <w:tc>
          <w:tcPr>
            <w:tcW w:w="1577" w:type="dxa"/>
            <w:noWrap/>
            <w:hideMark/>
          </w:tcPr>
          <w:p w14:paraId="726DCA1A" w14:textId="77777777" w:rsidR="00CB540F" w:rsidRPr="004E6EF0" w:rsidRDefault="00CB540F" w:rsidP="007D5029">
            <w:pPr>
              <w:spacing w:line="240" w:lineRule="auto"/>
              <w:rPr>
                <w:rFonts w:cs="Arial"/>
                <w:color w:val="auto"/>
                <w:lang w:eastAsia="en-AU"/>
              </w:rPr>
            </w:pPr>
            <w:r w:rsidRPr="004E6EF0">
              <w:rPr>
                <w:rFonts w:cs="Arial"/>
                <w:color w:val="auto"/>
                <w:lang w:eastAsia="en-AU"/>
              </w:rPr>
              <w:t>27</w:t>
            </w:r>
          </w:p>
        </w:tc>
        <w:tc>
          <w:tcPr>
            <w:tcW w:w="7603" w:type="dxa"/>
            <w:noWrap/>
            <w:hideMark/>
          </w:tcPr>
          <w:p w14:paraId="78EF4240"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Nathan </w:t>
            </w:r>
            <w:proofErr w:type="spellStart"/>
            <w:r w:rsidRPr="004E6EF0">
              <w:rPr>
                <w:rFonts w:cs="Arial"/>
                <w:color w:val="auto"/>
                <w:lang w:eastAsia="en-AU"/>
              </w:rPr>
              <w:t>Bindoff</w:t>
            </w:r>
            <w:proofErr w:type="spellEnd"/>
          </w:p>
        </w:tc>
      </w:tr>
      <w:tr w:rsidR="00CB540F" w:rsidRPr="004E6EF0" w14:paraId="0D97BEC0" w14:textId="77777777" w:rsidTr="00A2598E">
        <w:trPr>
          <w:trHeight w:val="255"/>
          <w:tblHeader/>
        </w:trPr>
        <w:tc>
          <w:tcPr>
            <w:tcW w:w="1577" w:type="dxa"/>
            <w:noWrap/>
            <w:hideMark/>
          </w:tcPr>
          <w:p w14:paraId="20A87408" w14:textId="77777777" w:rsidR="00CB540F" w:rsidRPr="004E6EF0" w:rsidRDefault="00CB540F" w:rsidP="007D5029">
            <w:pPr>
              <w:spacing w:line="240" w:lineRule="auto"/>
              <w:rPr>
                <w:rFonts w:cs="Arial"/>
                <w:color w:val="auto"/>
                <w:lang w:eastAsia="en-AU"/>
              </w:rPr>
            </w:pPr>
            <w:r w:rsidRPr="004E6EF0">
              <w:rPr>
                <w:rFonts w:cs="Arial"/>
                <w:color w:val="auto"/>
                <w:lang w:eastAsia="en-AU"/>
              </w:rPr>
              <w:t>28</w:t>
            </w:r>
          </w:p>
        </w:tc>
        <w:tc>
          <w:tcPr>
            <w:tcW w:w="7603" w:type="dxa"/>
            <w:noWrap/>
            <w:hideMark/>
          </w:tcPr>
          <w:p w14:paraId="79780D00" w14:textId="77777777" w:rsidR="00CB540F" w:rsidRPr="004E6EF0" w:rsidRDefault="00CB540F" w:rsidP="007D5029">
            <w:pPr>
              <w:spacing w:line="240" w:lineRule="auto"/>
              <w:rPr>
                <w:rFonts w:cs="Arial"/>
                <w:color w:val="auto"/>
                <w:lang w:eastAsia="en-AU"/>
              </w:rPr>
            </w:pPr>
            <w:r w:rsidRPr="004E6EF0">
              <w:rPr>
                <w:rFonts w:cs="Arial"/>
                <w:color w:val="auto"/>
                <w:lang w:eastAsia="en-AU"/>
              </w:rPr>
              <w:t>University of Tasmania</w:t>
            </w:r>
          </w:p>
        </w:tc>
      </w:tr>
      <w:tr w:rsidR="00CB540F" w:rsidRPr="004E6EF0" w14:paraId="1B061284" w14:textId="77777777" w:rsidTr="00A2598E">
        <w:trPr>
          <w:trHeight w:val="255"/>
          <w:tblHeader/>
        </w:trPr>
        <w:tc>
          <w:tcPr>
            <w:tcW w:w="1577" w:type="dxa"/>
            <w:noWrap/>
            <w:hideMark/>
          </w:tcPr>
          <w:p w14:paraId="117D8812" w14:textId="77777777" w:rsidR="00CB540F" w:rsidRPr="004E6EF0" w:rsidRDefault="00CB540F" w:rsidP="007D5029">
            <w:pPr>
              <w:spacing w:line="240" w:lineRule="auto"/>
              <w:rPr>
                <w:rFonts w:cs="Arial"/>
                <w:color w:val="auto"/>
                <w:lang w:eastAsia="en-AU"/>
              </w:rPr>
            </w:pPr>
            <w:r w:rsidRPr="004E6EF0">
              <w:rPr>
                <w:rFonts w:cs="Arial"/>
                <w:color w:val="auto"/>
                <w:lang w:eastAsia="en-AU"/>
              </w:rPr>
              <w:t>29</w:t>
            </w:r>
          </w:p>
        </w:tc>
        <w:tc>
          <w:tcPr>
            <w:tcW w:w="7603" w:type="dxa"/>
            <w:noWrap/>
            <w:hideMark/>
          </w:tcPr>
          <w:p w14:paraId="17D9D67C" w14:textId="77777777" w:rsidR="00CB540F" w:rsidRPr="004E6EF0" w:rsidRDefault="00CB540F" w:rsidP="007D5029">
            <w:pPr>
              <w:spacing w:line="240" w:lineRule="auto"/>
              <w:rPr>
                <w:rFonts w:cs="Arial"/>
                <w:color w:val="auto"/>
                <w:lang w:eastAsia="en-AU"/>
              </w:rPr>
            </w:pPr>
            <w:r w:rsidRPr="004E6EF0">
              <w:rPr>
                <w:rFonts w:cs="Arial"/>
                <w:color w:val="auto"/>
                <w:lang w:eastAsia="en-AU"/>
              </w:rPr>
              <w:t>Murdoch University</w:t>
            </w:r>
          </w:p>
        </w:tc>
      </w:tr>
      <w:tr w:rsidR="00CB540F" w:rsidRPr="004E6EF0" w14:paraId="4A882CA9" w14:textId="77777777" w:rsidTr="00A2598E">
        <w:trPr>
          <w:trHeight w:val="255"/>
          <w:tblHeader/>
        </w:trPr>
        <w:tc>
          <w:tcPr>
            <w:tcW w:w="1577" w:type="dxa"/>
            <w:noWrap/>
            <w:hideMark/>
          </w:tcPr>
          <w:p w14:paraId="5300FFA9" w14:textId="77777777" w:rsidR="00CB540F" w:rsidRPr="004E6EF0" w:rsidRDefault="00CB540F" w:rsidP="007D5029">
            <w:pPr>
              <w:spacing w:line="240" w:lineRule="auto"/>
              <w:rPr>
                <w:rFonts w:cs="Arial"/>
                <w:color w:val="auto"/>
                <w:lang w:eastAsia="en-AU"/>
              </w:rPr>
            </w:pPr>
            <w:r w:rsidRPr="004E6EF0">
              <w:rPr>
                <w:rFonts w:cs="Arial"/>
                <w:color w:val="auto"/>
                <w:lang w:eastAsia="en-AU"/>
              </w:rPr>
              <w:t>30</w:t>
            </w:r>
          </w:p>
        </w:tc>
        <w:tc>
          <w:tcPr>
            <w:tcW w:w="7603" w:type="dxa"/>
            <w:hideMark/>
          </w:tcPr>
          <w:p w14:paraId="685CC897" w14:textId="77777777" w:rsidR="00CB540F" w:rsidRPr="004E6EF0" w:rsidRDefault="00CB540F" w:rsidP="007D5029">
            <w:pPr>
              <w:spacing w:line="240" w:lineRule="auto"/>
              <w:rPr>
                <w:rFonts w:cs="Arial"/>
                <w:color w:val="auto"/>
                <w:lang w:eastAsia="en-AU"/>
              </w:rPr>
            </w:pPr>
            <w:r w:rsidRPr="004E6EF0">
              <w:rPr>
                <w:rFonts w:cs="Arial"/>
                <w:color w:val="auto"/>
                <w:lang w:eastAsia="en-AU"/>
              </w:rPr>
              <w:t>James Rowe</w:t>
            </w:r>
          </w:p>
        </w:tc>
      </w:tr>
      <w:tr w:rsidR="00CB540F" w:rsidRPr="004E6EF0" w14:paraId="4D4CA40B" w14:textId="77777777" w:rsidTr="00A2598E">
        <w:trPr>
          <w:trHeight w:val="255"/>
          <w:tblHeader/>
        </w:trPr>
        <w:tc>
          <w:tcPr>
            <w:tcW w:w="1577" w:type="dxa"/>
            <w:noWrap/>
            <w:hideMark/>
          </w:tcPr>
          <w:p w14:paraId="65262722" w14:textId="77777777" w:rsidR="00CB540F" w:rsidRPr="004E6EF0" w:rsidRDefault="00CB540F" w:rsidP="007D5029">
            <w:pPr>
              <w:spacing w:line="240" w:lineRule="auto"/>
              <w:rPr>
                <w:rFonts w:cs="Arial"/>
                <w:color w:val="auto"/>
                <w:lang w:eastAsia="en-AU"/>
              </w:rPr>
            </w:pPr>
            <w:r w:rsidRPr="004E6EF0">
              <w:rPr>
                <w:rFonts w:cs="Arial"/>
                <w:color w:val="auto"/>
                <w:lang w:eastAsia="en-AU"/>
              </w:rPr>
              <w:t>31</w:t>
            </w:r>
          </w:p>
        </w:tc>
        <w:tc>
          <w:tcPr>
            <w:tcW w:w="7603" w:type="dxa"/>
            <w:hideMark/>
          </w:tcPr>
          <w:p w14:paraId="03B83818" w14:textId="77777777" w:rsidR="00CB540F" w:rsidRPr="004E6EF0" w:rsidRDefault="00CB540F" w:rsidP="007D5029">
            <w:pPr>
              <w:spacing w:line="240" w:lineRule="auto"/>
              <w:rPr>
                <w:rFonts w:cs="Arial"/>
                <w:color w:val="auto"/>
                <w:lang w:eastAsia="en-AU"/>
              </w:rPr>
            </w:pPr>
            <w:r w:rsidRPr="004E6EF0">
              <w:rPr>
                <w:rFonts w:cs="Arial"/>
                <w:color w:val="auto"/>
                <w:lang w:eastAsia="en-AU"/>
              </w:rPr>
              <w:t>EW Group</w:t>
            </w:r>
          </w:p>
        </w:tc>
      </w:tr>
      <w:tr w:rsidR="00CB540F" w:rsidRPr="004E6EF0" w14:paraId="5F90E02B" w14:textId="77777777" w:rsidTr="00A2598E">
        <w:trPr>
          <w:trHeight w:val="255"/>
          <w:tblHeader/>
        </w:trPr>
        <w:tc>
          <w:tcPr>
            <w:tcW w:w="1577" w:type="dxa"/>
            <w:noWrap/>
            <w:hideMark/>
          </w:tcPr>
          <w:p w14:paraId="103E2419" w14:textId="77777777" w:rsidR="00CB540F" w:rsidRPr="004E6EF0" w:rsidRDefault="00CB540F" w:rsidP="007D5029">
            <w:pPr>
              <w:spacing w:line="240" w:lineRule="auto"/>
              <w:rPr>
                <w:rFonts w:cs="Arial"/>
                <w:color w:val="auto"/>
                <w:lang w:eastAsia="en-AU"/>
              </w:rPr>
            </w:pPr>
            <w:r w:rsidRPr="004E6EF0">
              <w:rPr>
                <w:rFonts w:cs="Arial"/>
                <w:color w:val="auto"/>
                <w:lang w:eastAsia="en-AU"/>
              </w:rPr>
              <w:t>32</w:t>
            </w:r>
          </w:p>
        </w:tc>
        <w:tc>
          <w:tcPr>
            <w:tcW w:w="7603" w:type="dxa"/>
            <w:hideMark/>
          </w:tcPr>
          <w:p w14:paraId="3AFB8E5A"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Bioproperties</w:t>
            </w:r>
            <w:proofErr w:type="spellEnd"/>
            <w:r w:rsidRPr="004E6EF0">
              <w:rPr>
                <w:rFonts w:cs="Arial"/>
                <w:color w:val="auto"/>
                <w:lang w:eastAsia="en-AU"/>
              </w:rPr>
              <w:t xml:space="preserve"> Pty Ltd</w:t>
            </w:r>
          </w:p>
        </w:tc>
      </w:tr>
      <w:tr w:rsidR="00CB540F" w:rsidRPr="004E6EF0" w14:paraId="2D8830D2" w14:textId="77777777" w:rsidTr="00A2598E">
        <w:trPr>
          <w:trHeight w:val="255"/>
          <w:tblHeader/>
        </w:trPr>
        <w:tc>
          <w:tcPr>
            <w:tcW w:w="1577" w:type="dxa"/>
            <w:noWrap/>
            <w:hideMark/>
          </w:tcPr>
          <w:p w14:paraId="53F4CAC7" w14:textId="77777777" w:rsidR="00CB540F" w:rsidRPr="004E6EF0" w:rsidRDefault="00CB540F" w:rsidP="007D5029">
            <w:pPr>
              <w:spacing w:line="240" w:lineRule="auto"/>
              <w:rPr>
                <w:rFonts w:cs="Arial"/>
                <w:color w:val="auto"/>
                <w:lang w:eastAsia="en-AU"/>
              </w:rPr>
            </w:pPr>
            <w:r w:rsidRPr="004E6EF0">
              <w:rPr>
                <w:rFonts w:cs="Arial"/>
                <w:color w:val="auto"/>
                <w:lang w:eastAsia="en-AU"/>
              </w:rPr>
              <w:t>33</w:t>
            </w:r>
          </w:p>
        </w:tc>
        <w:tc>
          <w:tcPr>
            <w:tcW w:w="7603" w:type="dxa"/>
            <w:hideMark/>
          </w:tcPr>
          <w:p w14:paraId="7114297A" w14:textId="77777777" w:rsidR="00CB540F" w:rsidRPr="004E6EF0" w:rsidRDefault="00CB540F" w:rsidP="007D5029">
            <w:pPr>
              <w:spacing w:line="240" w:lineRule="auto"/>
              <w:rPr>
                <w:rFonts w:cs="Arial"/>
                <w:color w:val="auto"/>
                <w:lang w:eastAsia="en-AU"/>
              </w:rPr>
            </w:pPr>
            <w:r w:rsidRPr="004E6EF0">
              <w:rPr>
                <w:rFonts w:cs="Arial"/>
                <w:color w:val="auto"/>
                <w:lang w:eastAsia="en-AU"/>
              </w:rPr>
              <w:t>Poultry CRC</w:t>
            </w:r>
          </w:p>
        </w:tc>
      </w:tr>
      <w:tr w:rsidR="00CB540F" w:rsidRPr="004E6EF0" w14:paraId="6A3D0207" w14:textId="77777777" w:rsidTr="00A2598E">
        <w:trPr>
          <w:trHeight w:val="255"/>
          <w:tblHeader/>
        </w:trPr>
        <w:tc>
          <w:tcPr>
            <w:tcW w:w="1577" w:type="dxa"/>
            <w:noWrap/>
            <w:hideMark/>
          </w:tcPr>
          <w:p w14:paraId="5CC5B9BC" w14:textId="77777777" w:rsidR="00CB540F" w:rsidRPr="004E6EF0" w:rsidRDefault="00CB540F" w:rsidP="007D5029">
            <w:pPr>
              <w:spacing w:line="240" w:lineRule="auto"/>
              <w:rPr>
                <w:rFonts w:cs="Arial"/>
                <w:color w:val="auto"/>
                <w:lang w:eastAsia="en-AU"/>
              </w:rPr>
            </w:pPr>
            <w:r w:rsidRPr="004E6EF0">
              <w:rPr>
                <w:rFonts w:cs="Arial"/>
                <w:color w:val="auto"/>
                <w:lang w:eastAsia="en-AU"/>
              </w:rPr>
              <w:t>34</w:t>
            </w:r>
          </w:p>
        </w:tc>
        <w:tc>
          <w:tcPr>
            <w:tcW w:w="7603" w:type="dxa"/>
            <w:hideMark/>
          </w:tcPr>
          <w:p w14:paraId="28734C25" w14:textId="77777777" w:rsidR="00CB540F" w:rsidRPr="004E6EF0" w:rsidRDefault="00CB540F" w:rsidP="007D5029">
            <w:pPr>
              <w:spacing w:line="240" w:lineRule="auto"/>
              <w:rPr>
                <w:rFonts w:cs="Arial"/>
                <w:color w:val="auto"/>
                <w:lang w:eastAsia="en-AU"/>
              </w:rPr>
            </w:pPr>
            <w:r w:rsidRPr="004E6EF0">
              <w:rPr>
                <w:rFonts w:cs="Arial"/>
                <w:color w:val="auto"/>
                <w:lang w:eastAsia="en-AU"/>
              </w:rPr>
              <w:t>Data to Decisions  CRC</w:t>
            </w:r>
          </w:p>
        </w:tc>
      </w:tr>
      <w:tr w:rsidR="00CB540F" w:rsidRPr="004E6EF0" w14:paraId="21B1A409" w14:textId="77777777" w:rsidTr="00A2598E">
        <w:trPr>
          <w:trHeight w:val="255"/>
          <w:tblHeader/>
        </w:trPr>
        <w:tc>
          <w:tcPr>
            <w:tcW w:w="1577" w:type="dxa"/>
            <w:noWrap/>
            <w:hideMark/>
          </w:tcPr>
          <w:p w14:paraId="4183B789" w14:textId="77777777" w:rsidR="00CB540F" w:rsidRPr="004E6EF0" w:rsidRDefault="00CB540F" w:rsidP="007D5029">
            <w:pPr>
              <w:spacing w:line="240" w:lineRule="auto"/>
              <w:rPr>
                <w:rFonts w:cs="Arial"/>
                <w:color w:val="auto"/>
                <w:lang w:eastAsia="en-AU"/>
              </w:rPr>
            </w:pPr>
            <w:r w:rsidRPr="004E6EF0">
              <w:rPr>
                <w:rFonts w:cs="Arial"/>
                <w:color w:val="auto"/>
                <w:lang w:eastAsia="en-AU"/>
              </w:rPr>
              <w:t>35</w:t>
            </w:r>
          </w:p>
        </w:tc>
        <w:tc>
          <w:tcPr>
            <w:tcW w:w="7603" w:type="dxa"/>
            <w:hideMark/>
          </w:tcPr>
          <w:p w14:paraId="7524D94F"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Bushfire CRC </w:t>
            </w:r>
          </w:p>
        </w:tc>
      </w:tr>
      <w:tr w:rsidR="00CB540F" w:rsidRPr="004E6EF0" w14:paraId="760A29D2" w14:textId="77777777" w:rsidTr="00A2598E">
        <w:trPr>
          <w:trHeight w:val="255"/>
          <w:tblHeader/>
        </w:trPr>
        <w:tc>
          <w:tcPr>
            <w:tcW w:w="1577" w:type="dxa"/>
            <w:noWrap/>
            <w:hideMark/>
          </w:tcPr>
          <w:p w14:paraId="36EEBC2B" w14:textId="77777777" w:rsidR="00CB540F" w:rsidRPr="004E6EF0" w:rsidRDefault="00CB540F" w:rsidP="007D5029">
            <w:pPr>
              <w:spacing w:line="240" w:lineRule="auto"/>
              <w:rPr>
                <w:rFonts w:cs="Arial"/>
                <w:color w:val="auto"/>
                <w:lang w:eastAsia="en-AU"/>
              </w:rPr>
            </w:pPr>
            <w:r w:rsidRPr="004E6EF0">
              <w:rPr>
                <w:rFonts w:cs="Arial"/>
                <w:color w:val="auto"/>
                <w:lang w:eastAsia="en-AU"/>
              </w:rPr>
              <w:t>36</w:t>
            </w:r>
          </w:p>
        </w:tc>
        <w:tc>
          <w:tcPr>
            <w:tcW w:w="7603" w:type="dxa"/>
            <w:hideMark/>
          </w:tcPr>
          <w:p w14:paraId="7FB5A1B9"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Energy Pipelines CRC </w:t>
            </w:r>
          </w:p>
        </w:tc>
      </w:tr>
      <w:tr w:rsidR="00CB540F" w:rsidRPr="004E6EF0" w14:paraId="27A1FB6D" w14:textId="77777777" w:rsidTr="00A2598E">
        <w:trPr>
          <w:trHeight w:val="255"/>
          <w:tblHeader/>
        </w:trPr>
        <w:tc>
          <w:tcPr>
            <w:tcW w:w="1577" w:type="dxa"/>
            <w:noWrap/>
            <w:hideMark/>
          </w:tcPr>
          <w:p w14:paraId="7EF3419D" w14:textId="77777777" w:rsidR="00CB540F" w:rsidRPr="004E6EF0" w:rsidRDefault="00CB540F" w:rsidP="007D5029">
            <w:pPr>
              <w:spacing w:line="240" w:lineRule="auto"/>
              <w:rPr>
                <w:rFonts w:cs="Arial"/>
                <w:color w:val="auto"/>
                <w:lang w:eastAsia="en-AU"/>
              </w:rPr>
            </w:pPr>
            <w:r w:rsidRPr="004E6EF0">
              <w:rPr>
                <w:rFonts w:cs="Arial"/>
                <w:color w:val="auto"/>
                <w:lang w:eastAsia="en-AU"/>
              </w:rPr>
              <w:t>37</w:t>
            </w:r>
          </w:p>
        </w:tc>
        <w:tc>
          <w:tcPr>
            <w:tcW w:w="7603" w:type="dxa"/>
            <w:hideMark/>
          </w:tcPr>
          <w:p w14:paraId="55292CA1"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GPA Engineering </w:t>
            </w:r>
          </w:p>
        </w:tc>
      </w:tr>
      <w:tr w:rsidR="00CB540F" w:rsidRPr="004E6EF0" w14:paraId="7C49F907" w14:textId="77777777" w:rsidTr="00A2598E">
        <w:trPr>
          <w:trHeight w:val="255"/>
          <w:tblHeader/>
        </w:trPr>
        <w:tc>
          <w:tcPr>
            <w:tcW w:w="1577" w:type="dxa"/>
            <w:noWrap/>
            <w:hideMark/>
          </w:tcPr>
          <w:p w14:paraId="0C373D66" w14:textId="77777777" w:rsidR="00CB540F" w:rsidRPr="004E6EF0" w:rsidRDefault="00CB540F" w:rsidP="007D5029">
            <w:pPr>
              <w:spacing w:line="240" w:lineRule="auto"/>
              <w:rPr>
                <w:rFonts w:cs="Arial"/>
                <w:color w:val="auto"/>
                <w:lang w:eastAsia="en-AU"/>
              </w:rPr>
            </w:pPr>
            <w:r w:rsidRPr="004E6EF0">
              <w:rPr>
                <w:rFonts w:cs="Arial"/>
                <w:color w:val="auto"/>
                <w:lang w:eastAsia="en-AU"/>
              </w:rPr>
              <w:t>38</w:t>
            </w:r>
          </w:p>
        </w:tc>
        <w:tc>
          <w:tcPr>
            <w:tcW w:w="7603" w:type="dxa"/>
            <w:hideMark/>
          </w:tcPr>
          <w:p w14:paraId="3E3B1964"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Professional Scientists Australia </w:t>
            </w:r>
          </w:p>
        </w:tc>
      </w:tr>
      <w:tr w:rsidR="00CB540F" w:rsidRPr="004E6EF0" w14:paraId="3DF240D3" w14:textId="77777777" w:rsidTr="00A2598E">
        <w:trPr>
          <w:trHeight w:val="70"/>
          <w:tblHeader/>
        </w:trPr>
        <w:tc>
          <w:tcPr>
            <w:tcW w:w="1577" w:type="dxa"/>
            <w:noWrap/>
            <w:hideMark/>
          </w:tcPr>
          <w:p w14:paraId="3CE36A5E" w14:textId="77777777" w:rsidR="00CB540F" w:rsidRPr="004E6EF0" w:rsidRDefault="00CB540F" w:rsidP="007D5029">
            <w:pPr>
              <w:spacing w:line="240" w:lineRule="auto"/>
              <w:rPr>
                <w:rFonts w:cs="Arial"/>
                <w:color w:val="auto"/>
                <w:lang w:eastAsia="en-AU"/>
              </w:rPr>
            </w:pPr>
            <w:r w:rsidRPr="004E6EF0">
              <w:rPr>
                <w:rFonts w:cs="Arial"/>
                <w:color w:val="auto"/>
                <w:lang w:eastAsia="en-AU"/>
              </w:rPr>
              <w:t>39</w:t>
            </w:r>
          </w:p>
        </w:tc>
        <w:tc>
          <w:tcPr>
            <w:tcW w:w="7603" w:type="dxa"/>
            <w:hideMark/>
          </w:tcPr>
          <w:p w14:paraId="7B74767B" w14:textId="77777777" w:rsidR="00CB540F" w:rsidRPr="004E6EF0" w:rsidRDefault="00CB540F" w:rsidP="007D5029">
            <w:pPr>
              <w:spacing w:line="240" w:lineRule="auto"/>
              <w:rPr>
                <w:rFonts w:cs="Arial"/>
                <w:color w:val="auto"/>
                <w:lang w:eastAsia="en-AU"/>
              </w:rPr>
            </w:pPr>
            <w:r w:rsidRPr="004E6EF0">
              <w:rPr>
                <w:rFonts w:cs="Arial"/>
                <w:color w:val="auto"/>
                <w:lang w:eastAsia="en-AU"/>
              </w:rPr>
              <w:t>Office of Science and Research within NSW Trade &amp; Investment</w:t>
            </w:r>
          </w:p>
        </w:tc>
      </w:tr>
      <w:tr w:rsidR="00CB540F" w:rsidRPr="004E6EF0" w14:paraId="4814A363" w14:textId="77777777" w:rsidTr="00A2598E">
        <w:trPr>
          <w:trHeight w:val="255"/>
          <w:tblHeader/>
        </w:trPr>
        <w:tc>
          <w:tcPr>
            <w:tcW w:w="1577" w:type="dxa"/>
            <w:noWrap/>
            <w:hideMark/>
          </w:tcPr>
          <w:p w14:paraId="11ADA6F6" w14:textId="77777777" w:rsidR="00CB540F" w:rsidRPr="004E6EF0" w:rsidRDefault="00CB540F" w:rsidP="007D5029">
            <w:pPr>
              <w:spacing w:line="240" w:lineRule="auto"/>
              <w:rPr>
                <w:rFonts w:cs="Arial"/>
                <w:color w:val="auto"/>
                <w:lang w:eastAsia="en-AU"/>
              </w:rPr>
            </w:pPr>
            <w:r w:rsidRPr="004E6EF0">
              <w:rPr>
                <w:rFonts w:cs="Arial"/>
                <w:color w:val="auto"/>
                <w:lang w:eastAsia="en-AU"/>
              </w:rPr>
              <w:t>40</w:t>
            </w:r>
          </w:p>
        </w:tc>
        <w:tc>
          <w:tcPr>
            <w:tcW w:w="7603" w:type="dxa"/>
            <w:hideMark/>
          </w:tcPr>
          <w:p w14:paraId="4DEAE9B5"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Australian Pipeline Industry Association</w:t>
            </w:r>
          </w:p>
        </w:tc>
      </w:tr>
      <w:tr w:rsidR="00CB540F" w:rsidRPr="004E6EF0" w14:paraId="04D7218D" w14:textId="77777777" w:rsidTr="00A2598E">
        <w:trPr>
          <w:trHeight w:val="255"/>
          <w:tblHeader/>
        </w:trPr>
        <w:tc>
          <w:tcPr>
            <w:tcW w:w="1577" w:type="dxa"/>
            <w:noWrap/>
            <w:hideMark/>
          </w:tcPr>
          <w:p w14:paraId="5ACCF69D" w14:textId="77777777" w:rsidR="00CB540F" w:rsidRPr="004E6EF0" w:rsidRDefault="00CB540F" w:rsidP="007D5029">
            <w:pPr>
              <w:spacing w:line="240" w:lineRule="auto"/>
              <w:rPr>
                <w:rFonts w:cs="Arial"/>
                <w:color w:val="auto"/>
                <w:lang w:eastAsia="en-AU"/>
              </w:rPr>
            </w:pPr>
            <w:r w:rsidRPr="004E6EF0">
              <w:rPr>
                <w:rFonts w:cs="Arial"/>
                <w:color w:val="auto"/>
                <w:lang w:eastAsia="en-AU"/>
              </w:rPr>
              <w:t>41</w:t>
            </w:r>
          </w:p>
        </w:tc>
        <w:tc>
          <w:tcPr>
            <w:tcW w:w="7603" w:type="dxa"/>
            <w:hideMark/>
          </w:tcPr>
          <w:p w14:paraId="041DC339"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Hatch Pty Ltd </w:t>
            </w:r>
          </w:p>
        </w:tc>
      </w:tr>
      <w:tr w:rsidR="00CB540F" w:rsidRPr="004E6EF0" w14:paraId="40DA0EFA" w14:textId="77777777" w:rsidTr="00A2598E">
        <w:trPr>
          <w:trHeight w:val="255"/>
          <w:tblHeader/>
        </w:trPr>
        <w:tc>
          <w:tcPr>
            <w:tcW w:w="1577" w:type="dxa"/>
            <w:noWrap/>
            <w:hideMark/>
          </w:tcPr>
          <w:p w14:paraId="4C2EC868" w14:textId="77777777" w:rsidR="00CB540F" w:rsidRPr="004E6EF0" w:rsidRDefault="00CB540F" w:rsidP="007D5029">
            <w:pPr>
              <w:spacing w:line="240" w:lineRule="auto"/>
              <w:rPr>
                <w:rFonts w:cs="Arial"/>
                <w:color w:val="auto"/>
                <w:lang w:eastAsia="en-AU"/>
              </w:rPr>
            </w:pPr>
            <w:r w:rsidRPr="004E6EF0">
              <w:rPr>
                <w:rFonts w:cs="Arial"/>
                <w:color w:val="auto"/>
                <w:lang w:eastAsia="en-AU"/>
              </w:rPr>
              <w:t>42</w:t>
            </w:r>
          </w:p>
        </w:tc>
        <w:tc>
          <w:tcPr>
            <w:tcW w:w="7603" w:type="dxa"/>
            <w:hideMark/>
          </w:tcPr>
          <w:p w14:paraId="39CB21BC"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Australian Small Business Commissioner</w:t>
            </w:r>
          </w:p>
        </w:tc>
      </w:tr>
      <w:tr w:rsidR="00CB540F" w:rsidRPr="004E6EF0" w14:paraId="2FD52352" w14:textId="77777777" w:rsidTr="00A2598E">
        <w:trPr>
          <w:trHeight w:val="60"/>
          <w:tblHeader/>
        </w:trPr>
        <w:tc>
          <w:tcPr>
            <w:tcW w:w="1577" w:type="dxa"/>
            <w:noWrap/>
            <w:hideMark/>
          </w:tcPr>
          <w:p w14:paraId="087D52F5" w14:textId="77777777" w:rsidR="00CB540F" w:rsidRPr="004E6EF0" w:rsidRDefault="00CB540F" w:rsidP="007D5029">
            <w:pPr>
              <w:spacing w:line="240" w:lineRule="auto"/>
              <w:rPr>
                <w:rFonts w:cs="Arial"/>
                <w:color w:val="auto"/>
                <w:lang w:eastAsia="en-AU"/>
              </w:rPr>
            </w:pPr>
            <w:r w:rsidRPr="004E6EF0">
              <w:rPr>
                <w:rFonts w:cs="Arial"/>
                <w:color w:val="auto"/>
                <w:lang w:eastAsia="en-AU"/>
              </w:rPr>
              <w:t>43</w:t>
            </w:r>
          </w:p>
        </w:tc>
        <w:tc>
          <w:tcPr>
            <w:tcW w:w="7603" w:type="dxa"/>
            <w:hideMark/>
          </w:tcPr>
          <w:p w14:paraId="4AE43514" w14:textId="77777777" w:rsidR="00CB540F" w:rsidRPr="004E6EF0" w:rsidRDefault="00CB540F" w:rsidP="007D5029">
            <w:pPr>
              <w:spacing w:line="240" w:lineRule="auto"/>
              <w:rPr>
                <w:rFonts w:cs="Arial"/>
                <w:color w:val="auto"/>
                <w:lang w:eastAsia="en-AU"/>
              </w:rPr>
            </w:pPr>
            <w:r w:rsidRPr="004E6EF0">
              <w:rPr>
                <w:rFonts w:cs="Arial"/>
                <w:color w:val="auto"/>
                <w:lang w:eastAsia="en-AU"/>
              </w:rPr>
              <w:t>Jim Arthur</w:t>
            </w:r>
          </w:p>
        </w:tc>
      </w:tr>
      <w:tr w:rsidR="00CB540F" w:rsidRPr="004E6EF0" w14:paraId="1FA75F12" w14:textId="77777777" w:rsidTr="00A2598E">
        <w:trPr>
          <w:trHeight w:val="255"/>
          <w:tblHeader/>
        </w:trPr>
        <w:tc>
          <w:tcPr>
            <w:tcW w:w="1577" w:type="dxa"/>
            <w:noWrap/>
            <w:hideMark/>
          </w:tcPr>
          <w:p w14:paraId="1EB8DF93" w14:textId="77777777" w:rsidR="00CB540F" w:rsidRPr="004E6EF0" w:rsidRDefault="00CB540F" w:rsidP="007D5029">
            <w:pPr>
              <w:spacing w:line="240" w:lineRule="auto"/>
              <w:rPr>
                <w:rFonts w:cs="Arial"/>
                <w:color w:val="auto"/>
                <w:lang w:eastAsia="en-AU"/>
              </w:rPr>
            </w:pPr>
            <w:r w:rsidRPr="004E6EF0">
              <w:rPr>
                <w:rFonts w:cs="Arial"/>
                <w:color w:val="auto"/>
                <w:lang w:eastAsia="en-AU"/>
              </w:rPr>
              <w:t>44</w:t>
            </w:r>
          </w:p>
        </w:tc>
        <w:tc>
          <w:tcPr>
            <w:tcW w:w="7603" w:type="dxa"/>
            <w:hideMark/>
          </w:tcPr>
          <w:p w14:paraId="3565DBA0"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ACT Parks and Conservation </w:t>
            </w:r>
          </w:p>
        </w:tc>
      </w:tr>
      <w:tr w:rsidR="00CB540F" w:rsidRPr="004E6EF0" w14:paraId="33D7D7F5" w14:textId="77777777" w:rsidTr="00A2598E">
        <w:trPr>
          <w:trHeight w:val="255"/>
          <w:tblHeader/>
        </w:trPr>
        <w:tc>
          <w:tcPr>
            <w:tcW w:w="1577" w:type="dxa"/>
            <w:noWrap/>
            <w:hideMark/>
          </w:tcPr>
          <w:p w14:paraId="72F6F620" w14:textId="77777777" w:rsidR="00CB540F" w:rsidRPr="004E6EF0" w:rsidRDefault="00CB540F" w:rsidP="007D5029">
            <w:pPr>
              <w:spacing w:line="240" w:lineRule="auto"/>
              <w:rPr>
                <w:rFonts w:cs="Arial"/>
                <w:color w:val="auto"/>
                <w:lang w:eastAsia="en-AU"/>
              </w:rPr>
            </w:pPr>
            <w:r w:rsidRPr="004E6EF0">
              <w:rPr>
                <w:rFonts w:cs="Arial"/>
                <w:color w:val="auto"/>
                <w:lang w:eastAsia="en-AU"/>
              </w:rPr>
              <w:lastRenderedPageBreak/>
              <w:t>45</w:t>
            </w:r>
          </w:p>
        </w:tc>
        <w:tc>
          <w:tcPr>
            <w:tcW w:w="7603" w:type="dxa"/>
            <w:hideMark/>
          </w:tcPr>
          <w:p w14:paraId="074D197F"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Boart</w:t>
            </w:r>
            <w:proofErr w:type="spellEnd"/>
            <w:r w:rsidRPr="004E6EF0">
              <w:rPr>
                <w:rFonts w:cs="Arial"/>
                <w:color w:val="auto"/>
                <w:lang w:eastAsia="en-AU"/>
              </w:rPr>
              <w:t xml:space="preserve"> </w:t>
            </w:r>
            <w:proofErr w:type="spellStart"/>
            <w:r w:rsidRPr="004E6EF0">
              <w:rPr>
                <w:rFonts w:cs="Arial"/>
                <w:color w:val="auto"/>
                <w:lang w:eastAsia="en-AU"/>
              </w:rPr>
              <w:t>Longyear</w:t>
            </w:r>
            <w:proofErr w:type="spellEnd"/>
          </w:p>
        </w:tc>
      </w:tr>
      <w:tr w:rsidR="00CB540F" w:rsidRPr="004E6EF0" w14:paraId="04FCAA9E" w14:textId="77777777" w:rsidTr="00A2598E">
        <w:trPr>
          <w:trHeight w:val="255"/>
          <w:tblHeader/>
        </w:trPr>
        <w:tc>
          <w:tcPr>
            <w:tcW w:w="1577" w:type="dxa"/>
            <w:noWrap/>
            <w:hideMark/>
          </w:tcPr>
          <w:p w14:paraId="7A849C08" w14:textId="77777777" w:rsidR="00CB540F" w:rsidRPr="004E6EF0" w:rsidRDefault="00CB540F" w:rsidP="007D5029">
            <w:pPr>
              <w:spacing w:line="240" w:lineRule="auto"/>
              <w:rPr>
                <w:rFonts w:cs="Arial"/>
                <w:color w:val="auto"/>
                <w:lang w:eastAsia="en-AU"/>
              </w:rPr>
            </w:pPr>
            <w:r w:rsidRPr="004E6EF0">
              <w:rPr>
                <w:rFonts w:cs="Arial"/>
                <w:color w:val="auto"/>
                <w:lang w:eastAsia="en-AU"/>
              </w:rPr>
              <w:t>46</w:t>
            </w:r>
          </w:p>
        </w:tc>
        <w:tc>
          <w:tcPr>
            <w:tcW w:w="7603" w:type="dxa"/>
            <w:hideMark/>
          </w:tcPr>
          <w:p w14:paraId="4C62CA6E" w14:textId="77777777" w:rsidR="00CB540F" w:rsidRPr="004E6EF0" w:rsidRDefault="00CB540F" w:rsidP="007D5029">
            <w:pPr>
              <w:spacing w:line="240" w:lineRule="auto"/>
              <w:rPr>
                <w:rFonts w:cs="Arial"/>
                <w:color w:val="auto"/>
                <w:lang w:eastAsia="en-AU"/>
              </w:rPr>
            </w:pPr>
            <w:r w:rsidRPr="004E6EF0">
              <w:rPr>
                <w:rFonts w:cs="Arial"/>
                <w:color w:val="auto"/>
                <w:lang w:eastAsia="en-AU"/>
              </w:rPr>
              <w:t>Mark Merritt</w:t>
            </w:r>
          </w:p>
        </w:tc>
      </w:tr>
      <w:tr w:rsidR="00CB540F" w:rsidRPr="004E6EF0" w14:paraId="3434D6FE" w14:textId="77777777" w:rsidTr="00A2598E">
        <w:trPr>
          <w:trHeight w:val="255"/>
          <w:tblHeader/>
        </w:trPr>
        <w:tc>
          <w:tcPr>
            <w:tcW w:w="1577" w:type="dxa"/>
            <w:noWrap/>
            <w:hideMark/>
          </w:tcPr>
          <w:p w14:paraId="6C2A1BE7" w14:textId="77777777" w:rsidR="00CB540F" w:rsidRPr="004E6EF0" w:rsidRDefault="00CB540F" w:rsidP="007D5029">
            <w:pPr>
              <w:spacing w:line="240" w:lineRule="auto"/>
              <w:rPr>
                <w:rFonts w:cs="Arial"/>
                <w:color w:val="auto"/>
                <w:lang w:eastAsia="en-AU"/>
              </w:rPr>
            </w:pPr>
            <w:r w:rsidRPr="004E6EF0">
              <w:rPr>
                <w:rFonts w:cs="Arial"/>
                <w:color w:val="auto"/>
                <w:lang w:eastAsia="en-AU"/>
              </w:rPr>
              <w:t>47</w:t>
            </w:r>
          </w:p>
        </w:tc>
        <w:tc>
          <w:tcPr>
            <w:tcW w:w="7603" w:type="dxa"/>
            <w:hideMark/>
          </w:tcPr>
          <w:p w14:paraId="267D6913" w14:textId="77777777" w:rsidR="00CB540F" w:rsidRPr="004E6EF0" w:rsidRDefault="00CB540F" w:rsidP="007D5029">
            <w:pPr>
              <w:spacing w:line="240" w:lineRule="auto"/>
              <w:rPr>
                <w:rFonts w:cs="Arial"/>
                <w:color w:val="auto"/>
                <w:lang w:eastAsia="en-AU"/>
              </w:rPr>
            </w:pPr>
            <w:r w:rsidRPr="004E6EF0">
              <w:rPr>
                <w:rFonts w:cs="Arial"/>
                <w:color w:val="auto"/>
                <w:lang w:eastAsia="en-AU"/>
              </w:rPr>
              <w:t>GC Australasia</w:t>
            </w:r>
          </w:p>
        </w:tc>
      </w:tr>
      <w:tr w:rsidR="00CB540F" w:rsidRPr="004E6EF0" w14:paraId="3C60C049" w14:textId="77777777" w:rsidTr="00A2598E">
        <w:trPr>
          <w:trHeight w:val="255"/>
          <w:tblHeader/>
        </w:trPr>
        <w:tc>
          <w:tcPr>
            <w:tcW w:w="1577" w:type="dxa"/>
            <w:noWrap/>
            <w:hideMark/>
          </w:tcPr>
          <w:p w14:paraId="6A28A6FC" w14:textId="77777777" w:rsidR="00CB540F" w:rsidRPr="004E6EF0" w:rsidRDefault="00CB540F" w:rsidP="007D5029">
            <w:pPr>
              <w:spacing w:line="240" w:lineRule="auto"/>
              <w:rPr>
                <w:rFonts w:cs="Arial"/>
                <w:color w:val="auto"/>
                <w:lang w:eastAsia="en-AU"/>
              </w:rPr>
            </w:pPr>
            <w:r w:rsidRPr="004E6EF0">
              <w:rPr>
                <w:rFonts w:cs="Arial"/>
                <w:color w:val="auto"/>
                <w:lang w:eastAsia="en-AU"/>
              </w:rPr>
              <w:t>48</w:t>
            </w:r>
          </w:p>
        </w:tc>
        <w:tc>
          <w:tcPr>
            <w:tcW w:w="7603" w:type="dxa"/>
            <w:hideMark/>
          </w:tcPr>
          <w:p w14:paraId="349B1426" w14:textId="77777777" w:rsidR="00CB540F" w:rsidRPr="004E6EF0" w:rsidRDefault="00CB540F" w:rsidP="007D5029">
            <w:pPr>
              <w:spacing w:line="240" w:lineRule="auto"/>
              <w:rPr>
                <w:rFonts w:cs="Arial"/>
                <w:color w:val="auto"/>
                <w:lang w:eastAsia="en-AU"/>
              </w:rPr>
            </w:pPr>
            <w:r w:rsidRPr="004E6EF0">
              <w:rPr>
                <w:rFonts w:cs="Arial"/>
                <w:color w:val="auto"/>
                <w:lang w:eastAsia="en-AU"/>
              </w:rPr>
              <w:t>Department of Conservation – NZ</w:t>
            </w:r>
          </w:p>
        </w:tc>
      </w:tr>
      <w:tr w:rsidR="00CB540F" w:rsidRPr="004E6EF0" w14:paraId="632CF841" w14:textId="77777777" w:rsidTr="00A2598E">
        <w:trPr>
          <w:trHeight w:val="255"/>
          <w:tblHeader/>
        </w:trPr>
        <w:tc>
          <w:tcPr>
            <w:tcW w:w="1577" w:type="dxa"/>
            <w:noWrap/>
            <w:hideMark/>
          </w:tcPr>
          <w:p w14:paraId="66BD791F" w14:textId="77777777" w:rsidR="00CB540F" w:rsidRPr="004E6EF0" w:rsidRDefault="00CB540F" w:rsidP="007D5029">
            <w:pPr>
              <w:spacing w:line="240" w:lineRule="auto"/>
              <w:rPr>
                <w:rFonts w:cs="Arial"/>
                <w:color w:val="auto"/>
                <w:lang w:eastAsia="en-AU"/>
              </w:rPr>
            </w:pPr>
            <w:r w:rsidRPr="004E6EF0">
              <w:rPr>
                <w:rFonts w:cs="Arial"/>
                <w:color w:val="auto"/>
                <w:lang w:eastAsia="en-AU"/>
              </w:rPr>
              <w:t>49</w:t>
            </w:r>
          </w:p>
        </w:tc>
        <w:tc>
          <w:tcPr>
            <w:tcW w:w="7603" w:type="dxa"/>
            <w:hideMark/>
          </w:tcPr>
          <w:p w14:paraId="0DDC9AD8" w14:textId="77777777" w:rsidR="00CB540F" w:rsidRPr="004E6EF0" w:rsidRDefault="00CB540F" w:rsidP="007D5029">
            <w:pPr>
              <w:spacing w:line="240" w:lineRule="auto"/>
              <w:rPr>
                <w:rFonts w:cs="Arial"/>
                <w:color w:val="auto"/>
                <w:lang w:eastAsia="en-AU"/>
              </w:rPr>
            </w:pPr>
            <w:r w:rsidRPr="004E6EF0">
              <w:rPr>
                <w:rFonts w:cs="Arial"/>
                <w:color w:val="auto"/>
                <w:lang w:eastAsia="en-AU"/>
              </w:rPr>
              <w:t>CRC for Cell Therapy Manufacturing</w:t>
            </w:r>
          </w:p>
        </w:tc>
      </w:tr>
      <w:tr w:rsidR="00CB540F" w:rsidRPr="004E6EF0" w14:paraId="07187FB3" w14:textId="77777777" w:rsidTr="00A2598E">
        <w:trPr>
          <w:trHeight w:val="255"/>
          <w:tblHeader/>
        </w:trPr>
        <w:tc>
          <w:tcPr>
            <w:tcW w:w="1577" w:type="dxa"/>
            <w:noWrap/>
            <w:hideMark/>
          </w:tcPr>
          <w:p w14:paraId="4F3CC0C3" w14:textId="77777777" w:rsidR="00CB540F" w:rsidRPr="004E6EF0" w:rsidRDefault="00CB540F" w:rsidP="007D5029">
            <w:pPr>
              <w:spacing w:line="240" w:lineRule="auto"/>
              <w:rPr>
                <w:rFonts w:cs="Arial"/>
                <w:color w:val="auto"/>
                <w:lang w:eastAsia="en-AU"/>
              </w:rPr>
            </w:pPr>
            <w:r w:rsidRPr="004E6EF0">
              <w:rPr>
                <w:rFonts w:cs="Arial"/>
                <w:color w:val="auto"/>
                <w:lang w:eastAsia="en-AU"/>
              </w:rPr>
              <w:t>50</w:t>
            </w:r>
          </w:p>
        </w:tc>
        <w:tc>
          <w:tcPr>
            <w:tcW w:w="7603" w:type="dxa"/>
            <w:hideMark/>
          </w:tcPr>
          <w:p w14:paraId="68BBC8F0"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Athersys</w:t>
            </w:r>
            <w:proofErr w:type="spellEnd"/>
          </w:p>
        </w:tc>
      </w:tr>
      <w:tr w:rsidR="00CB540F" w:rsidRPr="004E6EF0" w14:paraId="5281F2C8" w14:textId="77777777" w:rsidTr="00A2598E">
        <w:trPr>
          <w:trHeight w:val="60"/>
          <w:tblHeader/>
        </w:trPr>
        <w:tc>
          <w:tcPr>
            <w:tcW w:w="1577" w:type="dxa"/>
            <w:noWrap/>
            <w:hideMark/>
          </w:tcPr>
          <w:p w14:paraId="51E7A7B4" w14:textId="77777777" w:rsidR="00CB540F" w:rsidRPr="004E6EF0" w:rsidRDefault="00CB540F" w:rsidP="007D5029">
            <w:pPr>
              <w:spacing w:line="240" w:lineRule="auto"/>
              <w:rPr>
                <w:rFonts w:cs="Arial"/>
                <w:color w:val="auto"/>
                <w:lang w:eastAsia="en-AU"/>
              </w:rPr>
            </w:pPr>
            <w:r w:rsidRPr="004E6EF0">
              <w:rPr>
                <w:rFonts w:cs="Arial"/>
                <w:color w:val="auto"/>
                <w:lang w:eastAsia="en-AU"/>
              </w:rPr>
              <w:t>51</w:t>
            </w:r>
          </w:p>
        </w:tc>
        <w:tc>
          <w:tcPr>
            <w:tcW w:w="7603" w:type="dxa"/>
            <w:hideMark/>
          </w:tcPr>
          <w:p w14:paraId="3F198EA4"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Terumo BCT </w:t>
            </w:r>
          </w:p>
        </w:tc>
      </w:tr>
      <w:tr w:rsidR="00CB540F" w:rsidRPr="004E6EF0" w14:paraId="7E6657AC" w14:textId="77777777" w:rsidTr="00A2598E">
        <w:trPr>
          <w:trHeight w:val="70"/>
          <w:tblHeader/>
        </w:trPr>
        <w:tc>
          <w:tcPr>
            <w:tcW w:w="1577" w:type="dxa"/>
            <w:noWrap/>
            <w:hideMark/>
          </w:tcPr>
          <w:p w14:paraId="5E4BCE40" w14:textId="77777777" w:rsidR="00CB540F" w:rsidRPr="004E6EF0" w:rsidRDefault="00CB540F" w:rsidP="007D5029">
            <w:pPr>
              <w:spacing w:line="240" w:lineRule="auto"/>
              <w:rPr>
                <w:rFonts w:cs="Arial"/>
                <w:color w:val="auto"/>
                <w:lang w:eastAsia="en-AU"/>
              </w:rPr>
            </w:pPr>
            <w:r w:rsidRPr="004E6EF0">
              <w:rPr>
                <w:rFonts w:cs="Arial"/>
                <w:color w:val="auto"/>
                <w:lang w:eastAsia="en-AU"/>
              </w:rPr>
              <w:t>52</w:t>
            </w:r>
          </w:p>
        </w:tc>
        <w:tc>
          <w:tcPr>
            <w:tcW w:w="7603" w:type="dxa"/>
            <w:hideMark/>
          </w:tcPr>
          <w:p w14:paraId="1D346729" w14:textId="77777777" w:rsidR="00CB540F" w:rsidRPr="004E6EF0" w:rsidRDefault="00CB540F" w:rsidP="007D5029">
            <w:pPr>
              <w:spacing w:line="240" w:lineRule="auto"/>
              <w:rPr>
                <w:rFonts w:cs="Arial"/>
                <w:color w:val="auto"/>
                <w:lang w:eastAsia="en-AU"/>
              </w:rPr>
            </w:pPr>
            <w:r w:rsidRPr="004E6EF0">
              <w:rPr>
                <w:rFonts w:cs="Arial"/>
                <w:color w:val="auto"/>
                <w:lang w:eastAsia="en-AU"/>
              </w:rPr>
              <w:t>NSW Bushfire and Rescue</w:t>
            </w:r>
          </w:p>
        </w:tc>
      </w:tr>
      <w:tr w:rsidR="00CB540F" w:rsidRPr="004E6EF0" w14:paraId="2BE78B47" w14:textId="77777777" w:rsidTr="00A2598E">
        <w:trPr>
          <w:trHeight w:val="255"/>
          <w:tblHeader/>
        </w:trPr>
        <w:tc>
          <w:tcPr>
            <w:tcW w:w="1577" w:type="dxa"/>
            <w:noWrap/>
            <w:hideMark/>
          </w:tcPr>
          <w:p w14:paraId="373E6223" w14:textId="77777777" w:rsidR="00CB540F" w:rsidRPr="004E6EF0" w:rsidRDefault="00CB540F" w:rsidP="007D5029">
            <w:pPr>
              <w:spacing w:line="240" w:lineRule="auto"/>
              <w:rPr>
                <w:rFonts w:cs="Arial"/>
                <w:color w:val="auto"/>
                <w:lang w:eastAsia="en-AU"/>
              </w:rPr>
            </w:pPr>
            <w:r w:rsidRPr="004E6EF0">
              <w:rPr>
                <w:rFonts w:cs="Arial"/>
                <w:color w:val="auto"/>
                <w:lang w:eastAsia="en-AU"/>
              </w:rPr>
              <w:t>53</w:t>
            </w:r>
          </w:p>
        </w:tc>
        <w:tc>
          <w:tcPr>
            <w:tcW w:w="7603" w:type="dxa"/>
            <w:hideMark/>
          </w:tcPr>
          <w:p w14:paraId="6F47ADE8"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Finisar</w:t>
            </w:r>
            <w:proofErr w:type="spellEnd"/>
            <w:r w:rsidRPr="004E6EF0">
              <w:rPr>
                <w:rFonts w:cs="Arial"/>
                <w:color w:val="auto"/>
                <w:lang w:eastAsia="en-AU"/>
              </w:rPr>
              <w:t xml:space="preserve"> Australia</w:t>
            </w:r>
          </w:p>
        </w:tc>
      </w:tr>
      <w:tr w:rsidR="00CB540F" w:rsidRPr="004E6EF0" w14:paraId="20800DC1" w14:textId="77777777" w:rsidTr="00A2598E">
        <w:trPr>
          <w:trHeight w:val="285"/>
          <w:tblHeader/>
        </w:trPr>
        <w:tc>
          <w:tcPr>
            <w:tcW w:w="1577" w:type="dxa"/>
            <w:noWrap/>
            <w:hideMark/>
          </w:tcPr>
          <w:p w14:paraId="6CD6EF24" w14:textId="77777777" w:rsidR="00CB540F" w:rsidRPr="004E6EF0" w:rsidRDefault="00CB540F" w:rsidP="007D5029">
            <w:pPr>
              <w:spacing w:line="240" w:lineRule="auto"/>
              <w:rPr>
                <w:rFonts w:cs="Arial"/>
                <w:color w:val="auto"/>
                <w:lang w:eastAsia="en-AU"/>
              </w:rPr>
            </w:pPr>
            <w:r w:rsidRPr="004E6EF0">
              <w:rPr>
                <w:rFonts w:cs="Arial"/>
                <w:color w:val="auto"/>
                <w:lang w:eastAsia="en-AU"/>
              </w:rPr>
              <w:t>54</w:t>
            </w:r>
          </w:p>
        </w:tc>
        <w:tc>
          <w:tcPr>
            <w:tcW w:w="7603" w:type="dxa"/>
            <w:hideMark/>
          </w:tcPr>
          <w:p w14:paraId="0CA13BCE" w14:textId="77777777" w:rsidR="00CB540F" w:rsidRPr="004E6EF0" w:rsidRDefault="00CB540F" w:rsidP="007D5029">
            <w:pPr>
              <w:spacing w:line="240" w:lineRule="auto"/>
              <w:rPr>
                <w:rFonts w:cs="Arial"/>
                <w:color w:val="auto"/>
                <w:lang w:eastAsia="en-AU"/>
              </w:rPr>
            </w:pPr>
            <w:r w:rsidRPr="004E6EF0">
              <w:rPr>
                <w:rFonts w:cs="Arial"/>
                <w:color w:val="auto"/>
                <w:lang w:eastAsia="en-AU"/>
              </w:rPr>
              <w:t>Clinical Genomics</w:t>
            </w:r>
          </w:p>
        </w:tc>
      </w:tr>
      <w:tr w:rsidR="00CB540F" w:rsidRPr="004E6EF0" w14:paraId="721FC3E5" w14:textId="77777777" w:rsidTr="00A2598E">
        <w:trPr>
          <w:trHeight w:val="255"/>
          <w:tblHeader/>
        </w:trPr>
        <w:tc>
          <w:tcPr>
            <w:tcW w:w="1577" w:type="dxa"/>
            <w:noWrap/>
            <w:hideMark/>
          </w:tcPr>
          <w:p w14:paraId="6B9C5644" w14:textId="77777777" w:rsidR="00CB540F" w:rsidRPr="004E6EF0" w:rsidRDefault="00CB540F" w:rsidP="007D5029">
            <w:pPr>
              <w:spacing w:line="240" w:lineRule="auto"/>
              <w:rPr>
                <w:rFonts w:cs="Arial"/>
                <w:color w:val="auto"/>
                <w:lang w:eastAsia="en-AU"/>
              </w:rPr>
            </w:pPr>
            <w:r w:rsidRPr="004E6EF0">
              <w:rPr>
                <w:rFonts w:cs="Arial"/>
                <w:color w:val="auto"/>
                <w:lang w:eastAsia="en-AU"/>
              </w:rPr>
              <w:t>55</w:t>
            </w:r>
          </w:p>
        </w:tc>
        <w:tc>
          <w:tcPr>
            <w:tcW w:w="7603" w:type="dxa"/>
            <w:hideMark/>
          </w:tcPr>
          <w:p w14:paraId="67A64E89"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CRC for Mental Health </w:t>
            </w:r>
          </w:p>
        </w:tc>
      </w:tr>
      <w:tr w:rsidR="00CB540F" w:rsidRPr="004E6EF0" w14:paraId="1AB512E7" w14:textId="77777777" w:rsidTr="00A2598E">
        <w:trPr>
          <w:trHeight w:val="255"/>
          <w:tblHeader/>
        </w:trPr>
        <w:tc>
          <w:tcPr>
            <w:tcW w:w="1577" w:type="dxa"/>
            <w:noWrap/>
            <w:hideMark/>
          </w:tcPr>
          <w:p w14:paraId="47AB1822" w14:textId="77777777" w:rsidR="00CB540F" w:rsidRPr="004E6EF0" w:rsidRDefault="00CB540F" w:rsidP="007D5029">
            <w:pPr>
              <w:spacing w:line="240" w:lineRule="auto"/>
              <w:rPr>
                <w:rFonts w:cs="Arial"/>
                <w:color w:val="auto"/>
                <w:lang w:eastAsia="en-AU"/>
              </w:rPr>
            </w:pPr>
            <w:r w:rsidRPr="004E6EF0">
              <w:rPr>
                <w:rFonts w:cs="Arial"/>
                <w:color w:val="auto"/>
                <w:lang w:eastAsia="en-AU"/>
              </w:rPr>
              <w:t>56</w:t>
            </w:r>
          </w:p>
        </w:tc>
        <w:tc>
          <w:tcPr>
            <w:tcW w:w="7603" w:type="dxa"/>
            <w:hideMark/>
          </w:tcPr>
          <w:p w14:paraId="09C9B86E"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Australian Pork Farms Group</w:t>
            </w:r>
          </w:p>
        </w:tc>
      </w:tr>
      <w:tr w:rsidR="00CB540F" w:rsidRPr="004E6EF0" w14:paraId="2371CFD0" w14:textId="77777777" w:rsidTr="00A2598E">
        <w:trPr>
          <w:trHeight w:val="70"/>
          <w:tblHeader/>
        </w:trPr>
        <w:tc>
          <w:tcPr>
            <w:tcW w:w="1577" w:type="dxa"/>
            <w:noWrap/>
            <w:hideMark/>
          </w:tcPr>
          <w:p w14:paraId="2FA2F193" w14:textId="77777777" w:rsidR="00CB540F" w:rsidRPr="004E6EF0" w:rsidRDefault="00CB540F" w:rsidP="007D5029">
            <w:pPr>
              <w:spacing w:line="240" w:lineRule="auto"/>
              <w:rPr>
                <w:rFonts w:cs="Arial"/>
                <w:color w:val="auto"/>
                <w:lang w:eastAsia="en-AU"/>
              </w:rPr>
            </w:pPr>
            <w:r w:rsidRPr="004E6EF0">
              <w:rPr>
                <w:rFonts w:cs="Arial"/>
                <w:color w:val="auto"/>
                <w:lang w:eastAsia="en-AU"/>
              </w:rPr>
              <w:t>57</w:t>
            </w:r>
          </w:p>
        </w:tc>
        <w:tc>
          <w:tcPr>
            <w:tcW w:w="7603" w:type="dxa"/>
            <w:hideMark/>
          </w:tcPr>
          <w:p w14:paraId="191A5D16" w14:textId="77777777" w:rsidR="00CB540F" w:rsidRPr="004E6EF0" w:rsidRDefault="00CB540F" w:rsidP="007D5029">
            <w:pPr>
              <w:spacing w:line="240" w:lineRule="auto"/>
              <w:rPr>
                <w:rFonts w:cs="Arial"/>
                <w:color w:val="auto"/>
                <w:lang w:eastAsia="en-AU"/>
              </w:rPr>
            </w:pPr>
            <w:r w:rsidRPr="004E6EF0">
              <w:rPr>
                <w:rFonts w:cs="Arial"/>
                <w:color w:val="auto"/>
                <w:lang w:eastAsia="en-AU"/>
              </w:rPr>
              <w:t>Charles Sturt University</w:t>
            </w:r>
          </w:p>
        </w:tc>
      </w:tr>
      <w:tr w:rsidR="00CB540F" w:rsidRPr="004E6EF0" w14:paraId="0A2299D2" w14:textId="77777777" w:rsidTr="00A2598E">
        <w:trPr>
          <w:trHeight w:val="255"/>
          <w:tblHeader/>
        </w:trPr>
        <w:tc>
          <w:tcPr>
            <w:tcW w:w="1577" w:type="dxa"/>
            <w:noWrap/>
            <w:hideMark/>
          </w:tcPr>
          <w:p w14:paraId="603E2897" w14:textId="77777777" w:rsidR="00CB540F" w:rsidRPr="004E6EF0" w:rsidRDefault="00CB540F" w:rsidP="007D5029">
            <w:pPr>
              <w:spacing w:line="240" w:lineRule="auto"/>
              <w:rPr>
                <w:rFonts w:cs="Arial"/>
                <w:color w:val="auto"/>
                <w:lang w:eastAsia="en-AU"/>
              </w:rPr>
            </w:pPr>
            <w:r w:rsidRPr="004E6EF0">
              <w:rPr>
                <w:rFonts w:cs="Arial"/>
                <w:color w:val="auto"/>
                <w:lang w:eastAsia="en-AU"/>
              </w:rPr>
              <w:t>58</w:t>
            </w:r>
          </w:p>
        </w:tc>
        <w:tc>
          <w:tcPr>
            <w:tcW w:w="7603" w:type="dxa"/>
            <w:hideMark/>
          </w:tcPr>
          <w:p w14:paraId="4BA81461" w14:textId="77777777" w:rsidR="00CB540F" w:rsidRPr="004E6EF0" w:rsidRDefault="00CB540F" w:rsidP="007D5029">
            <w:pPr>
              <w:spacing w:line="240" w:lineRule="auto"/>
              <w:rPr>
                <w:rFonts w:cs="Arial"/>
                <w:color w:val="auto"/>
                <w:lang w:eastAsia="en-AU"/>
              </w:rPr>
            </w:pPr>
            <w:r w:rsidRPr="004E6EF0">
              <w:rPr>
                <w:rFonts w:cs="Arial"/>
                <w:color w:val="auto"/>
                <w:lang w:eastAsia="en-AU"/>
              </w:rPr>
              <w:t>City of Kingston</w:t>
            </w:r>
          </w:p>
        </w:tc>
      </w:tr>
      <w:tr w:rsidR="00CB540F" w:rsidRPr="004E6EF0" w14:paraId="791AAB19" w14:textId="77777777" w:rsidTr="00A2598E">
        <w:trPr>
          <w:trHeight w:val="60"/>
          <w:tblHeader/>
        </w:trPr>
        <w:tc>
          <w:tcPr>
            <w:tcW w:w="1577" w:type="dxa"/>
            <w:noWrap/>
            <w:hideMark/>
          </w:tcPr>
          <w:p w14:paraId="6C73B2D3" w14:textId="77777777" w:rsidR="00CB540F" w:rsidRPr="004E6EF0" w:rsidRDefault="00CB540F" w:rsidP="007D5029">
            <w:pPr>
              <w:spacing w:line="240" w:lineRule="auto"/>
              <w:rPr>
                <w:rFonts w:cs="Arial"/>
                <w:color w:val="auto"/>
                <w:lang w:eastAsia="en-AU"/>
              </w:rPr>
            </w:pPr>
            <w:r w:rsidRPr="004E6EF0">
              <w:rPr>
                <w:rFonts w:cs="Arial"/>
                <w:color w:val="auto"/>
                <w:lang w:eastAsia="en-AU"/>
              </w:rPr>
              <w:t>59</w:t>
            </w:r>
          </w:p>
        </w:tc>
        <w:tc>
          <w:tcPr>
            <w:tcW w:w="7603" w:type="dxa"/>
            <w:hideMark/>
          </w:tcPr>
          <w:p w14:paraId="2DA048EE"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George </w:t>
            </w:r>
            <w:proofErr w:type="spellStart"/>
            <w:r w:rsidRPr="004E6EF0">
              <w:rPr>
                <w:rFonts w:cs="Arial"/>
                <w:color w:val="auto"/>
                <w:lang w:eastAsia="en-AU"/>
              </w:rPr>
              <w:t>Raitt</w:t>
            </w:r>
            <w:proofErr w:type="spellEnd"/>
          </w:p>
        </w:tc>
      </w:tr>
      <w:tr w:rsidR="00CB540F" w:rsidRPr="004E6EF0" w14:paraId="7500BDDB" w14:textId="77777777" w:rsidTr="00A2598E">
        <w:trPr>
          <w:trHeight w:val="255"/>
          <w:tblHeader/>
        </w:trPr>
        <w:tc>
          <w:tcPr>
            <w:tcW w:w="1577" w:type="dxa"/>
            <w:noWrap/>
            <w:hideMark/>
          </w:tcPr>
          <w:p w14:paraId="0F22D9B8" w14:textId="77777777" w:rsidR="00CB540F" w:rsidRPr="004E6EF0" w:rsidRDefault="00CB540F" w:rsidP="007D5029">
            <w:pPr>
              <w:spacing w:line="240" w:lineRule="auto"/>
              <w:rPr>
                <w:rFonts w:cs="Arial"/>
                <w:color w:val="auto"/>
                <w:lang w:eastAsia="en-AU"/>
              </w:rPr>
            </w:pPr>
            <w:r w:rsidRPr="004E6EF0">
              <w:rPr>
                <w:rFonts w:cs="Arial"/>
                <w:color w:val="auto"/>
                <w:lang w:eastAsia="en-AU"/>
              </w:rPr>
              <w:t>60</w:t>
            </w:r>
          </w:p>
        </w:tc>
        <w:tc>
          <w:tcPr>
            <w:tcW w:w="7603" w:type="dxa"/>
            <w:hideMark/>
          </w:tcPr>
          <w:p w14:paraId="47071015" w14:textId="77777777" w:rsidR="00CB540F" w:rsidRPr="004E6EF0" w:rsidRDefault="00CB540F" w:rsidP="007D5029">
            <w:pPr>
              <w:spacing w:line="240" w:lineRule="auto"/>
              <w:rPr>
                <w:rFonts w:cs="Arial"/>
                <w:color w:val="auto"/>
                <w:lang w:eastAsia="en-AU"/>
              </w:rPr>
            </w:pPr>
            <w:r w:rsidRPr="004E6EF0">
              <w:rPr>
                <w:rFonts w:cs="Arial"/>
                <w:color w:val="auto"/>
                <w:lang w:eastAsia="en-AU"/>
              </w:rPr>
              <w:t>CRC for Spatial Information</w:t>
            </w:r>
          </w:p>
        </w:tc>
      </w:tr>
      <w:tr w:rsidR="00CB540F" w:rsidRPr="004E6EF0" w14:paraId="5A24492A" w14:textId="77777777" w:rsidTr="00A2598E">
        <w:trPr>
          <w:trHeight w:val="255"/>
          <w:tblHeader/>
        </w:trPr>
        <w:tc>
          <w:tcPr>
            <w:tcW w:w="1577" w:type="dxa"/>
            <w:noWrap/>
            <w:hideMark/>
          </w:tcPr>
          <w:p w14:paraId="38807EA8" w14:textId="77777777" w:rsidR="00CB540F" w:rsidRPr="004E6EF0" w:rsidRDefault="00CB540F" w:rsidP="007D5029">
            <w:pPr>
              <w:spacing w:line="240" w:lineRule="auto"/>
              <w:rPr>
                <w:rFonts w:cs="Arial"/>
                <w:color w:val="auto"/>
                <w:lang w:eastAsia="en-AU"/>
              </w:rPr>
            </w:pPr>
            <w:r w:rsidRPr="004E6EF0">
              <w:rPr>
                <w:rFonts w:cs="Arial"/>
                <w:color w:val="auto"/>
                <w:lang w:eastAsia="en-AU"/>
              </w:rPr>
              <w:t>61</w:t>
            </w:r>
          </w:p>
        </w:tc>
        <w:tc>
          <w:tcPr>
            <w:tcW w:w="7603" w:type="dxa"/>
            <w:hideMark/>
          </w:tcPr>
          <w:p w14:paraId="3487D5DD"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HiSeis</w:t>
            </w:r>
            <w:proofErr w:type="spellEnd"/>
          </w:p>
        </w:tc>
      </w:tr>
      <w:tr w:rsidR="00CB540F" w:rsidRPr="004E6EF0" w14:paraId="35653E09" w14:textId="77777777" w:rsidTr="00A2598E">
        <w:trPr>
          <w:trHeight w:val="70"/>
          <w:tblHeader/>
        </w:trPr>
        <w:tc>
          <w:tcPr>
            <w:tcW w:w="1577" w:type="dxa"/>
            <w:noWrap/>
            <w:hideMark/>
          </w:tcPr>
          <w:p w14:paraId="3D17ADD8" w14:textId="77777777" w:rsidR="00CB540F" w:rsidRPr="004E6EF0" w:rsidRDefault="00CB540F" w:rsidP="007D5029">
            <w:pPr>
              <w:spacing w:line="240" w:lineRule="auto"/>
              <w:rPr>
                <w:rFonts w:cs="Arial"/>
                <w:color w:val="auto"/>
                <w:lang w:eastAsia="en-AU"/>
              </w:rPr>
            </w:pPr>
            <w:r w:rsidRPr="004E6EF0">
              <w:rPr>
                <w:rFonts w:cs="Arial"/>
                <w:color w:val="auto"/>
                <w:lang w:eastAsia="en-AU"/>
              </w:rPr>
              <w:t>62</w:t>
            </w:r>
          </w:p>
        </w:tc>
        <w:tc>
          <w:tcPr>
            <w:tcW w:w="7603" w:type="dxa"/>
            <w:hideMark/>
          </w:tcPr>
          <w:p w14:paraId="50750C49" w14:textId="77777777" w:rsidR="00CB540F" w:rsidRPr="004E6EF0" w:rsidRDefault="00CB540F" w:rsidP="007D5029">
            <w:pPr>
              <w:spacing w:line="240" w:lineRule="auto"/>
              <w:rPr>
                <w:rFonts w:cs="Arial"/>
                <w:color w:val="auto"/>
                <w:lang w:eastAsia="en-AU"/>
              </w:rPr>
            </w:pPr>
            <w:r w:rsidRPr="004E6EF0">
              <w:rPr>
                <w:rFonts w:cs="Arial"/>
                <w:color w:val="auto"/>
                <w:lang w:eastAsia="en-AU"/>
              </w:rPr>
              <w:t>Nicholas Gough</w:t>
            </w:r>
          </w:p>
        </w:tc>
      </w:tr>
      <w:tr w:rsidR="00CB540F" w:rsidRPr="004E6EF0" w14:paraId="6725DB78" w14:textId="77777777" w:rsidTr="00A2598E">
        <w:trPr>
          <w:trHeight w:val="255"/>
          <w:tblHeader/>
        </w:trPr>
        <w:tc>
          <w:tcPr>
            <w:tcW w:w="1577" w:type="dxa"/>
            <w:noWrap/>
            <w:hideMark/>
          </w:tcPr>
          <w:p w14:paraId="0809C03B" w14:textId="77777777" w:rsidR="00CB540F" w:rsidRPr="004E6EF0" w:rsidRDefault="00CB540F" w:rsidP="007D5029">
            <w:pPr>
              <w:spacing w:line="240" w:lineRule="auto"/>
              <w:rPr>
                <w:rFonts w:cs="Arial"/>
                <w:color w:val="auto"/>
                <w:lang w:eastAsia="en-AU"/>
              </w:rPr>
            </w:pPr>
            <w:r w:rsidRPr="004E6EF0">
              <w:rPr>
                <w:rFonts w:cs="Arial"/>
                <w:color w:val="auto"/>
                <w:lang w:eastAsia="en-AU"/>
              </w:rPr>
              <w:t>63</w:t>
            </w:r>
          </w:p>
        </w:tc>
        <w:tc>
          <w:tcPr>
            <w:tcW w:w="7603" w:type="dxa"/>
            <w:hideMark/>
          </w:tcPr>
          <w:p w14:paraId="79204C8E"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WA Fishing Industry Council </w:t>
            </w:r>
            <w:proofErr w:type="spellStart"/>
            <w:r w:rsidRPr="004E6EF0">
              <w:rPr>
                <w:rFonts w:cs="Arial"/>
                <w:color w:val="auto"/>
                <w:lang w:eastAsia="en-AU"/>
              </w:rPr>
              <w:t>Inc</w:t>
            </w:r>
            <w:proofErr w:type="spellEnd"/>
            <w:r w:rsidRPr="004E6EF0">
              <w:rPr>
                <w:rFonts w:cs="Arial"/>
                <w:color w:val="auto"/>
                <w:lang w:eastAsia="en-AU"/>
              </w:rPr>
              <w:t xml:space="preserve"> </w:t>
            </w:r>
          </w:p>
        </w:tc>
      </w:tr>
      <w:tr w:rsidR="00CB540F" w:rsidRPr="004E6EF0" w14:paraId="3D47B80A" w14:textId="77777777" w:rsidTr="00A2598E">
        <w:trPr>
          <w:trHeight w:val="255"/>
          <w:tblHeader/>
        </w:trPr>
        <w:tc>
          <w:tcPr>
            <w:tcW w:w="1577" w:type="dxa"/>
            <w:noWrap/>
            <w:hideMark/>
          </w:tcPr>
          <w:p w14:paraId="32617C69" w14:textId="77777777" w:rsidR="00CB540F" w:rsidRPr="004E6EF0" w:rsidRDefault="00CB540F" w:rsidP="007D5029">
            <w:pPr>
              <w:spacing w:line="240" w:lineRule="auto"/>
              <w:rPr>
                <w:rFonts w:cs="Arial"/>
                <w:color w:val="auto"/>
                <w:lang w:eastAsia="en-AU"/>
              </w:rPr>
            </w:pPr>
            <w:r w:rsidRPr="004E6EF0">
              <w:rPr>
                <w:rFonts w:cs="Arial"/>
                <w:color w:val="auto"/>
                <w:lang w:eastAsia="en-AU"/>
              </w:rPr>
              <w:t>64</w:t>
            </w:r>
          </w:p>
        </w:tc>
        <w:tc>
          <w:tcPr>
            <w:tcW w:w="7603" w:type="dxa"/>
            <w:hideMark/>
          </w:tcPr>
          <w:p w14:paraId="60EE9E9C" w14:textId="77777777" w:rsidR="00CB540F" w:rsidRPr="004E6EF0" w:rsidRDefault="00CB540F" w:rsidP="007D5029">
            <w:pPr>
              <w:spacing w:line="240" w:lineRule="auto"/>
              <w:rPr>
                <w:rFonts w:cs="Arial"/>
                <w:color w:val="auto"/>
                <w:lang w:eastAsia="en-AU"/>
              </w:rPr>
            </w:pPr>
            <w:r w:rsidRPr="004E6EF0">
              <w:rPr>
                <w:rFonts w:cs="Arial"/>
                <w:color w:val="auto"/>
                <w:lang w:eastAsia="en-AU"/>
              </w:rPr>
              <w:t>B.F. Grey</w:t>
            </w:r>
          </w:p>
        </w:tc>
      </w:tr>
      <w:tr w:rsidR="00CB540F" w:rsidRPr="004E6EF0" w14:paraId="798D15D3" w14:textId="77777777" w:rsidTr="00A2598E">
        <w:trPr>
          <w:trHeight w:val="255"/>
          <w:tblHeader/>
        </w:trPr>
        <w:tc>
          <w:tcPr>
            <w:tcW w:w="1577" w:type="dxa"/>
            <w:noWrap/>
            <w:hideMark/>
          </w:tcPr>
          <w:p w14:paraId="036C2AA8" w14:textId="77777777" w:rsidR="00CB540F" w:rsidRPr="004E6EF0" w:rsidRDefault="00CB540F" w:rsidP="007D5029">
            <w:pPr>
              <w:spacing w:line="240" w:lineRule="auto"/>
              <w:rPr>
                <w:rFonts w:cs="Arial"/>
                <w:color w:val="auto"/>
                <w:lang w:eastAsia="en-AU"/>
              </w:rPr>
            </w:pPr>
            <w:r w:rsidRPr="004E6EF0">
              <w:rPr>
                <w:rFonts w:cs="Arial"/>
                <w:color w:val="auto"/>
                <w:lang w:eastAsia="en-AU"/>
              </w:rPr>
              <w:t>65</w:t>
            </w:r>
          </w:p>
        </w:tc>
        <w:tc>
          <w:tcPr>
            <w:tcW w:w="7603" w:type="dxa"/>
            <w:hideMark/>
          </w:tcPr>
          <w:p w14:paraId="67AD2C65" w14:textId="77777777" w:rsidR="00CB540F" w:rsidRPr="004E6EF0" w:rsidRDefault="00CB540F" w:rsidP="007D5029">
            <w:pPr>
              <w:spacing w:line="240" w:lineRule="auto"/>
              <w:rPr>
                <w:rFonts w:cs="Arial"/>
                <w:color w:val="auto"/>
                <w:lang w:eastAsia="en-AU"/>
              </w:rPr>
            </w:pPr>
            <w:r w:rsidRPr="004E6EF0">
              <w:rPr>
                <w:rFonts w:cs="Arial"/>
                <w:color w:val="auto"/>
                <w:lang w:eastAsia="en-AU"/>
              </w:rPr>
              <w:t>CRC for Contamination Assessment and Remediation of the Environment</w:t>
            </w:r>
          </w:p>
        </w:tc>
      </w:tr>
      <w:tr w:rsidR="00CB540F" w:rsidRPr="004E6EF0" w14:paraId="19C1B569" w14:textId="77777777" w:rsidTr="00A2598E">
        <w:trPr>
          <w:trHeight w:val="255"/>
          <w:tblHeader/>
        </w:trPr>
        <w:tc>
          <w:tcPr>
            <w:tcW w:w="1577" w:type="dxa"/>
            <w:noWrap/>
            <w:hideMark/>
          </w:tcPr>
          <w:p w14:paraId="348B3883" w14:textId="77777777" w:rsidR="00CB540F" w:rsidRPr="004E6EF0" w:rsidRDefault="00CB540F" w:rsidP="007D5029">
            <w:pPr>
              <w:spacing w:line="240" w:lineRule="auto"/>
              <w:rPr>
                <w:rFonts w:cs="Arial"/>
                <w:color w:val="auto"/>
                <w:lang w:eastAsia="en-AU"/>
              </w:rPr>
            </w:pPr>
            <w:r w:rsidRPr="004E6EF0">
              <w:rPr>
                <w:rFonts w:cs="Arial"/>
                <w:color w:val="auto"/>
                <w:lang w:eastAsia="en-AU"/>
              </w:rPr>
              <w:t>66</w:t>
            </w:r>
          </w:p>
        </w:tc>
        <w:tc>
          <w:tcPr>
            <w:tcW w:w="7603" w:type="dxa"/>
            <w:hideMark/>
          </w:tcPr>
          <w:p w14:paraId="5C03D2FA" w14:textId="77777777" w:rsidR="00CB540F" w:rsidRPr="004E6EF0" w:rsidRDefault="00CB540F" w:rsidP="007D5029">
            <w:pPr>
              <w:spacing w:line="240" w:lineRule="auto"/>
              <w:rPr>
                <w:rFonts w:cs="Arial"/>
                <w:color w:val="auto"/>
                <w:lang w:eastAsia="en-AU"/>
              </w:rPr>
            </w:pPr>
            <w:r w:rsidRPr="004E6EF0">
              <w:rPr>
                <w:rFonts w:cs="Arial"/>
                <w:color w:val="auto"/>
                <w:lang w:eastAsia="en-AU"/>
              </w:rPr>
              <w:t>Wildlife Health Australia</w:t>
            </w:r>
          </w:p>
        </w:tc>
      </w:tr>
      <w:tr w:rsidR="00CB540F" w:rsidRPr="004E6EF0" w14:paraId="1680214B" w14:textId="77777777" w:rsidTr="00A2598E">
        <w:trPr>
          <w:trHeight w:val="255"/>
          <w:tblHeader/>
        </w:trPr>
        <w:tc>
          <w:tcPr>
            <w:tcW w:w="1577" w:type="dxa"/>
            <w:noWrap/>
            <w:hideMark/>
          </w:tcPr>
          <w:p w14:paraId="375948E6" w14:textId="77777777" w:rsidR="00CB540F" w:rsidRPr="004E6EF0" w:rsidRDefault="00CB540F" w:rsidP="007D5029">
            <w:pPr>
              <w:spacing w:line="240" w:lineRule="auto"/>
              <w:rPr>
                <w:rFonts w:cs="Arial"/>
                <w:color w:val="auto"/>
                <w:lang w:eastAsia="en-AU"/>
              </w:rPr>
            </w:pPr>
            <w:r w:rsidRPr="004E6EF0">
              <w:rPr>
                <w:rFonts w:cs="Arial"/>
                <w:color w:val="auto"/>
                <w:lang w:eastAsia="en-AU"/>
              </w:rPr>
              <w:t>67</w:t>
            </w:r>
          </w:p>
        </w:tc>
        <w:tc>
          <w:tcPr>
            <w:tcW w:w="7603" w:type="dxa"/>
            <w:hideMark/>
          </w:tcPr>
          <w:p w14:paraId="774E6B87" w14:textId="77777777" w:rsidR="00CB540F" w:rsidRPr="004E6EF0" w:rsidRDefault="00CB540F" w:rsidP="007D5029">
            <w:pPr>
              <w:spacing w:line="240" w:lineRule="auto"/>
              <w:rPr>
                <w:rFonts w:cs="Arial"/>
                <w:color w:val="auto"/>
                <w:lang w:eastAsia="en-AU"/>
              </w:rPr>
            </w:pPr>
            <w:r w:rsidRPr="004E6EF0">
              <w:rPr>
                <w:rFonts w:cs="Arial"/>
                <w:color w:val="auto"/>
                <w:lang w:eastAsia="en-AU"/>
              </w:rPr>
              <w:t>Origin Energy</w:t>
            </w:r>
          </w:p>
        </w:tc>
      </w:tr>
      <w:tr w:rsidR="00CB540F" w:rsidRPr="004E6EF0" w14:paraId="1567D3C9" w14:textId="77777777" w:rsidTr="00A2598E">
        <w:trPr>
          <w:trHeight w:val="285"/>
          <w:tblHeader/>
        </w:trPr>
        <w:tc>
          <w:tcPr>
            <w:tcW w:w="1577" w:type="dxa"/>
            <w:noWrap/>
            <w:hideMark/>
          </w:tcPr>
          <w:p w14:paraId="4C89E87A" w14:textId="77777777" w:rsidR="00CB540F" w:rsidRPr="004E6EF0" w:rsidRDefault="00CB540F" w:rsidP="007D5029">
            <w:pPr>
              <w:spacing w:line="240" w:lineRule="auto"/>
              <w:rPr>
                <w:rFonts w:cs="Arial"/>
                <w:color w:val="auto"/>
                <w:lang w:eastAsia="en-AU"/>
              </w:rPr>
            </w:pPr>
            <w:r w:rsidRPr="004E6EF0">
              <w:rPr>
                <w:rFonts w:cs="Arial"/>
                <w:color w:val="auto"/>
                <w:lang w:eastAsia="en-AU"/>
              </w:rPr>
              <w:t>68</w:t>
            </w:r>
          </w:p>
        </w:tc>
        <w:tc>
          <w:tcPr>
            <w:tcW w:w="7603" w:type="dxa"/>
            <w:hideMark/>
          </w:tcPr>
          <w:p w14:paraId="61A86CEE" w14:textId="77777777" w:rsidR="00CB540F" w:rsidRPr="004E6EF0" w:rsidRDefault="00CB540F" w:rsidP="007D5029">
            <w:pPr>
              <w:spacing w:line="240" w:lineRule="auto"/>
              <w:rPr>
                <w:rFonts w:cs="Arial"/>
                <w:color w:val="auto"/>
                <w:lang w:eastAsia="en-AU"/>
              </w:rPr>
            </w:pPr>
            <w:r w:rsidRPr="004E6EF0">
              <w:rPr>
                <w:rFonts w:cs="Arial"/>
                <w:color w:val="auto"/>
                <w:lang w:eastAsia="en-AU"/>
              </w:rPr>
              <w:t>Department of Agriculture and Food (WA)</w:t>
            </w:r>
          </w:p>
        </w:tc>
      </w:tr>
      <w:tr w:rsidR="00CB540F" w:rsidRPr="004E6EF0" w14:paraId="446899D3" w14:textId="77777777" w:rsidTr="00A2598E">
        <w:trPr>
          <w:trHeight w:val="255"/>
          <w:tblHeader/>
        </w:trPr>
        <w:tc>
          <w:tcPr>
            <w:tcW w:w="1577" w:type="dxa"/>
            <w:noWrap/>
            <w:hideMark/>
          </w:tcPr>
          <w:p w14:paraId="4B347A05" w14:textId="77777777" w:rsidR="00CB540F" w:rsidRPr="004E6EF0" w:rsidRDefault="00CB540F" w:rsidP="007D5029">
            <w:pPr>
              <w:spacing w:line="240" w:lineRule="auto"/>
              <w:rPr>
                <w:rFonts w:cs="Arial"/>
                <w:color w:val="auto"/>
                <w:lang w:eastAsia="en-AU"/>
              </w:rPr>
            </w:pPr>
            <w:r w:rsidRPr="004E6EF0">
              <w:rPr>
                <w:rFonts w:cs="Arial"/>
                <w:color w:val="auto"/>
                <w:lang w:eastAsia="en-AU"/>
              </w:rPr>
              <w:t>69</w:t>
            </w:r>
          </w:p>
        </w:tc>
        <w:tc>
          <w:tcPr>
            <w:tcW w:w="7603" w:type="dxa"/>
            <w:hideMark/>
          </w:tcPr>
          <w:p w14:paraId="3739EDE7"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Australian Council of Engineering Deans </w:t>
            </w:r>
          </w:p>
        </w:tc>
      </w:tr>
      <w:tr w:rsidR="00CB540F" w:rsidRPr="004E6EF0" w14:paraId="544787EC" w14:textId="77777777" w:rsidTr="00A2598E">
        <w:trPr>
          <w:trHeight w:val="255"/>
          <w:tblHeader/>
        </w:trPr>
        <w:tc>
          <w:tcPr>
            <w:tcW w:w="1577" w:type="dxa"/>
            <w:noWrap/>
            <w:hideMark/>
          </w:tcPr>
          <w:p w14:paraId="7BE2047F" w14:textId="77777777" w:rsidR="00CB540F" w:rsidRPr="004E6EF0" w:rsidRDefault="00CB540F" w:rsidP="007D5029">
            <w:pPr>
              <w:spacing w:line="240" w:lineRule="auto"/>
              <w:rPr>
                <w:rFonts w:cs="Arial"/>
                <w:color w:val="auto"/>
                <w:lang w:eastAsia="en-AU"/>
              </w:rPr>
            </w:pPr>
            <w:r w:rsidRPr="004E6EF0">
              <w:rPr>
                <w:rFonts w:cs="Arial"/>
                <w:color w:val="auto"/>
                <w:lang w:eastAsia="en-AU"/>
              </w:rPr>
              <w:t>70</w:t>
            </w:r>
          </w:p>
        </w:tc>
        <w:tc>
          <w:tcPr>
            <w:tcW w:w="7603" w:type="dxa"/>
            <w:hideMark/>
          </w:tcPr>
          <w:p w14:paraId="28D37BF7"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Fugro</w:t>
            </w:r>
            <w:proofErr w:type="spellEnd"/>
            <w:r w:rsidRPr="004E6EF0">
              <w:rPr>
                <w:rFonts w:cs="Arial"/>
                <w:color w:val="auto"/>
                <w:lang w:eastAsia="en-AU"/>
              </w:rPr>
              <w:t xml:space="preserve"> ROAMES Pty Ltd</w:t>
            </w:r>
          </w:p>
        </w:tc>
      </w:tr>
      <w:tr w:rsidR="00CB540F" w:rsidRPr="004E6EF0" w14:paraId="493F9DE1" w14:textId="77777777" w:rsidTr="00A2598E">
        <w:trPr>
          <w:trHeight w:val="255"/>
          <w:tblHeader/>
        </w:trPr>
        <w:tc>
          <w:tcPr>
            <w:tcW w:w="1577" w:type="dxa"/>
            <w:noWrap/>
            <w:hideMark/>
          </w:tcPr>
          <w:p w14:paraId="573656BA" w14:textId="77777777" w:rsidR="00CB540F" w:rsidRPr="004E6EF0" w:rsidRDefault="00CB540F" w:rsidP="007D5029">
            <w:pPr>
              <w:spacing w:line="240" w:lineRule="auto"/>
              <w:rPr>
                <w:rFonts w:cs="Arial"/>
                <w:color w:val="auto"/>
                <w:lang w:eastAsia="en-AU"/>
              </w:rPr>
            </w:pPr>
            <w:r w:rsidRPr="004E6EF0">
              <w:rPr>
                <w:rFonts w:cs="Arial"/>
                <w:color w:val="auto"/>
                <w:lang w:eastAsia="en-AU"/>
              </w:rPr>
              <w:t>71</w:t>
            </w:r>
          </w:p>
        </w:tc>
        <w:tc>
          <w:tcPr>
            <w:tcW w:w="7603" w:type="dxa"/>
            <w:hideMark/>
          </w:tcPr>
          <w:p w14:paraId="5AAA1049" w14:textId="77777777" w:rsidR="00CB540F" w:rsidRPr="004E6EF0" w:rsidRDefault="00CB540F" w:rsidP="007D5029">
            <w:pPr>
              <w:spacing w:line="240" w:lineRule="auto"/>
              <w:rPr>
                <w:rFonts w:cs="Arial"/>
                <w:color w:val="auto"/>
                <w:lang w:eastAsia="en-AU"/>
              </w:rPr>
            </w:pPr>
            <w:r w:rsidRPr="004E6EF0">
              <w:rPr>
                <w:rFonts w:cs="Arial"/>
                <w:color w:val="auto"/>
                <w:lang w:eastAsia="en-AU"/>
              </w:rPr>
              <w:t>Smith and Nephew Medical Inc.</w:t>
            </w:r>
          </w:p>
        </w:tc>
      </w:tr>
      <w:tr w:rsidR="00CB540F" w:rsidRPr="004E6EF0" w14:paraId="19D9D8EE" w14:textId="77777777" w:rsidTr="00A2598E">
        <w:trPr>
          <w:trHeight w:val="255"/>
          <w:tblHeader/>
        </w:trPr>
        <w:tc>
          <w:tcPr>
            <w:tcW w:w="1577" w:type="dxa"/>
            <w:noWrap/>
            <w:hideMark/>
          </w:tcPr>
          <w:p w14:paraId="2898A704" w14:textId="77777777" w:rsidR="00CB540F" w:rsidRPr="004E6EF0" w:rsidRDefault="00CB540F" w:rsidP="007D5029">
            <w:pPr>
              <w:spacing w:line="240" w:lineRule="auto"/>
              <w:rPr>
                <w:rFonts w:cs="Arial"/>
                <w:color w:val="auto"/>
                <w:lang w:eastAsia="en-AU"/>
              </w:rPr>
            </w:pPr>
            <w:r w:rsidRPr="004E6EF0">
              <w:rPr>
                <w:rFonts w:cs="Arial"/>
                <w:color w:val="auto"/>
                <w:lang w:eastAsia="en-AU"/>
              </w:rPr>
              <w:t>72</w:t>
            </w:r>
          </w:p>
        </w:tc>
        <w:tc>
          <w:tcPr>
            <w:tcW w:w="7603" w:type="dxa"/>
            <w:hideMark/>
          </w:tcPr>
          <w:p w14:paraId="034C1BF9"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Wound Management Innovation CRC </w:t>
            </w:r>
          </w:p>
        </w:tc>
      </w:tr>
      <w:tr w:rsidR="00CB540F" w:rsidRPr="004E6EF0" w14:paraId="1E819ACA" w14:textId="77777777" w:rsidTr="00A2598E">
        <w:trPr>
          <w:trHeight w:val="255"/>
          <w:tblHeader/>
        </w:trPr>
        <w:tc>
          <w:tcPr>
            <w:tcW w:w="1577" w:type="dxa"/>
            <w:noWrap/>
            <w:hideMark/>
          </w:tcPr>
          <w:p w14:paraId="5563E227" w14:textId="77777777" w:rsidR="00CB540F" w:rsidRPr="004E6EF0" w:rsidRDefault="00CB540F" w:rsidP="007D5029">
            <w:pPr>
              <w:spacing w:line="240" w:lineRule="auto"/>
              <w:rPr>
                <w:rFonts w:cs="Arial"/>
                <w:color w:val="auto"/>
                <w:lang w:eastAsia="en-AU"/>
              </w:rPr>
            </w:pPr>
            <w:r w:rsidRPr="004E6EF0">
              <w:rPr>
                <w:rFonts w:cs="Arial"/>
                <w:color w:val="auto"/>
                <w:lang w:eastAsia="en-AU"/>
              </w:rPr>
              <w:t>73</w:t>
            </w:r>
          </w:p>
        </w:tc>
        <w:tc>
          <w:tcPr>
            <w:tcW w:w="7603" w:type="dxa"/>
            <w:hideMark/>
          </w:tcPr>
          <w:p w14:paraId="73E7CBC8" w14:textId="77777777" w:rsidR="00CB540F" w:rsidRPr="004E6EF0" w:rsidRDefault="00CB540F" w:rsidP="007D5029">
            <w:pPr>
              <w:spacing w:line="240" w:lineRule="auto"/>
              <w:rPr>
                <w:rFonts w:cs="Arial"/>
                <w:color w:val="auto"/>
                <w:lang w:eastAsia="en-AU"/>
              </w:rPr>
            </w:pPr>
            <w:r w:rsidRPr="004E6EF0">
              <w:rPr>
                <w:rFonts w:cs="Arial"/>
                <w:color w:val="auto"/>
                <w:lang w:eastAsia="en-AU"/>
              </w:rPr>
              <w:t>KCI</w:t>
            </w:r>
          </w:p>
        </w:tc>
      </w:tr>
      <w:tr w:rsidR="00CB540F" w:rsidRPr="004E6EF0" w14:paraId="0F4A8E1E" w14:textId="77777777" w:rsidTr="00A2598E">
        <w:trPr>
          <w:trHeight w:val="255"/>
          <w:tblHeader/>
        </w:trPr>
        <w:tc>
          <w:tcPr>
            <w:tcW w:w="1577" w:type="dxa"/>
            <w:noWrap/>
            <w:hideMark/>
          </w:tcPr>
          <w:p w14:paraId="6D1BF6D8" w14:textId="77777777" w:rsidR="00CB540F" w:rsidRPr="004E6EF0" w:rsidRDefault="00CB540F" w:rsidP="007D5029">
            <w:pPr>
              <w:spacing w:line="240" w:lineRule="auto"/>
              <w:rPr>
                <w:rFonts w:cs="Arial"/>
                <w:color w:val="auto"/>
                <w:lang w:eastAsia="en-AU"/>
              </w:rPr>
            </w:pPr>
            <w:r w:rsidRPr="004E6EF0">
              <w:rPr>
                <w:rFonts w:cs="Arial"/>
                <w:color w:val="auto"/>
                <w:lang w:eastAsia="en-AU"/>
              </w:rPr>
              <w:t>74</w:t>
            </w:r>
          </w:p>
        </w:tc>
        <w:tc>
          <w:tcPr>
            <w:tcW w:w="7603" w:type="dxa"/>
            <w:hideMark/>
          </w:tcPr>
          <w:p w14:paraId="64D9B6E6" w14:textId="77777777" w:rsidR="00CB540F" w:rsidRPr="004E6EF0" w:rsidRDefault="00CB540F" w:rsidP="007D5029">
            <w:pPr>
              <w:spacing w:line="240" w:lineRule="auto"/>
              <w:rPr>
                <w:rFonts w:cs="Arial"/>
                <w:color w:val="auto"/>
                <w:lang w:eastAsia="en-AU"/>
              </w:rPr>
            </w:pPr>
            <w:r w:rsidRPr="004E6EF0">
              <w:rPr>
                <w:rFonts w:cs="Arial"/>
                <w:color w:val="auto"/>
                <w:lang w:eastAsia="en-AU"/>
              </w:rPr>
              <w:t>Calamvale Medical Centre</w:t>
            </w:r>
          </w:p>
        </w:tc>
      </w:tr>
      <w:tr w:rsidR="00CB540F" w:rsidRPr="004E6EF0" w14:paraId="1E1FC3B6" w14:textId="77777777" w:rsidTr="00A2598E">
        <w:trPr>
          <w:trHeight w:val="255"/>
          <w:tblHeader/>
        </w:trPr>
        <w:tc>
          <w:tcPr>
            <w:tcW w:w="1577" w:type="dxa"/>
            <w:noWrap/>
            <w:hideMark/>
          </w:tcPr>
          <w:p w14:paraId="3A3AD257" w14:textId="77777777" w:rsidR="00CB540F" w:rsidRPr="004E6EF0" w:rsidRDefault="00CB540F" w:rsidP="007D5029">
            <w:pPr>
              <w:spacing w:line="240" w:lineRule="auto"/>
              <w:rPr>
                <w:rFonts w:cs="Arial"/>
                <w:color w:val="auto"/>
                <w:lang w:eastAsia="en-AU"/>
              </w:rPr>
            </w:pPr>
            <w:r w:rsidRPr="004E6EF0">
              <w:rPr>
                <w:rFonts w:cs="Arial"/>
                <w:color w:val="auto"/>
                <w:lang w:eastAsia="en-AU"/>
              </w:rPr>
              <w:t>75</w:t>
            </w:r>
          </w:p>
        </w:tc>
        <w:tc>
          <w:tcPr>
            <w:tcW w:w="7603" w:type="dxa"/>
            <w:hideMark/>
          </w:tcPr>
          <w:p w14:paraId="7DA42B58" w14:textId="77777777" w:rsidR="00CB540F" w:rsidRPr="004E6EF0" w:rsidRDefault="00CB540F" w:rsidP="007D5029">
            <w:pPr>
              <w:spacing w:line="240" w:lineRule="auto"/>
              <w:rPr>
                <w:rFonts w:cs="Arial"/>
                <w:color w:val="auto"/>
                <w:lang w:eastAsia="en-AU"/>
              </w:rPr>
            </w:pPr>
            <w:r w:rsidRPr="004E6EF0">
              <w:rPr>
                <w:rFonts w:cs="Arial"/>
                <w:color w:val="auto"/>
                <w:lang w:eastAsia="en-AU"/>
              </w:rPr>
              <w:t>The Bethanie Group</w:t>
            </w:r>
          </w:p>
        </w:tc>
      </w:tr>
      <w:tr w:rsidR="00CB540F" w:rsidRPr="004E6EF0" w14:paraId="1F4EB870" w14:textId="77777777" w:rsidTr="00A2598E">
        <w:trPr>
          <w:trHeight w:val="255"/>
          <w:tblHeader/>
        </w:trPr>
        <w:tc>
          <w:tcPr>
            <w:tcW w:w="1577" w:type="dxa"/>
            <w:noWrap/>
            <w:hideMark/>
          </w:tcPr>
          <w:p w14:paraId="43A3D071" w14:textId="77777777" w:rsidR="00CB540F" w:rsidRPr="004E6EF0" w:rsidRDefault="00CB540F" w:rsidP="007D5029">
            <w:pPr>
              <w:spacing w:line="240" w:lineRule="auto"/>
              <w:rPr>
                <w:rFonts w:cs="Arial"/>
                <w:color w:val="auto"/>
                <w:lang w:eastAsia="en-AU"/>
              </w:rPr>
            </w:pPr>
            <w:r w:rsidRPr="004E6EF0">
              <w:rPr>
                <w:rFonts w:cs="Arial"/>
                <w:color w:val="auto"/>
                <w:lang w:eastAsia="en-AU"/>
              </w:rPr>
              <w:t>76</w:t>
            </w:r>
          </w:p>
        </w:tc>
        <w:tc>
          <w:tcPr>
            <w:tcW w:w="7603" w:type="dxa"/>
            <w:hideMark/>
          </w:tcPr>
          <w:p w14:paraId="7E806925" w14:textId="77777777" w:rsidR="00CB540F" w:rsidRPr="004E6EF0" w:rsidRDefault="00CB540F" w:rsidP="007D5029">
            <w:pPr>
              <w:spacing w:line="240" w:lineRule="auto"/>
              <w:rPr>
                <w:rFonts w:cs="Arial"/>
                <w:color w:val="auto"/>
                <w:lang w:eastAsia="en-AU"/>
              </w:rPr>
            </w:pPr>
            <w:r w:rsidRPr="004E6EF0">
              <w:rPr>
                <w:rFonts w:cs="Arial"/>
                <w:color w:val="auto"/>
                <w:lang w:eastAsia="en-AU"/>
              </w:rPr>
              <w:t>Ego Pharmaceuticals</w:t>
            </w:r>
          </w:p>
        </w:tc>
      </w:tr>
      <w:tr w:rsidR="00CB540F" w:rsidRPr="004E6EF0" w14:paraId="05FD95CE" w14:textId="77777777" w:rsidTr="00A2598E">
        <w:trPr>
          <w:trHeight w:val="255"/>
          <w:tblHeader/>
        </w:trPr>
        <w:tc>
          <w:tcPr>
            <w:tcW w:w="1577" w:type="dxa"/>
            <w:noWrap/>
            <w:hideMark/>
          </w:tcPr>
          <w:p w14:paraId="2A066E3D" w14:textId="77777777" w:rsidR="00CB540F" w:rsidRPr="004E6EF0" w:rsidRDefault="00CB540F" w:rsidP="007D5029">
            <w:pPr>
              <w:spacing w:line="240" w:lineRule="auto"/>
              <w:rPr>
                <w:rFonts w:cs="Arial"/>
                <w:color w:val="auto"/>
                <w:lang w:eastAsia="en-AU"/>
              </w:rPr>
            </w:pPr>
            <w:r w:rsidRPr="004E6EF0">
              <w:rPr>
                <w:rFonts w:cs="Arial"/>
                <w:color w:val="auto"/>
                <w:lang w:eastAsia="en-AU"/>
              </w:rPr>
              <w:t>77</w:t>
            </w:r>
          </w:p>
        </w:tc>
        <w:tc>
          <w:tcPr>
            <w:tcW w:w="7603" w:type="dxa"/>
            <w:hideMark/>
          </w:tcPr>
          <w:p w14:paraId="53BFF3EC"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AbRegen</w:t>
            </w:r>
            <w:proofErr w:type="spellEnd"/>
            <w:r w:rsidRPr="004E6EF0">
              <w:rPr>
                <w:rFonts w:cs="Arial"/>
                <w:color w:val="auto"/>
                <w:lang w:eastAsia="en-AU"/>
              </w:rPr>
              <w:t xml:space="preserve"> Pty Ltd</w:t>
            </w:r>
          </w:p>
        </w:tc>
      </w:tr>
      <w:tr w:rsidR="00CB540F" w:rsidRPr="004E6EF0" w14:paraId="3495AB68" w14:textId="77777777" w:rsidTr="00A2598E">
        <w:trPr>
          <w:trHeight w:val="255"/>
          <w:tblHeader/>
        </w:trPr>
        <w:tc>
          <w:tcPr>
            <w:tcW w:w="1577" w:type="dxa"/>
            <w:noWrap/>
            <w:hideMark/>
          </w:tcPr>
          <w:p w14:paraId="6C68B6FB" w14:textId="77777777" w:rsidR="00CB540F" w:rsidRPr="004E6EF0" w:rsidRDefault="00CB540F" w:rsidP="007D5029">
            <w:pPr>
              <w:spacing w:line="240" w:lineRule="auto"/>
              <w:rPr>
                <w:rFonts w:cs="Arial"/>
                <w:color w:val="auto"/>
                <w:lang w:eastAsia="en-AU"/>
              </w:rPr>
            </w:pPr>
            <w:r w:rsidRPr="004E6EF0">
              <w:rPr>
                <w:rFonts w:cs="Arial"/>
                <w:color w:val="auto"/>
                <w:lang w:eastAsia="en-AU"/>
              </w:rPr>
              <w:t>78</w:t>
            </w:r>
          </w:p>
        </w:tc>
        <w:tc>
          <w:tcPr>
            <w:tcW w:w="7603" w:type="dxa"/>
            <w:hideMark/>
          </w:tcPr>
          <w:p w14:paraId="0840AF67" w14:textId="77777777" w:rsidR="00CB540F" w:rsidRPr="004E6EF0" w:rsidRDefault="00CB540F" w:rsidP="007D5029">
            <w:pPr>
              <w:spacing w:line="240" w:lineRule="auto"/>
              <w:rPr>
                <w:rFonts w:cs="Arial"/>
                <w:color w:val="auto"/>
                <w:lang w:eastAsia="en-AU"/>
              </w:rPr>
            </w:pPr>
            <w:r w:rsidRPr="004E6EF0">
              <w:rPr>
                <w:rFonts w:cs="Arial"/>
                <w:color w:val="auto"/>
                <w:lang w:eastAsia="en-AU"/>
              </w:rPr>
              <w:t>World of Wounds</w:t>
            </w:r>
          </w:p>
        </w:tc>
      </w:tr>
      <w:tr w:rsidR="00CB540F" w:rsidRPr="004E6EF0" w14:paraId="2D37D4C3" w14:textId="77777777" w:rsidTr="00A2598E">
        <w:trPr>
          <w:trHeight w:val="255"/>
          <w:tblHeader/>
        </w:trPr>
        <w:tc>
          <w:tcPr>
            <w:tcW w:w="1577" w:type="dxa"/>
            <w:noWrap/>
            <w:hideMark/>
          </w:tcPr>
          <w:p w14:paraId="6CDD75F7" w14:textId="77777777" w:rsidR="00CB540F" w:rsidRPr="004E6EF0" w:rsidRDefault="00CB540F" w:rsidP="007D5029">
            <w:pPr>
              <w:spacing w:line="240" w:lineRule="auto"/>
              <w:rPr>
                <w:rFonts w:cs="Arial"/>
                <w:color w:val="auto"/>
                <w:lang w:eastAsia="en-AU"/>
              </w:rPr>
            </w:pPr>
            <w:r w:rsidRPr="004E6EF0">
              <w:rPr>
                <w:rFonts w:cs="Arial"/>
                <w:color w:val="auto"/>
                <w:lang w:eastAsia="en-AU"/>
              </w:rPr>
              <w:t>79</w:t>
            </w:r>
          </w:p>
        </w:tc>
        <w:tc>
          <w:tcPr>
            <w:tcW w:w="7603" w:type="dxa"/>
            <w:hideMark/>
          </w:tcPr>
          <w:p w14:paraId="070385FC" w14:textId="77777777" w:rsidR="00CB540F" w:rsidRPr="004E6EF0" w:rsidRDefault="00CB540F" w:rsidP="007D5029">
            <w:pPr>
              <w:spacing w:line="240" w:lineRule="auto"/>
              <w:rPr>
                <w:rFonts w:cs="Arial"/>
                <w:color w:val="auto"/>
                <w:lang w:eastAsia="en-AU"/>
              </w:rPr>
            </w:pPr>
            <w:r w:rsidRPr="004E6EF0">
              <w:rPr>
                <w:rFonts w:cs="Arial"/>
                <w:color w:val="auto"/>
                <w:lang w:eastAsia="en-AU"/>
              </w:rPr>
              <w:t>Greater Metro South Brisbane Medicare Local</w:t>
            </w:r>
          </w:p>
        </w:tc>
      </w:tr>
      <w:tr w:rsidR="00CB540F" w:rsidRPr="004E6EF0" w14:paraId="22281631" w14:textId="77777777" w:rsidTr="00A2598E">
        <w:trPr>
          <w:trHeight w:val="255"/>
          <w:tblHeader/>
        </w:trPr>
        <w:tc>
          <w:tcPr>
            <w:tcW w:w="1577" w:type="dxa"/>
            <w:noWrap/>
            <w:hideMark/>
          </w:tcPr>
          <w:p w14:paraId="51EA09DE" w14:textId="77777777" w:rsidR="00CB540F" w:rsidRPr="004E6EF0" w:rsidRDefault="00CB540F" w:rsidP="007D5029">
            <w:pPr>
              <w:spacing w:line="240" w:lineRule="auto"/>
              <w:rPr>
                <w:rFonts w:cs="Arial"/>
                <w:color w:val="auto"/>
                <w:lang w:eastAsia="en-AU"/>
              </w:rPr>
            </w:pPr>
            <w:r w:rsidRPr="004E6EF0">
              <w:rPr>
                <w:rFonts w:cs="Arial"/>
                <w:color w:val="auto"/>
                <w:lang w:eastAsia="en-AU"/>
              </w:rPr>
              <w:t>80</w:t>
            </w:r>
          </w:p>
        </w:tc>
        <w:tc>
          <w:tcPr>
            <w:tcW w:w="7603" w:type="dxa"/>
            <w:hideMark/>
          </w:tcPr>
          <w:p w14:paraId="1A895900" w14:textId="77777777" w:rsidR="00CB540F" w:rsidRPr="004E6EF0" w:rsidRDefault="00CB540F" w:rsidP="007D5029">
            <w:pPr>
              <w:spacing w:line="240" w:lineRule="auto"/>
              <w:rPr>
                <w:rFonts w:cs="Arial"/>
                <w:color w:val="auto"/>
                <w:lang w:eastAsia="en-AU"/>
              </w:rPr>
            </w:pPr>
            <w:r w:rsidRPr="004E6EF0">
              <w:rPr>
                <w:rFonts w:cs="Arial"/>
                <w:color w:val="auto"/>
                <w:lang w:eastAsia="en-AU"/>
              </w:rPr>
              <w:t>Gallipoli Medical Research Foundation</w:t>
            </w:r>
          </w:p>
        </w:tc>
      </w:tr>
      <w:tr w:rsidR="00CB540F" w:rsidRPr="004E6EF0" w14:paraId="57B00B17" w14:textId="77777777" w:rsidTr="00A2598E">
        <w:trPr>
          <w:trHeight w:val="255"/>
          <w:tblHeader/>
        </w:trPr>
        <w:tc>
          <w:tcPr>
            <w:tcW w:w="1577" w:type="dxa"/>
            <w:noWrap/>
            <w:hideMark/>
          </w:tcPr>
          <w:p w14:paraId="76E80A53" w14:textId="77777777" w:rsidR="00CB540F" w:rsidRPr="004E6EF0" w:rsidRDefault="00CB540F" w:rsidP="007D5029">
            <w:pPr>
              <w:spacing w:line="240" w:lineRule="auto"/>
              <w:rPr>
                <w:rFonts w:cs="Arial"/>
                <w:color w:val="auto"/>
                <w:lang w:eastAsia="en-AU"/>
              </w:rPr>
            </w:pPr>
            <w:r w:rsidRPr="004E6EF0">
              <w:rPr>
                <w:rFonts w:cs="Arial"/>
                <w:color w:val="auto"/>
                <w:lang w:eastAsia="en-AU"/>
              </w:rPr>
              <w:t>81</w:t>
            </w:r>
          </w:p>
        </w:tc>
        <w:tc>
          <w:tcPr>
            <w:tcW w:w="7603" w:type="dxa"/>
            <w:hideMark/>
          </w:tcPr>
          <w:p w14:paraId="3EE0F8A8" w14:textId="77777777" w:rsidR="00CB540F" w:rsidRPr="004E6EF0" w:rsidRDefault="00CB540F" w:rsidP="007D5029">
            <w:pPr>
              <w:spacing w:line="240" w:lineRule="auto"/>
              <w:rPr>
                <w:rFonts w:cs="Arial"/>
                <w:color w:val="auto"/>
                <w:lang w:eastAsia="en-AU"/>
              </w:rPr>
            </w:pPr>
            <w:r w:rsidRPr="004E6EF0">
              <w:rPr>
                <w:rFonts w:cs="Arial"/>
                <w:color w:val="auto"/>
                <w:lang w:eastAsia="en-AU"/>
              </w:rPr>
              <w:t>Northern Melbourne Medicare Local</w:t>
            </w:r>
          </w:p>
        </w:tc>
      </w:tr>
      <w:tr w:rsidR="00CB540F" w:rsidRPr="004E6EF0" w14:paraId="23D6586D" w14:textId="77777777" w:rsidTr="00A2598E">
        <w:trPr>
          <w:trHeight w:val="255"/>
          <w:tblHeader/>
        </w:trPr>
        <w:tc>
          <w:tcPr>
            <w:tcW w:w="1577" w:type="dxa"/>
            <w:noWrap/>
            <w:hideMark/>
          </w:tcPr>
          <w:p w14:paraId="17A644D4" w14:textId="77777777" w:rsidR="00CB540F" w:rsidRPr="004E6EF0" w:rsidRDefault="00CB540F" w:rsidP="007D5029">
            <w:pPr>
              <w:spacing w:line="240" w:lineRule="auto"/>
              <w:rPr>
                <w:rFonts w:cs="Arial"/>
                <w:color w:val="auto"/>
                <w:lang w:eastAsia="en-AU"/>
              </w:rPr>
            </w:pPr>
            <w:r w:rsidRPr="004E6EF0">
              <w:rPr>
                <w:rFonts w:cs="Arial"/>
                <w:color w:val="auto"/>
                <w:lang w:eastAsia="en-AU"/>
              </w:rPr>
              <w:t>82</w:t>
            </w:r>
          </w:p>
        </w:tc>
        <w:tc>
          <w:tcPr>
            <w:tcW w:w="7603" w:type="dxa"/>
            <w:hideMark/>
          </w:tcPr>
          <w:p w14:paraId="60AB39D4"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Francis </w:t>
            </w:r>
            <w:proofErr w:type="spellStart"/>
            <w:r w:rsidRPr="004E6EF0">
              <w:rPr>
                <w:rFonts w:cs="Arial"/>
                <w:color w:val="auto"/>
                <w:lang w:eastAsia="en-AU"/>
              </w:rPr>
              <w:t>Abourizk</w:t>
            </w:r>
            <w:proofErr w:type="spellEnd"/>
            <w:r w:rsidRPr="004E6EF0">
              <w:rPr>
                <w:rFonts w:cs="Arial"/>
                <w:color w:val="auto"/>
                <w:lang w:eastAsia="en-AU"/>
              </w:rPr>
              <w:t xml:space="preserve"> </w:t>
            </w:r>
            <w:proofErr w:type="spellStart"/>
            <w:r w:rsidRPr="004E6EF0">
              <w:rPr>
                <w:rFonts w:cs="Arial"/>
                <w:color w:val="auto"/>
                <w:lang w:eastAsia="en-AU"/>
              </w:rPr>
              <w:t>Lightowlers</w:t>
            </w:r>
            <w:proofErr w:type="spellEnd"/>
          </w:p>
        </w:tc>
      </w:tr>
      <w:tr w:rsidR="00CB540F" w:rsidRPr="004E6EF0" w14:paraId="25901340" w14:textId="77777777" w:rsidTr="00A2598E">
        <w:trPr>
          <w:trHeight w:val="255"/>
          <w:tblHeader/>
        </w:trPr>
        <w:tc>
          <w:tcPr>
            <w:tcW w:w="1577" w:type="dxa"/>
            <w:noWrap/>
            <w:hideMark/>
          </w:tcPr>
          <w:p w14:paraId="710B2257" w14:textId="77777777" w:rsidR="00CB540F" w:rsidRPr="004E6EF0" w:rsidRDefault="00CB540F" w:rsidP="007D5029">
            <w:pPr>
              <w:spacing w:line="240" w:lineRule="auto"/>
              <w:rPr>
                <w:rFonts w:cs="Arial"/>
                <w:color w:val="auto"/>
                <w:lang w:eastAsia="en-AU"/>
              </w:rPr>
            </w:pPr>
            <w:r w:rsidRPr="004E6EF0">
              <w:rPr>
                <w:rFonts w:cs="Arial"/>
                <w:color w:val="auto"/>
                <w:lang w:eastAsia="en-AU"/>
              </w:rPr>
              <w:t>83</w:t>
            </w:r>
          </w:p>
        </w:tc>
        <w:tc>
          <w:tcPr>
            <w:tcW w:w="7603" w:type="dxa"/>
            <w:hideMark/>
          </w:tcPr>
          <w:p w14:paraId="53314E27" w14:textId="77777777" w:rsidR="00CB540F" w:rsidRPr="004E6EF0" w:rsidRDefault="00CB540F" w:rsidP="007D5029">
            <w:pPr>
              <w:spacing w:line="240" w:lineRule="auto"/>
              <w:rPr>
                <w:rFonts w:cs="Arial"/>
                <w:color w:val="auto"/>
                <w:lang w:eastAsia="en-AU"/>
              </w:rPr>
            </w:pPr>
            <w:r w:rsidRPr="004E6EF0">
              <w:rPr>
                <w:rFonts w:cs="Arial"/>
                <w:color w:val="auto"/>
                <w:lang w:eastAsia="en-AU"/>
              </w:rPr>
              <w:t>Royal District nursing Service</w:t>
            </w:r>
          </w:p>
        </w:tc>
      </w:tr>
      <w:tr w:rsidR="00CB540F" w:rsidRPr="004E6EF0" w14:paraId="389BF20E" w14:textId="77777777" w:rsidTr="00A2598E">
        <w:trPr>
          <w:trHeight w:val="255"/>
          <w:tblHeader/>
        </w:trPr>
        <w:tc>
          <w:tcPr>
            <w:tcW w:w="1577" w:type="dxa"/>
            <w:noWrap/>
            <w:hideMark/>
          </w:tcPr>
          <w:p w14:paraId="233F3300" w14:textId="77777777" w:rsidR="00CB540F" w:rsidRPr="004E6EF0" w:rsidRDefault="00CB540F" w:rsidP="007D5029">
            <w:pPr>
              <w:spacing w:line="240" w:lineRule="auto"/>
              <w:rPr>
                <w:rFonts w:cs="Arial"/>
                <w:color w:val="auto"/>
                <w:lang w:eastAsia="en-AU"/>
              </w:rPr>
            </w:pPr>
            <w:r w:rsidRPr="004E6EF0">
              <w:rPr>
                <w:rFonts w:cs="Arial"/>
                <w:color w:val="auto"/>
                <w:lang w:eastAsia="en-AU"/>
              </w:rPr>
              <w:t>84</w:t>
            </w:r>
          </w:p>
        </w:tc>
        <w:tc>
          <w:tcPr>
            <w:tcW w:w="7603" w:type="dxa"/>
            <w:hideMark/>
          </w:tcPr>
          <w:p w14:paraId="4A945C0B" w14:textId="77777777" w:rsidR="00CB540F" w:rsidRPr="004E6EF0" w:rsidRDefault="00CB540F" w:rsidP="007D5029">
            <w:pPr>
              <w:spacing w:line="240" w:lineRule="auto"/>
              <w:rPr>
                <w:rFonts w:cs="Arial"/>
                <w:color w:val="auto"/>
                <w:lang w:eastAsia="en-AU"/>
              </w:rPr>
            </w:pPr>
            <w:r w:rsidRPr="004E6EF0">
              <w:rPr>
                <w:rFonts w:cs="Arial"/>
                <w:color w:val="auto"/>
                <w:lang w:eastAsia="en-AU"/>
              </w:rPr>
              <w:t>Blue Care</w:t>
            </w:r>
          </w:p>
        </w:tc>
      </w:tr>
      <w:tr w:rsidR="00CB540F" w:rsidRPr="004E6EF0" w14:paraId="3C98079C" w14:textId="77777777" w:rsidTr="00A2598E">
        <w:trPr>
          <w:trHeight w:val="255"/>
          <w:tblHeader/>
        </w:trPr>
        <w:tc>
          <w:tcPr>
            <w:tcW w:w="1577" w:type="dxa"/>
            <w:noWrap/>
            <w:hideMark/>
          </w:tcPr>
          <w:p w14:paraId="51A1D7AE" w14:textId="77777777" w:rsidR="00CB540F" w:rsidRPr="004E6EF0" w:rsidRDefault="00CB540F" w:rsidP="007D5029">
            <w:pPr>
              <w:spacing w:line="240" w:lineRule="auto"/>
              <w:rPr>
                <w:rFonts w:cs="Arial"/>
                <w:color w:val="auto"/>
                <w:lang w:eastAsia="en-AU"/>
              </w:rPr>
            </w:pPr>
            <w:r w:rsidRPr="004E6EF0">
              <w:rPr>
                <w:rFonts w:cs="Arial"/>
                <w:color w:val="auto"/>
                <w:lang w:eastAsia="en-AU"/>
              </w:rPr>
              <w:t>85</w:t>
            </w:r>
          </w:p>
        </w:tc>
        <w:tc>
          <w:tcPr>
            <w:tcW w:w="7603" w:type="dxa"/>
            <w:hideMark/>
          </w:tcPr>
          <w:p w14:paraId="48DC0AD2" w14:textId="77777777" w:rsidR="00CB540F" w:rsidRPr="004E6EF0" w:rsidRDefault="00CB540F" w:rsidP="007D5029">
            <w:pPr>
              <w:spacing w:line="240" w:lineRule="auto"/>
              <w:rPr>
                <w:rFonts w:cs="Arial"/>
                <w:color w:val="auto"/>
                <w:lang w:eastAsia="en-AU"/>
              </w:rPr>
            </w:pPr>
            <w:r w:rsidRPr="004E6EF0">
              <w:rPr>
                <w:rFonts w:cs="Arial"/>
                <w:color w:val="auto"/>
                <w:lang w:eastAsia="en-AU"/>
              </w:rPr>
              <w:t>Silver Chain Group</w:t>
            </w:r>
          </w:p>
        </w:tc>
      </w:tr>
      <w:tr w:rsidR="00CB540F" w:rsidRPr="004E6EF0" w14:paraId="58933CF6" w14:textId="77777777" w:rsidTr="00A2598E">
        <w:trPr>
          <w:trHeight w:val="255"/>
          <w:tblHeader/>
        </w:trPr>
        <w:tc>
          <w:tcPr>
            <w:tcW w:w="1577" w:type="dxa"/>
            <w:noWrap/>
            <w:hideMark/>
          </w:tcPr>
          <w:p w14:paraId="2F68C609" w14:textId="77777777" w:rsidR="00CB540F" w:rsidRPr="004E6EF0" w:rsidRDefault="00CB540F" w:rsidP="007D5029">
            <w:pPr>
              <w:spacing w:line="240" w:lineRule="auto"/>
              <w:rPr>
                <w:rFonts w:cs="Arial"/>
                <w:color w:val="auto"/>
                <w:lang w:eastAsia="en-AU"/>
              </w:rPr>
            </w:pPr>
            <w:r w:rsidRPr="004E6EF0">
              <w:rPr>
                <w:rFonts w:cs="Arial"/>
                <w:color w:val="auto"/>
                <w:lang w:eastAsia="en-AU"/>
              </w:rPr>
              <w:t>86</w:t>
            </w:r>
          </w:p>
        </w:tc>
        <w:tc>
          <w:tcPr>
            <w:tcW w:w="7603" w:type="dxa"/>
            <w:hideMark/>
          </w:tcPr>
          <w:p w14:paraId="6182235B" w14:textId="77777777" w:rsidR="00CB540F" w:rsidRPr="004E6EF0" w:rsidRDefault="00CB540F" w:rsidP="007D5029">
            <w:pPr>
              <w:spacing w:line="240" w:lineRule="auto"/>
              <w:rPr>
                <w:rFonts w:cs="Arial"/>
                <w:color w:val="auto"/>
                <w:lang w:eastAsia="en-AU"/>
              </w:rPr>
            </w:pPr>
            <w:r w:rsidRPr="004E6EF0">
              <w:rPr>
                <w:rFonts w:cs="Arial"/>
                <w:color w:val="auto"/>
                <w:lang w:eastAsia="en-AU"/>
              </w:rPr>
              <w:t>Queensland University of Technology</w:t>
            </w:r>
          </w:p>
        </w:tc>
      </w:tr>
      <w:tr w:rsidR="00CB540F" w:rsidRPr="004E6EF0" w14:paraId="2F3CD7A1" w14:textId="77777777" w:rsidTr="00A2598E">
        <w:trPr>
          <w:trHeight w:val="255"/>
          <w:tblHeader/>
        </w:trPr>
        <w:tc>
          <w:tcPr>
            <w:tcW w:w="1577" w:type="dxa"/>
            <w:noWrap/>
            <w:hideMark/>
          </w:tcPr>
          <w:p w14:paraId="2396A095" w14:textId="77777777" w:rsidR="00CB540F" w:rsidRPr="004E6EF0" w:rsidRDefault="00CB540F" w:rsidP="007D5029">
            <w:pPr>
              <w:spacing w:line="240" w:lineRule="auto"/>
              <w:rPr>
                <w:rFonts w:cs="Arial"/>
                <w:color w:val="auto"/>
                <w:lang w:eastAsia="en-AU"/>
              </w:rPr>
            </w:pPr>
            <w:r w:rsidRPr="004E6EF0">
              <w:rPr>
                <w:rFonts w:cs="Arial"/>
                <w:color w:val="auto"/>
                <w:lang w:eastAsia="en-AU"/>
              </w:rPr>
              <w:t>87</w:t>
            </w:r>
          </w:p>
        </w:tc>
        <w:tc>
          <w:tcPr>
            <w:tcW w:w="7603" w:type="dxa"/>
            <w:hideMark/>
          </w:tcPr>
          <w:p w14:paraId="649B273A" w14:textId="77777777" w:rsidR="00CB540F" w:rsidRPr="004E6EF0" w:rsidRDefault="00CB540F" w:rsidP="007D5029">
            <w:pPr>
              <w:spacing w:line="240" w:lineRule="auto"/>
              <w:rPr>
                <w:rFonts w:cs="Arial"/>
                <w:color w:val="auto"/>
                <w:lang w:eastAsia="en-AU"/>
              </w:rPr>
            </w:pPr>
            <w:r w:rsidRPr="004E6EF0">
              <w:rPr>
                <w:rFonts w:cs="Arial"/>
                <w:color w:val="auto"/>
                <w:lang w:eastAsia="en-AU"/>
              </w:rPr>
              <w:t>Garden City Medical Centre</w:t>
            </w:r>
          </w:p>
        </w:tc>
      </w:tr>
      <w:tr w:rsidR="00CB540F" w:rsidRPr="004E6EF0" w14:paraId="57AACC65" w14:textId="77777777" w:rsidTr="00A2598E">
        <w:trPr>
          <w:trHeight w:val="255"/>
          <w:tblHeader/>
        </w:trPr>
        <w:tc>
          <w:tcPr>
            <w:tcW w:w="1577" w:type="dxa"/>
            <w:noWrap/>
            <w:hideMark/>
          </w:tcPr>
          <w:p w14:paraId="4C29031F" w14:textId="77777777" w:rsidR="00CB540F" w:rsidRPr="004E6EF0" w:rsidRDefault="00CB540F" w:rsidP="007D5029">
            <w:pPr>
              <w:spacing w:line="240" w:lineRule="auto"/>
              <w:rPr>
                <w:rFonts w:cs="Arial"/>
                <w:color w:val="auto"/>
                <w:lang w:eastAsia="en-AU"/>
              </w:rPr>
            </w:pPr>
            <w:r w:rsidRPr="004E6EF0">
              <w:rPr>
                <w:rFonts w:cs="Arial"/>
                <w:color w:val="auto"/>
                <w:lang w:eastAsia="en-AU"/>
              </w:rPr>
              <w:t>88</w:t>
            </w:r>
          </w:p>
        </w:tc>
        <w:tc>
          <w:tcPr>
            <w:tcW w:w="7603" w:type="dxa"/>
            <w:hideMark/>
          </w:tcPr>
          <w:p w14:paraId="5C69889D" w14:textId="77777777" w:rsidR="00CB540F" w:rsidRPr="004E6EF0" w:rsidRDefault="00CB540F" w:rsidP="007D5029">
            <w:pPr>
              <w:spacing w:line="240" w:lineRule="auto"/>
              <w:rPr>
                <w:rFonts w:cs="Arial"/>
                <w:color w:val="auto"/>
                <w:lang w:eastAsia="en-AU"/>
              </w:rPr>
            </w:pPr>
            <w:r w:rsidRPr="004E6EF0">
              <w:rPr>
                <w:rFonts w:cs="Arial"/>
                <w:color w:val="auto"/>
                <w:lang w:eastAsia="en-AU"/>
              </w:rPr>
              <w:t>North Coast NSW Medicare Local</w:t>
            </w:r>
          </w:p>
        </w:tc>
      </w:tr>
      <w:tr w:rsidR="00CB540F" w:rsidRPr="004E6EF0" w14:paraId="2514E182" w14:textId="77777777" w:rsidTr="00A2598E">
        <w:trPr>
          <w:trHeight w:val="255"/>
          <w:tblHeader/>
        </w:trPr>
        <w:tc>
          <w:tcPr>
            <w:tcW w:w="1577" w:type="dxa"/>
            <w:noWrap/>
            <w:hideMark/>
          </w:tcPr>
          <w:p w14:paraId="4E7024F8" w14:textId="77777777" w:rsidR="00CB540F" w:rsidRPr="004E6EF0" w:rsidRDefault="00CB540F" w:rsidP="007D5029">
            <w:pPr>
              <w:spacing w:line="240" w:lineRule="auto"/>
              <w:rPr>
                <w:rFonts w:cs="Arial"/>
                <w:color w:val="auto"/>
                <w:lang w:eastAsia="en-AU"/>
              </w:rPr>
            </w:pPr>
            <w:r w:rsidRPr="004E6EF0">
              <w:rPr>
                <w:rFonts w:cs="Arial"/>
                <w:color w:val="auto"/>
                <w:lang w:eastAsia="en-AU"/>
              </w:rPr>
              <w:t>89</w:t>
            </w:r>
          </w:p>
        </w:tc>
        <w:tc>
          <w:tcPr>
            <w:tcW w:w="7603" w:type="dxa"/>
            <w:hideMark/>
          </w:tcPr>
          <w:p w14:paraId="3F47159C"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Acelity</w:t>
            </w:r>
            <w:proofErr w:type="spellEnd"/>
          </w:p>
        </w:tc>
      </w:tr>
      <w:tr w:rsidR="00CB540F" w:rsidRPr="004E6EF0" w14:paraId="73E5ED61" w14:textId="77777777" w:rsidTr="00A2598E">
        <w:trPr>
          <w:trHeight w:val="255"/>
          <w:tblHeader/>
        </w:trPr>
        <w:tc>
          <w:tcPr>
            <w:tcW w:w="1577" w:type="dxa"/>
            <w:noWrap/>
            <w:hideMark/>
          </w:tcPr>
          <w:p w14:paraId="2D1BF7EB" w14:textId="77777777" w:rsidR="00CB540F" w:rsidRPr="004E6EF0" w:rsidRDefault="00CB540F" w:rsidP="007D5029">
            <w:pPr>
              <w:spacing w:line="240" w:lineRule="auto"/>
              <w:rPr>
                <w:rFonts w:cs="Arial"/>
                <w:color w:val="auto"/>
                <w:lang w:eastAsia="en-AU"/>
              </w:rPr>
            </w:pPr>
            <w:r w:rsidRPr="004E6EF0">
              <w:rPr>
                <w:rFonts w:cs="Arial"/>
                <w:color w:val="auto"/>
                <w:lang w:eastAsia="en-AU"/>
              </w:rPr>
              <w:t>90</w:t>
            </w:r>
          </w:p>
        </w:tc>
        <w:tc>
          <w:tcPr>
            <w:tcW w:w="7603" w:type="dxa"/>
            <w:hideMark/>
          </w:tcPr>
          <w:p w14:paraId="2502B4FC" w14:textId="77777777" w:rsidR="00CB540F" w:rsidRPr="004E6EF0" w:rsidRDefault="00CB540F" w:rsidP="007D5029">
            <w:pPr>
              <w:spacing w:line="240" w:lineRule="auto"/>
              <w:rPr>
                <w:rFonts w:cs="Arial"/>
                <w:color w:val="auto"/>
                <w:lang w:eastAsia="en-AU"/>
              </w:rPr>
            </w:pPr>
            <w:r w:rsidRPr="004E6EF0">
              <w:rPr>
                <w:rFonts w:cs="Arial"/>
                <w:color w:val="auto"/>
                <w:lang w:eastAsia="en-AU"/>
              </w:rPr>
              <w:t>International Water Centre</w:t>
            </w:r>
          </w:p>
        </w:tc>
      </w:tr>
      <w:tr w:rsidR="00CB540F" w:rsidRPr="004E6EF0" w14:paraId="22C4D445" w14:textId="77777777" w:rsidTr="00A2598E">
        <w:trPr>
          <w:trHeight w:val="255"/>
          <w:tblHeader/>
        </w:trPr>
        <w:tc>
          <w:tcPr>
            <w:tcW w:w="1577" w:type="dxa"/>
            <w:noWrap/>
            <w:hideMark/>
          </w:tcPr>
          <w:p w14:paraId="56D0872A" w14:textId="77777777" w:rsidR="00CB540F" w:rsidRPr="004E6EF0" w:rsidRDefault="00CB540F" w:rsidP="007D5029">
            <w:pPr>
              <w:spacing w:line="240" w:lineRule="auto"/>
              <w:rPr>
                <w:rFonts w:cs="Arial"/>
                <w:color w:val="auto"/>
                <w:lang w:eastAsia="en-AU"/>
              </w:rPr>
            </w:pPr>
            <w:r w:rsidRPr="004E6EF0">
              <w:rPr>
                <w:rFonts w:cs="Arial"/>
                <w:color w:val="auto"/>
                <w:lang w:eastAsia="en-AU"/>
              </w:rPr>
              <w:t>91</w:t>
            </w:r>
          </w:p>
        </w:tc>
        <w:tc>
          <w:tcPr>
            <w:tcW w:w="7603" w:type="dxa"/>
            <w:hideMark/>
          </w:tcPr>
          <w:p w14:paraId="18DE49E0" w14:textId="77777777" w:rsidR="00CB540F" w:rsidRPr="004E6EF0" w:rsidRDefault="00CB540F" w:rsidP="007D5029">
            <w:pPr>
              <w:spacing w:line="240" w:lineRule="auto"/>
              <w:rPr>
                <w:rFonts w:cs="Arial"/>
                <w:color w:val="auto"/>
                <w:lang w:eastAsia="en-AU"/>
              </w:rPr>
            </w:pPr>
            <w:r w:rsidRPr="004E6EF0">
              <w:rPr>
                <w:rFonts w:cs="Arial"/>
                <w:color w:val="auto"/>
                <w:lang w:eastAsia="en-AU"/>
              </w:rPr>
              <w:t>Vale Exploration Canada Inc.</w:t>
            </w:r>
          </w:p>
        </w:tc>
      </w:tr>
      <w:tr w:rsidR="00CB540F" w:rsidRPr="004E6EF0" w14:paraId="22D5090B" w14:textId="77777777" w:rsidTr="00A2598E">
        <w:trPr>
          <w:trHeight w:val="255"/>
          <w:tblHeader/>
        </w:trPr>
        <w:tc>
          <w:tcPr>
            <w:tcW w:w="1577" w:type="dxa"/>
            <w:noWrap/>
            <w:hideMark/>
          </w:tcPr>
          <w:p w14:paraId="74100FE3" w14:textId="77777777" w:rsidR="00CB540F" w:rsidRPr="004E6EF0" w:rsidRDefault="00CB540F" w:rsidP="007D5029">
            <w:pPr>
              <w:spacing w:line="240" w:lineRule="auto"/>
              <w:rPr>
                <w:rFonts w:cs="Arial"/>
                <w:color w:val="auto"/>
                <w:lang w:eastAsia="en-AU"/>
              </w:rPr>
            </w:pPr>
            <w:r w:rsidRPr="004E6EF0">
              <w:rPr>
                <w:rFonts w:cs="Arial"/>
                <w:color w:val="auto"/>
                <w:lang w:eastAsia="en-AU"/>
              </w:rPr>
              <w:lastRenderedPageBreak/>
              <w:t>92</w:t>
            </w:r>
          </w:p>
        </w:tc>
        <w:tc>
          <w:tcPr>
            <w:tcW w:w="7603" w:type="dxa"/>
            <w:hideMark/>
          </w:tcPr>
          <w:p w14:paraId="273E79D8"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Glennwarrie</w:t>
            </w:r>
            <w:proofErr w:type="spellEnd"/>
            <w:r w:rsidRPr="004E6EF0">
              <w:rPr>
                <w:rFonts w:cs="Arial"/>
                <w:color w:val="auto"/>
                <w:lang w:eastAsia="en-AU"/>
              </w:rPr>
              <w:t xml:space="preserve"> Partnership</w:t>
            </w:r>
          </w:p>
        </w:tc>
      </w:tr>
      <w:tr w:rsidR="00CB540F" w:rsidRPr="004E6EF0" w14:paraId="5F923401" w14:textId="77777777" w:rsidTr="00A2598E">
        <w:trPr>
          <w:trHeight w:val="255"/>
          <w:tblHeader/>
        </w:trPr>
        <w:tc>
          <w:tcPr>
            <w:tcW w:w="1577" w:type="dxa"/>
            <w:noWrap/>
            <w:hideMark/>
          </w:tcPr>
          <w:p w14:paraId="61C8BFF7" w14:textId="77777777" w:rsidR="00CB540F" w:rsidRPr="004E6EF0" w:rsidRDefault="00CB540F" w:rsidP="007D5029">
            <w:pPr>
              <w:spacing w:line="240" w:lineRule="auto"/>
              <w:rPr>
                <w:rFonts w:cs="Arial"/>
                <w:color w:val="auto"/>
                <w:lang w:eastAsia="en-AU"/>
              </w:rPr>
            </w:pPr>
            <w:r w:rsidRPr="004E6EF0">
              <w:rPr>
                <w:rFonts w:cs="Arial"/>
                <w:color w:val="auto"/>
                <w:lang w:eastAsia="en-AU"/>
              </w:rPr>
              <w:t>93</w:t>
            </w:r>
          </w:p>
        </w:tc>
        <w:tc>
          <w:tcPr>
            <w:tcW w:w="7603" w:type="dxa"/>
            <w:hideMark/>
          </w:tcPr>
          <w:p w14:paraId="6D793FD1" w14:textId="77777777" w:rsidR="00CB540F" w:rsidRPr="004E6EF0" w:rsidRDefault="00CB540F" w:rsidP="007D5029">
            <w:pPr>
              <w:spacing w:line="240" w:lineRule="auto"/>
              <w:rPr>
                <w:rFonts w:cs="Arial"/>
                <w:color w:val="auto"/>
                <w:lang w:eastAsia="en-AU"/>
              </w:rPr>
            </w:pPr>
            <w:r w:rsidRPr="004E6EF0">
              <w:rPr>
                <w:rFonts w:cs="Arial"/>
                <w:color w:val="auto"/>
                <w:lang w:eastAsia="en-AU"/>
              </w:rPr>
              <w:t>Deep Exploration Technologies CRC</w:t>
            </w:r>
          </w:p>
        </w:tc>
      </w:tr>
      <w:tr w:rsidR="00CB540F" w:rsidRPr="004E6EF0" w14:paraId="12445A35" w14:textId="77777777" w:rsidTr="00A2598E">
        <w:trPr>
          <w:trHeight w:val="255"/>
          <w:tblHeader/>
        </w:trPr>
        <w:tc>
          <w:tcPr>
            <w:tcW w:w="1577" w:type="dxa"/>
            <w:noWrap/>
            <w:hideMark/>
          </w:tcPr>
          <w:p w14:paraId="06E1E69B" w14:textId="77777777" w:rsidR="00CB540F" w:rsidRPr="004E6EF0" w:rsidRDefault="00CB540F" w:rsidP="007D5029">
            <w:pPr>
              <w:spacing w:line="240" w:lineRule="auto"/>
              <w:rPr>
                <w:rFonts w:cs="Arial"/>
                <w:color w:val="auto"/>
                <w:lang w:eastAsia="en-AU"/>
              </w:rPr>
            </w:pPr>
            <w:r w:rsidRPr="004E6EF0">
              <w:rPr>
                <w:rFonts w:cs="Arial"/>
                <w:color w:val="auto"/>
                <w:lang w:eastAsia="en-AU"/>
              </w:rPr>
              <w:t>94</w:t>
            </w:r>
          </w:p>
        </w:tc>
        <w:tc>
          <w:tcPr>
            <w:tcW w:w="7603" w:type="dxa"/>
            <w:hideMark/>
          </w:tcPr>
          <w:p w14:paraId="23586C6D"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Panopticrypt</w:t>
            </w:r>
            <w:proofErr w:type="spellEnd"/>
            <w:r w:rsidRPr="004E6EF0">
              <w:rPr>
                <w:rFonts w:cs="Arial"/>
                <w:color w:val="auto"/>
                <w:lang w:eastAsia="en-AU"/>
              </w:rPr>
              <w:t xml:space="preserve"> Pty Ltd</w:t>
            </w:r>
          </w:p>
        </w:tc>
      </w:tr>
      <w:tr w:rsidR="00CB540F" w:rsidRPr="004E6EF0" w14:paraId="7C32C626" w14:textId="77777777" w:rsidTr="00A2598E">
        <w:trPr>
          <w:trHeight w:val="255"/>
          <w:tblHeader/>
        </w:trPr>
        <w:tc>
          <w:tcPr>
            <w:tcW w:w="1577" w:type="dxa"/>
            <w:noWrap/>
            <w:hideMark/>
          </w:tcPr>
          <w:p w14:paraId="6345571A" w14:textId="77777777" w:rsidR="00CB540F" w:rsidRPr="004E6EF0" w:rsidRDefault="00CB540F" w:rsidP="007D5029">
            <w:pPr>
              <w:spacing w:line="240" w:lineRule="auto"/>
              <w:rPr>
                <w:rFonts w:cs="Arial"/>
                <w:color w:val="auto"/>
                <w:lang w:eastAsia="en-AU"/>
              </w:rPr>
            </w:pPr>
            <w:r w:rsidRPr="004E6EF0">
              <w:rPr>
                <w:rFonts w:cs="Arial"/>
                <w:color w:val="auto"/>
                <w:lang w:eastAsia="en-AU"/>
              </w:rPr>
              <w:t>95</w:t>
            </w:r>
          </w:p>
        </w:tc>
        <w:tc>
          <w:tcPr>
            <w:tcW w:w="7603" w:type="dxa"/>
            <w:hideMark/>
          </w:tcPr>
          <w:p w14:paraId="762B74F5" w14:textId="77777777" w:rsidR="00CB540F" w:rsidRPr="004E6EF0" w:rsidRDefault="00CB540F" w:rsidP="007D5029">
            <w:pPr>
              <w:spacing w:line="240" w:lineRule="auto"/>
              <w:rPr>
                <w:rFonts w:cs="Arial"/>
                <w:color w:val="auto"/>
                <w:lang w:eastAsia="en-AU"/>
              </w:rPr>
            </w:pPr>
            <w:r w:rsidRPr="004E6EF0">
              <w:rPr>
                <w:rFonts w:cs="Arial"/>
                <w:color w:val="auto"/>
                <w:lang w:eastAsia="en-AU"/>
              </w:rPr>
              <w:t>RMIT University</w:t>
            </w:r>
          </w:p>
        </w:tc>
      </w:tr>
      <w:tr w:rsidR="00CB540F" w:rsidRPr="004E6EF0" w14:paraId="085AC288" w14:textId="77777777" w:rsidTr="00A2598E">
        <w:trPr>
          <w:trHeight w:val="255"/>
          <w:tblHeader/>
        </w:trPr>
        <w:tc>
          <w:tcPr>
            <w:tcW w:w="1577" w:type="dxa"/>
            <w:noWrap/>
            <w:hideMark/>
          </w:tcPr>
          <w:p w14:paraId="42E89644" w14:textId="77777777" w:rsidR="00CB540F" w:rsidRPr="004E6EF0" w:rsidRDefault="00CB540F" w:rsidP="007D5029">
            <w:pPr>
              <w:spacing w:line="240" w:lineRule="auto"/>
              <w:rPr>
                <w:rFonts w:cs="Arial"/>
                <w:color w:val="auto"/>
                <w:lang w:eastAsia="en-AU"/>
              </w:rPr>
            </w:pPr>
            <w:r w:rsidRPr="004E6EF0">
              <w:rPr>
                <w:rFonts w:cs="Arial"/>
                <w:color w:val="auto"/>
                <w:lang w:eastAsia="en-AU"/>
              </w:rPr>
              <w:t>96</w:t>
            </w:r>
          </w:p>
        </w:tc>
        <w:tc>
          <w:tcPr>
            <w:tcW w:w="7603" w:type="dxa"/>
            <w:hideMark/>
          </w:tcPr>
          <w:p w14:paraId="6FD98F48" w14:textId="77777777" w:rsidR="00CB540F" w:rsidRPr="004E6EF0" w:rsidRDefault="00CB540F" w:rsidP="007D5029">
            <w:pPr>
              <w:spacing w:line="240" w:lineRule="auto"/>
              <w:rPr>
                <w:rFonts w:cs="Arial"/>
                <w:color w:val="auto"/>
                <w:lang w:eastAsia="en-AU"/>
              </w:rPr>
            </w:pPr>
            <w:r w:rsidRPr="004E6EF0">
              <w:rPr>
                <w:rFonts w:cs="Arial"/>
                <w:color w:val="auto"/>
                <w:lang w:eastAsia="en-AU"/>
              </w:rPr>
              <w:t>Group of Eight</w:t>
            </w:r>
          </w:p>
        </w:tc>
      </w:tr>
      <w:tr w:rsidR="00CB540F" w:rsidRPr="004E6EF0" w14:paraId="2A486C64" w14:textId="77777777" w:rsidTr="00A2598E">
        <w:trPr>
          <w:trHeight w:val="70"/>
          <w:tblHeader/>
        </w:trPr>
        <w:tc>
          <w:tcPr>
            <w:tcW w:w="1577" w:type="dxa"/>
            <w:noWrap/>
            <w:hideMark/>
          </w:tcPr>
          <w:p w14:paraId="1CE59B2C" w14:textId="77777777" w:rsidR="00CB540F" w:rsidRPr="004E6EF0" w:rsidRDefault="00CB540F" w:rsidP="007D5029">
            <w:pPr>
              <w:spacing w:line="240" w:lineRule="auto"/>
              <w:rPr>
                <w:rFonts w:cs="Arial"/>
                <w:color w:val="auto"/>
                <w:lang w:eastAsia="en-AU"/>
              </w:rPr>
            </w:pPr>
            <w:r w:rsidRPr="004E6EF0">
              <w:rPr>
                <w:rFonts w:cs="Arial"/>
                <w:color w:val="auto"/>
                <w:lang w:eastAsia="en-AU"/>
              </w:rPr>
              <w:t>97</w:t>
            </w:r>
          </w:p>
        </w:tc>
        <w:tc>
          <w:tcPr>
            <w:tcW w:w="7603" w:type="dxa"/>
            <w:hideMark/>
          </w:tcPr>
          <w:p w14:paraId="2F7EB091"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Australian Wound Management Association </w:t>
            </w:r>
          </w:p>
        </w:tc>
      </w:tr>
      <w:tr w:rsidR="00CB540F" w:rsidRPr="004E6EF0" w14:paraId="13EE10E4" w14:textId="77777777" w:rsidTr="00A2598E">
        <w:trPr>
          <w:trHeight w:val="97"/>
          <w:tblHeader/>
        </w:trPr>
        <w:tc>
          <w:tcPr>
            <w:tcW w:w="1577" w:type="dxa"/>
            <w:noWrap/>
            <w:hideMark/>
          </w:tcPr>
          <w:p w14:paraId="3772F745" w14:textId="77777777" w:rsidR="00CB540F" w:rsidRPr="004E6EF0" w:rsidRDefault="00CB540F" w:rsidP="007D5029">
            <w:pPr>
              <w:spacing w:line="240" w:lineRule="auto"/>
              <w:rPr>
                <w:rFonts w:cs="Arial"/>
                <w:color w:val="auto"/>
                <w:lang w:eastAsia="en-AU"/>
              </w:rPr>
            </w:pPr>
            <w:r w:rsidRPr="004E6EF0">
              <w:rPr>
                <w:rFonts w:cs="Arial"/>
                <w:color w:val="auto"/>
                <w:lang w:eastAsia="en-AU"/>
              </w:rPr>
              <w:t>98</w:t>
            </w:r>
          </w:p>
        </w:tc>
        <w:tc>
          <w:tcPr>
            <w:tcW w:w="7603" w:type="dxa"/>
            <w:hideMark/>
          </w:tcPr>
          <w:p w14:paraId="5084DBB8"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University of New England </w:t>
            </w:r>
          </w:p>
        </w:tc>
      </w:tr>
      <w:tr w:rsidR="00CB540F" w:rsidRPr="004E6EF0" w14:paraId="710D8766" w14:textId="77777777" w:rsidTr="00A2598E">
        <w:trPr>
          <w:trHeight w:val="255"/>
          <w:tblHeader/>
        </w:trPr>
        <w:tc>
          <w:tcPr>
            <w:tcW w:w="1577" w:type="dxa"/>
            <w:noWrap/>
            <w:hideMark/>
          </w:tcPr>
          <w:p w14:paraId="2F0AB5A6" w14:textId="77777777" w:rsidR="00CB540F" w:rsidRPr="004E6EF0" w:rsidRDefault="00CB540F" w:rsidP="007D5029">
            <w:pPr>
              <w:spacing w:line="240" w:lineRule="auto"/>
              <w:rPr>
                <w:rFonts w:cs="Arial"/>
                <w:color w:val="auto"/>
                <w:lang w:eastAsia="en-AU"/>
              </w:rPr>
            </w:pPr>
            <w:r w:rsidRPr="004E6EF0">
              <w:rPr>
                <w:rFonts w:cs="Arial"/>
                <w:color w:val="auto"/>
                <w:lang w:eastAsia="en-AU"/>
              </w:rPr>
              <w:t>99</w:t>
            </w:r>
          </w:p>
        </w:tc>
        <w:tc>
          <w:tcPr>
            <w:tcW w:w="7603" w:type="dxa"/>
            <w:hideMark/>
          </w:tcPr>
          <w:p w14:paraId="48E76B55"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University of South Australia </w:t>
            </w:r>
          </w:p>
        </w:tc>
      </w:tr>
      <w:tr w:rsidR="00CB540F" w:rsidRPr="004E6EF0" w14:paraId="406A380C" w14:textId="77777777" w:rsidTr="00A2598E">
        <w:trPr>
          <w:trHeight w:val="255"/>
          <w:tblHeader/>
        </w:trPr>
        <w:tc>
          <w:tcPr>
            <w:tcW w:w="1577" w:type="dxa"/>
            <w:noWrap/>
            <w:hideMark/>
          </w:tcPr>
          <w:p w14:paraId="2F1046FF" w14:textId="77777777" w:rsidR="00CB540F" w:rsidRPr="004E6EF0" w:rsidRDefault="00CB540F" w:rsidP="007D5029">
            <w:pPr>
              <w:spacing w:line="240" w:lineRule="auto"/>
              <w:rPr>
                <w:rFonts w:cs="Arial"/>
                <w:color w:val="auto"/>
                <w:lang w:eastAsia="en-AU"/>
              </w:rPr>
            </w:pPr>
            <w:r w:rsidRPr="004E6EF0">
              <w:rPr>
                <w:rFonts w:cs="Arial"/>
                <w:color w:val="auto"/>
                <w:lang w:eastAsia="en-AU"/>
              </w:rPr>
              <w:t>100</w:t>
            </w:r>
          </w:p>
        </w:tc>
        <w:tc>
          <w:tcPr>
            <w:tcW w:w="7603" w:type="dxa"/>
            <w:hideMark/>
          </w:tcPr>
          <w:p w14:paraId="1E80708B" w14:textId="77777777" w:rsidR="00CB540F" w:rsidRPr="004E6EF0" w:rsidRDefault="00CB540F" w:rsidP="007D5029">
            <w:pPr>
              <w:spacing w:line="240" w:lineRule="auto"/>
              <w:rPr>
                <w:rFonts w:cs="Arial"/>
                <w:color w:val="auto"/>
                <w:lang w:eastAsia="en-AU"/>
              </w:rPr>
            </w:pPr>
            <w:r w:rsidRPr="004E6EF0">
              <w:rPr>
                <w:rFonts w:cs="Arial"/>
                <w:color w:val="auto"/>
                <w:lang w:eastAsia="en-AU"/>
              </w:rPr>
              <w:t>Mondelēz International</w:t>
            </w:r>
          </w:p>
        </w:tc>
      </w:tr>
      <w:tr w:rsidR="00CB540F" w:rsidRPr="004E6EF0" w14:paraId="65822BAA" w14:textId="77777777" w:rsidTr="00A2598E">
        <w:trPr>
          <w:trHeight w:val="255"/>
          <w:tblHeader/>
        </w:trPr>
        <w:tc>
          <w:tcPr>
            <w:tcW w:w="1577" w:type="dxa"/>
            <w:noWrap/>
            <w:hideMark/>
          </w:tcPr>
          <w:p w14:paraId="45F4FD00" w14:textId="77777777" w:rsidR="00CB540F" w:rsidRPr="004E6EF0" w:rsidRDefault="00CB540F" w:rsidP="007D5029">
            <w:pPr>
              <w:spacing w:line="240" w:lineRule="auto"/>
              <w:rPr>
                <w:rFonts w:cs="Arial"/>
                <w:color w:val="auto"/>
                <w:lang w:eastAsia="en-AU"/>
              </w:rPr>
            </w:pPr>
            <w:r w:rsidRPr="004E6EF0">
              <w:rPr>
                <w:rFonts w:cs="Arial"/>
                <w:color w:val="auto"/>
                <w:lang w:eastAsia="en-AU"/>
              </w:rPr>
              <w:t>101</w:t>
            </w:r>
          </w:p>
        </w:tc>
        <w:tc>
          <w:tcPr>
            <w:tcW w:w="7603" w:type="dxa"/>
            <w:hideMark/>
          </w:tcPr>
          <w:p w14:paraId="629ABE44"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Dr Katherine </w:t>
            </w:r>
            <w:proofErr w:type="spellStart"/>
            <w:r w:rsidRPr="004E6EF0">
              <w:rPr>
                <w:rFonts w:cs="Arial"/>
                <w:color w:val="auto"/>
                <w:lang w:eastAsia="en-AU"/>
              </w:rPr>
              <w:t>Woodthorpe</w:t>
            </w:r>
            <w:proofErr w:type="spellEnd"/>
          </w:p>
        </w:tc>
      </w:tr>
      <w:tr w:rsidR="00CB540F" w:rsidRPr="004E6EF0" w14:paraId="3F1E8FB8" w14:textId="77777777" w:rsidTr="00A2598E">
        <w:trPr>
          <w:trHeight w:val="255"/>
          <w:tblHeader/>
        </w:trPr>
        <w:tc>
          <w:tcPr>
            <w:tcW w:w="1577" w:type="dxa"/>
            <w:noWrap/>
            <w:hideMark/>
          </w:tcPr>
          <w:p w14:paraId="4DD2075A" w14:textId="77777777" w:rsidR="00CB540F" w:rsidRPr="004E6EF0" w:rsidRDefault="00CB540F" w:rsidP="007D5029">
            <w:pPr>
              <w:spacing w:line="240" w:lineRule="auto"/>
              <w:rPr>
                <w:rFonts w:cs="Arial"/>
                <w:color w:val="auto"/>
                <w:lang w:eastAsia="en-AU"/>
              </w:rPr>
            </w:pPr>
            <w:r w:rsidRPr="004E6EF0">
              <w:rPr>
                <w:rFonts w:cs="Arial"/>
                <w:color w:val="auto"/>
                <w:lang w:eastAsia="en-AU"/>
              </w:rPr>
              <w:t>102</w:t>
            </w:r>
          </w:p>
        </w:tc>
        <w:tc>
          <w:tcPr>
            <w:tcW w:w="7603" w:type="dxa"/>
            <w:hideMark/>
          </w:tcPr>
          <w:p w14:paraId="0D70E56F" w14:textId="77777777" w:rsidR="00CB540F" w:rsidRPr="004E6EF0" w:rsidRDefault="00CB540F" w:rsidP="007D5029">
            <w:pPr>
              <w:spacing w:line="240" w:lineRule="auto"/>
              <w:rPr>
                <w:rFonts w:cs="Arial"/>
                <w:color w:val="auto"/>
                <w:lang w:eastAsia="en-AU"/>
              </w:rPr>
            </w:pPr>
            <w:r w:rsidRPr="004E6EF0">
              <w:rPr>
                <w:rFonts w:cs="Arial"/>
                <w:color w:val="auto"/>
                <w:lang w:eastAsia="en-AU"/>
              </w:rPr>
              <w:t>Antarctic Climate and Ecosystems CRC</w:t>
            </w:r>
          </w:p>
        </w:tc>
      </w:tr>
      <w:tr w:rsidR="00CB540F" w:rsidRPr="004E6EF0" w14:paraId="2A864DBC" w14:textId="77777777" w:rsidTr="00A2598E">
        <w:trPr>
          <w:trHeight w:val="255"/>
          <w:tblHeader/>
        </w:trPr>
        <w:tc>
          <w:tcPr>
            <w:tcW w:w="1577" w:type="dxa"/>
            <w:noWrap/>
            <w:hideMark/>
          </w:tcPr>
          <w:p w14:paraId="127C48C2" w14:textId="77777777" w:rsidR="00CB540F" w:rsidRPr="004E6EF0" w:rsidRDefault="00CB540F" w:rsidP="007D5029">
            <w:pPr>
              <w:spacing w:line="240" w:lineRule="auto"/>
              <w:rPr>
                <w:rFonts w:cs="Arial"/>
                <w:color w:val="auto"/>
                <w:lang w:eastAsia="en-AU"/>
              </w:rPr>
            </w:pPr>
            <w:r w:rsidRPr="004E6EF0">
              <w:rPr>
                <w:rFonts w:cs="Arial"/>
                <w:color w:val="auto"/>
                <w:lang w:eastAsia="en-AU"/>
              </w:rPr>
              <w:t>103</w:t>
            </w:r>
          </w:p>
        </w:tc>
        <w:tc>
          <w:tcPr>
            <w:tcW w:w="7603" w:type="dxa"/>
            <w:hideMark/>
          </w:tcPr>
          <w:p w14:paraId="44FFF5D2"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Australian Institute of Petroleum Ltd </w:t>
            </w:r>
          </w:p>
        </w:tc>
      </w:tr>
      <w:tr w:rsidR="00CB540F" w:rsidRPr="004E6EF0" w14:paraId="3E7B14B9" w14:textId="77777777" w:rsidTr="00A2598E">
        <w:trPr>
          <w:trHeight w:val="255"/>
          <w:tblHeader/>
        </w:trPr>
        <w:tc>
          <w:tcPr>
            <w:tcW w:w="1577" w:type="dxa"/>
            <w:noWrap/>
            <w:hideMark/>
          </w:tcPr>
          <w:p w14:paraId="7D60F3F8" w14:textId="77777777" w:rsidR="00CB540F" w:rsidRPr="004E6EF0" w:rsidRDefault="00CB540F" w:rsidP="007D5029">
            <w:pPr>
              <w:spacing w:line="240" w:lineRule="auto"/>
              <w:rPr>
                <w:rFonts w:cs="Arial"/>
                <w:color w:val="auto"/>
                <w:lang w:eastAsia="en-AU"/>
              </w:rPr>
            </w:pPr>
            <w:r w:rsidRPr="004E6EF0">
              <w:rPr>
                <w:rFonts w:cs="Arial"/>
                <w:color w:val="auto"/>
                <w:lang w:eastAsia="en-AU"/>
              </w:rPr>
              <w:t>104</w:t>
            </w:r>
          </w:p>
        </w:tc>
        <w:tc>
          <w:tcPr>
            <w:tcW w:w="7603" w:type="dxa"/>
            <w:hideMark/>
          </w:tcPr>
          <w:p w14:paraId="0B7C66A9"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Teakle</w:t>
            </w:r>
            <w:proofErr w:type="spellEnd"/>
            <w:r w:rsidRPr="004E6EF0">
              <w:rPr>
                <w:rFonts w:cs="Arial"/>
                <w:color w:val="auto"/>
                <w:lang w:eastAsia="en-AU"/>
              </w:rPr>
              <w:t xml:space="preserve"> Composites</w:t>
            </w:r>
          </w:p>
        </w:tc>
      </w:tr>
      <w:tr w:rsidR="00CB540F" w:rsidRPr="004E6EF0" w14:paraId="58173B8D" w14:textId="77777777" w:rsidTr="00A2598E">
        <w:trPr>
          <w:trHeight w:val="255"/>
          <w:tblHeader/>
        </w:trPr>
        <w:tc>
          <w:tcPr>
            <w:tcW w:w="1577" w:type="dxa"/>
            <w:noWrap/>
            <w:hideMark/>
          </w:tcPr>
          <w:p w14:paraId="12D6C0F2" w14:textId="77777777" w:rsidR="00CB540F" w:rsidRPr="004E6EF0" w:rsidRDefault="00CB540F" w:rsidP="007D5029">
            <w:pPr>
              <w:spacing w:line="240" w:lineRule="auto"/>
              <w:rPr>
                <w:rFonts w:cs="Arial"/>
                <w:color w:val="auto"/>
                <w:lang w:eastAsia="en-AU"/>
              </w:rPr>
            </w:pPr>
            <w:r w:rsidRPr="004E6EF0">
              <w:rPr>
                <w:rFonts w:cs="Arial"/>
                <w:color w:val="auto"/>
                <w:lang w:eastAsia="en-AU"/>
              </w:rPr>
              <w:t>105</w:t>
            </w:r>
          </w:p>
        </w:tc>
        <w:tc>
          <w:tcPr>
            <w:tcW w:w="7603" w:type="dxa"/>
            <w:hideMark/>
          </w:tcPr>
          <w:p w14:paraId="53B4BF2E"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SYNthesis</w:t>
            </w:r>
            <w:proofErr w:type="spellEnd"/>
            <w:r w:rsidRPr="004E6EF0">
              <w:rPr>
                <w:rFonts w:cs="Arial"/>
                <w:color w:val="auto"/>
                <w:lang w:eastAsia="en-AU"/>
              </w:rPr>
              <w:t xml:space="preserve"> Research </w:t>
            </w:r>
          </w:p>
        </w:tc>
      </w:tr>
      <w:tr w:rsidR="00CB540F" w:rsidRPr="004E6EF0" w14:paraId="5C7EC1B6" w14:textId="77777777" w:rsidTr="00A2598E">
        <w:trPr>
          <w:trHeight w:val="255"/>
          <w:tblHeader/>
        </w:trPr>
        <w:tc>
          <w:tcPr>
            <w:tcW w:w="1577" w:type="dxa"/>
            <w:noWrap/>
            <w:hideMark/>
          </w:tcPr>
          <w:p w14:paraId="0E546306" w14:textId="77777777" w:rsidR="00CB540F" w:rsidRPr="004E6EF0" w:rsidRDefault="00CB540F" w:rsidP="007D5029">
            <w:pPr>
              <w:spacing w:line="240" w:lineRule="auto"/>
              <w:rPr>
                <w:rFonts w:cs="Arial"/>
                <w:color w:val="auto"/>
                <w:lang w:eastAsia="en-AU"/>
              </w:rPr>
            </w:pPr>
            <w:r w:rsidRPr="004E6EF0">
              <w:rPr>
                <w:rFonts w:cs="Arial"/>
                <w:color w:val="auto"/>
                <w:lang w:eastAsia="en-AU"/>
              </w:rPr>
              <w:t>106</w:t>
            </w:r>
          </w:p>
        </w:tc>
        <w:tc>
          <w:tcPr>
            <w:tcW w:w="7603" w:type="dxa"/>
            <w:hideMark/>
          </w:tcPr>
          <w:p w14:paraId="566785A4"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Australian Food and Grocery Council</w:t>
            </w:r>
          </w:p>
        </w:tc>
      </w:tr>
      <w:tr w:rsidR="00CB540F" w:rsidRPr="004E6EF0" w14:paraId="30B9549D" w14:textId="77777777" w:rsidTr="00A2598E">
        <w:trPr>
          <w:trHeight w:val="255"/>
          <w:tblHeader/>
        </w:trPr>
        <w:tc>
          <w:tcPr>
            <w:tcW w:w="1577" w:type="dxa"/>
            <w:noWrap/>
            <w:hideMark/>
          </w:tcPr>
          <w:p w14:paraId="05DA5ADB" w14:textId="77777777" w:rsidR="00CB540F" w:rsidRPr="004E6EF0" w:rsidRDefault="00CB540F" w:rsidP="007D5029">
            <w:pPr>
              <w:spacing w:line="240" w:lineRule="auto"/>
              <w:rPr>
                <w:rFonts w:cs="Arial"/>
                <w:color w:val="auto"/>
                <w:lang w:eastAsia="en-AU"/>
              </w:rPr>
            </w:pPr>
            <w:r w:rsidRPr="004E6EF0">
              <w:rPr>
                <w:rFonts w:cs="Arial"/>
                <w:color w:val="auto"/>
                <w:lang w:eastAsia="en-AU"/>
              </w:rPr>
              <w:t>107</w:t>
            </w:r>
          </w:p>
        </w:tc>
        <w:tc>
          <w:tcPr>
            <w:tcW w:w="7603" w:type="dxa"/>
            <w:hideMark/>
          </w:tcPr>
          <w:p w14:paraId="24DC4114"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Australian National University</w:t>
            </w:r>
          </w:p>
        </w:tc>
      </w:tr>
      <w:tr w:rsidR="00CB540F" w:rsidRPr="004E6EF0" w14:paraId="0812977F" w14:textId="77777777" w:rsidTr="00A2598E">
        <w:trPr>
          <w:trHeight w:val="255"/>
          <w:tblHeader/>
        </w:trPr>
        <w:tc>
          <w:tcPr>
            <w:tcW w:w="1577" w:type="dxa"/>
            <w:noWrap/>
            <w:hideMark/>
          </w:tcPr>
          <w:p w14:paraId="50EFD54A" w14:textId="77777777" w:rsidR="00CB540F" w:rsidRPr="004E6EF0" w:rsidRDefault="00CB540F" w:rsidP="007D5029">
            <w:pPr>
              <w:spacing w:line="240" w:lineRule="auto"/>
              <w:rPr>
                <w:rFonts w:cs="Arial"/>
                <w:color w:val="auto"/>
                <w:lang w:eastAsia="en-AU"/>
              </w:rPr>
            </w:pPr>
            <w:r w:rsidRPr="004E6EF0">
              <w:rPr>
                <w:rFonts w:cs="Arial"/>
                <w:color w:val="auto"/>
                <w:lang w:eastAsia="en-AU"/>
              </w:rPr>
              <w:t>108</w:t>
            </w:r>
          </w:p>
        </w:tc>
        <w:tc>
          <w:tcPr>
            <w:tcW w:w="7603" w:type="dxa"/>
            <w:hideMark/>
          </w:tcPr>
          <w:p w14:paraId="1BD651F3"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WoolProducers</w:t>
            </w:r>
            <w:proofErr w:type="spellEnd"/>
            <w:r w:rsidRPr="004E6EF0">
              <w:rPr>
                <w:rFonts w:cs="Arial"/>
                <w:color w:val="auto"/>
                <w:lang w:eastAsia="en-AU"/>
              </w:rPr>
              <w:t xml:space="preserve"> Australia</w:t>
            </w:r>
          </w:p>
        </w:tc>
      </w:tr>
      <w:tr w:rsidR="00CB540F" w:rsidRPr="004E6EF0" w14:paraId="14B0FBD8" w14:textId="77777777" w:rsidTr="00A2598E">
        <w:trPr>
          <w:trHeight w:val="255"/>
          <w:tblHeader/>
        </w:trPr>
        <w:tc>
          <w:tcPr>
            <w:tcW w:w="1577" w:type="dxa"/>
            <w:noWrap/>
            <w:hideMark/>
          </w:tcPr>
          <w:p w14:paraId="4C4A89CD" w14:textId="77777777" w:rsidR="00CB540F" w:rsidRPr="004E6EF0" w:rsidRDefault="00CB540F" w:rsidP="007D5029">
            <w:pPr>
              <w:spacing w:line="240" w:lineRule="auto"/>
              <w:rPr>
                <w:rFonts w:cs="Arial"/>
                <w:color w:val="auto"/>
                <w:lang w:eastAsia="en-AU"/>
              </w:rPr>
            </w:pPr>
            <w:r w:rsidRPr="004E6EF0">
              <w:rPr>
                <w:rFonts w:cs="Arial"/>
                <w:color w:val="auto"/>
                <w:lang w:eastAsia="en-AU"/>
              </w:rPr>
              <w:t>109</w:t>
            </w:r>
          </w:p>
        </w:tc>
        <w:tc>
          <w:tcPr>
            <w:tcW w:w="7603" w:type="dxa"/>
            <w:hideMark/>
          </w:tcPr>
          <w:p w14:paraId="62954CD2" w14:textId="77777777" w:rsidR="00CB540F" w:rsidRPr="004E6EF0" w:rsidRDefault="00CB540F" w:rsidP="007D5029">
            <w:pPr>
              <w:spacing w:line="240" w:lineRule="auto"/>
              <w:rPr>
                <w:rFonts w:cs="Arial"/>
                <w:color w:val="auto"/>
                <w:lang w:eastAsia="en-AU"/>
              </w:rPr>
            </w:pPr>
            <w:r w:rsidRPr="004E6EF0">
              <w:rPr>
                <w:rFonts w:cs="Arial"/>
                <w:color w:val="auto"/>
                <w:lang w:eastAsia="en-AU"/>
              </w:rPr>
              <w:t>CRC for Polymers</w:t>
            </w:r>
          </w:p>
        </w:tc>
      </w:tr>
      <w:tr w:rsidR="00CB540F" w:rsidRPr="004E6EF0" w14:paraId="246BFF5A" w14:textId="77777777" w:rsidTr="00A2598E">
        <w:trPr>
          <w:trHeight w:val="255"/>
          <w:tblHeader/>
        </w:trPr>
        <w:tc>
          <w:tcPr>
            <w:tcW w:w="1577" w:type="dxa"/>
            <w:noWrap/>
            <w:hideMark/>
          </w:tcPr>
          <w:p w14:paraId="64BA41FE" w14:textId="77777777" w:rsidR="00CB540F" w:rsidRPr="004E6EF0" w:rsidRDefault="00CB540F" w:rsidP="007D5029">
            <w:pPr>
              <w:spacing w:line="240" w:lineRule="auto"/>
              <w:rPr>
                <w:rFonts w:cs="Arial"/>
                <w:color w:val="auto"/>
                <w:lang w:eastAsia="en-AU"/>
              </w:rPr>
            </w:pPr>
            <w:r w:rsidRPr="004E6EF0">
              <w:rPr>
                <w:rFonts w:cs="Arial"/>
                <w:color w:val="auto"/>
                <w:lang w:eastAsia="en-AU"/>
              </w:rPr>
              <w:t>110</w:t>
            </w:r>
          </w:p>
        </w:tc>
        <w:tc>
          <w:tcPr>
            <w:tcW w:w="7603" w:type="dxa"/>
            <w:hideMark/>
          </w:tcPr>
          <w:p w14:paraId="588293C6" w14:textId="77777777" w:rsidR="00CB540F" w:rsidRPr="004E6EF0" w:rsidRDefault="00CB540F" w:rsidP="007D5029">
            <w:pPr>
              <w:spacing w:line="240" w:lineRule="auto"/>
              <w:rPr>
                <w:rFonts w:cs="Arial"/>
                <w:color w:val="auto"/>
                <w:lang w:eastAsia="en-AU"/>
              </w:rPr>
            </w:pPr>
            <w:r w:rsidRPr="004E6EF0">
              <w:rPr>
                <w:rFonts w:cs="Arial"/>
                <w:color w:val="auto"/>
                <w:lang w:eastAsia="en-AU"/>
              </w:rPr>
              <w:t>BASF Australia Ltd</w:t>
            </w:r>
          </w:p>
        </w:tc>
      </w:tr>
      <w:tr w:rsidR="00CB540F" w:rsidRPr="004E6EF0" w14:paraId="718F75BB" w14:textId="77777777" w:rsidTr="00A2598E">
        <w:trPr>
          <w:trHeight w:val="255"/>
          <w:tblHeader/>
        </w:trPr>
        <w:tc>
          <w:tcPr>
            <w:tcW w:w="1577" w:type="dxa"/>
            <w:noWrap/>
            <w:hideMark/>
          </w:tcPr>
          <w:p w14:paraId="5E2FF32A" w14:textId="77777777" w:rsidR="00CB540F" w:rsidRPr="004E6EF0" w:rsidRDefault="00CB540F" w:rsidP="007D5029">
            <w:pPr>
              <w:spacing w:line="240" w:lineRule="auto"/>
              <w:rPr>
                <w:rFonts w:cs="Arial"/>
                <w:color w:val="auto"/>
                <w:lang w:eastAsia="en-AU"/>
              </w:rPr>
            </w:pPr>
            <w:r w:rsidRPr="004E6EF0">
              <w:rPr>
                <w:rFonts w:cs="Arial"/>
                <w:color w:val="auto"/>
                <w:lang w:eastAsia="en-AU"/>
              </w:rPr>
              <w:t>111</w:t>
            </w:r>
          </w:p>
        </w:tc>
        <w:tc>
          <w:tcPr>
            <w:tcW w:w="7603" w:type="dxa"/>
            <w:hideMark/>
          </w:tcPr>
          <w:p w14:paraId="7090796E"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Bluescope</w:t>
            </w:r>
            <w:proofErr w:type="spellEnd"/>
            <w:r w:rsidRPr="004E6EF0">
              <w:rPr>
                <w:rFonts w:cs="Arial"/>
                <w:color w:val="auto"/>
                <w:lang w:eastAsia="en-AU"/>
              </w:rPr>
              <w:t xml:space="preserve"> Steel Limited</w:t>
            </w:r>
          </w:p>
        </w:tc>
      </w:tr>
      <w:tr w:rsidR="00CB540F" w:rsidRPr="004E6EF0" w14:paraId="25333DA9" w14:textId="77777777" w:rsidTr="00A2598E">
        <w:trPr>
          <w:trHeight w:val="255"/>
          <w:tblHeader/>
        </w:trPr>
        <w:tc>
          <w:tcPr>
            <w:tcW w:w="1577" w:type="dxa"/>
            <w:noWrap/>
            <w:hideMark/>
          </w:tcPr>
          <w:p w14:paraId="27A4820B" w14:textId="77777777" w:rsidR="00CB540F" w:rsidRPr="004E6EF0" w:rsidRDefault="00CB540F" w:rsidP="007D5029">
            <w:pPr>
              <w:spacing w:line="240" w:lineRule="auto"/>
              <w:rPr>
                <w:rFonts w:cs="Arial"/>
                <w:color w:val="auto"/>
                <w:lang w:eastAsia="en-AU"/>
              </w:rPr>
            </w:pPr>
            <w:r w:rsidRPr="004E6EF0">
              <w:rPr>
                <w:rFonts w:cs="Arial"/>
                <w:color w:val="auto"/>
                <w:lang w:eastAsia="en-AU"/>
              </w:rPr>
              <w:t>112</w:t>
            </w:r>
          </w:p>
        </w:tc>
        <w:tc>
          <w:tcPr>
            <w:tcW w:w="7603" w:type="dxa"/>
            <w:hideMark/>
          </w:tcPr>
          <w:p w14:paraId="6D1DA441"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iGlass</w:t>
            </w:r>
            <w:proofErr w:type="spellEnd"/>
            <w:r w:rsidRPr="004E6EF0">
              <w:rPr>
                <w:rFonts w:cs="Arial"/>
                <w:color w:val="auto"/>
                <w:lang w:eastAsia="en-AU"/>
              </w:rPr>
              <w:t xml:space="preserve"> Pty Ltd</w:t>
            </w:r>
          </w:p>
        </w:tc>
      </w:tr>
      <w:tr w:rsidR="00CB540F" w:rsidRPr="004E6EF0" w14:paraId="6C2BD623" w14:textId="77777777" w:rsidTr="00A2598E">
        <w:trPr>
          <w:trHeight w:val="255"/>
          <w:tblHeader/>
        </w:trPr>
        <w:tc>
          <w:tcPr>
            <w:tcW w:w="1577" w:type="dxa"/>
            <w:noWrap/>
            <w:hideMark/>
          </w:tcPr>
          <w:p w14:paraId="39D15363" w14:textId="77777777" w:rsidR="00CB540F" w:rsidRPr="004E6EF0" w:rsidRDefault="00CB540F" w:rsidP="007D5029">
            <w:pPr>
              <w:spacing w:line="240" w:lineRule="auto"/>
              <w:rPr>
                <w:rFonts w:cs="Arial"/>
                <w:color w:val="auto"/>
                <w:lang w:eastAsia="en-AU"/>
              </w:rPr>
            </w:pPr>
            <w:r w:rsidRPr="004E6EF0">
              <w:rPr>
                <w:rFonts w:cs="Arial"/>
                <w:color w:val="auto"/>
                <w:lang w:eastAsia="en-AU"/>
              </w:rPr>
              <w:t>113</w:t>
            </w:r>
          </w:p>
        </w:tc>
        <w:tc>
          <w:tcPr>
            <w:tcW w:w="7603" w:type="dxa"/>
            <w:hideMark/>
          </w:tcPr>
          <w:p w14:paraId="2E78D262" w14:textId="77777777" w:rsidR="00CB540F" w:rsidRPr="004E6EF0" w:rsidRDefault="00CB540F" w:rsidP="007D5029">
            <w:pPr>
              <w:spacing w:line="240" w:lineRule="auto"/>
              <w:rPr>
                <w:rFonts w:cs="Arial"/>
                <w:color w:val="auto"/>
                <w:lang w:eastAsia="en-AU"/>
              </w:rPr>
            </w:pPr>
            <w:r w:rsidRPr="004E6EF0">
              <w:rPr>
                <w:rFonts w:cs="Arial"/>
                <w:color w:val="auto"/>
                <w:lang w:eastAsia="en-AU"/>
              </w:rPr>
              <w:t>Integrated Packaging Australia Pty Ltd</w:t>
            </w:r>
          </w:p>
        </w:tc>
      </w:tr>
      <w:tr w:rsidR="00CB540F" w:rsidRPr="004E6EF0" w14:paraId="3916EC1C" w14:textId="77777777" w:rsidTr="00A2598E">
        <w:trPr>
          <w:trHeight w:val="255"/>
          <w:tblHeader/>
        </w:trPr>
        <w:tc>
          <w:tcPr>
            <w:tcW w:w="1577" w:type="dxa"/>
            <w:noWrap/>
            <w:hideMark/>
          </w:tcPr>
          <w:p w14:paraId="68C2E311" w14:textId="77777777" w:rsidR="00CB540F" w:rsidRPr="004E6EF0" w:rsidRDefault="00CB540F" w:rsidP="007D5029">
            <w:pPr>
              <w:spacing w:line="240" w:lineRule="auto"/>
              <w:rPr>
                <w:rFonts w:cs="Arial"/>
                <w:color w:val="auto"/>
                <w:lang w:eastAsia="en-AU"/>
              </w:rPr>
            </w:pPr>
            <w:r w:rsidRPr="004E6EF0">
              <w:rPr>
                <w:rFonts w:cs="Arial"/>
                <w:color w:val="auto"/>
                <w:lang w:eastAsia="en-AU"/>
              </w:rPr>
              <w:t>114</w:t>
            </w:r>
          </w:p>
        </w:tc>
        <w:tc>
          <w:tcPr>
            <w:tcW w:w="7603" w:type="dxa"/>
            <w:hideMark/>
          </w:tcPr>
          <w:p w14:paraId="178DE1AA"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City of Karratha </w:t>
            </w:r>
          </w:p>
        </w:tc>
      </w:tr>
      <w:tr w:rsidR="00CB540F" w:rsidRPr="004E6EF0" w14:paraId="0C8683D8" w14:textId="77777777" w:rsidTr="00A2598E">
        <w:trPr>
          <w:trHeight w:val="255"/>
          <w:tblHeader/>
        </w:trPr>
        <w:tc>
          <w:tcPr>
            <w:tcW w:w="1577" w:type="dxa"/>
            <w:noWrap/>
            <w:hideMark/>
          </w:tcPr>
          <w:p w14:paraId="3F6CAE3C" w14:textId="77777777" w:rsidR="00CB540F" w:rsidRPr="004E6EF0" w:rsidRDefault="00CB540F" w:rsidP="007D5029">
            <w:pPr>
              <w:spacing w:line="240" w:lineRule="auto"/>
              <w:rPr>
                <w:rFonts w:cs="Arial"/>
                <w:color w:val="auto"/>
                <w:lang w:eastAsia="en-AU"/>
              </w:rPr>
            </w:pPr>
            <w:r w:rsidRPr="004E6EF0">
              <w:rPr>
                <w:rFonts w:cs="Arial"/>
                <w:color w:val="auto"/>
                <w:lang w:eastAsia="en-AU"/>
              </w:rPr>
              <w:t>115</w:t>
            </w:r>
          </w:p>
        </w:tc>
        <w:tc>
          <w:tcPr>
            <w:tcW w:w="7603" w:type="dxa"/>
            <w:hideMark/>
          </w:tcPr>
          <w:p w14:paraId="47651940"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pitt&amp;sherry</w:t>
            </w:r>
            <w:proofErr w:type="spellEnd"/>
          </w:p>
        </w:tc>
      </w:tr>
      <w:tr w:rsidR="00CB540F" w:rsidRPr="004E6EF0" w14:paraId="63936BF7" w14:textId="77777777" w:rsidTr="00A2598E">
        <w:trPr>
          <w:trHeight w:val="70"/>
          <w:tblHeader/>
        </w:trPr>
        <w:tc>
          <w:tcPr>
            <w:tcW w:w="1577" w:type="dxa"/>
            <w:noWrap/>
            <w:hideMark/>
          </w:tcPr>
          <w:p w14:paraId="1F7CB5E9" w14:textId="77777777" w:rsidR="00CB540F" w:rsidRPr="004E6EF0" w:rsidRDefault="00CB540F" w:rsidP="007D5029">
            <w:pPr>
              <w:spacing w:line="240" w:lineRule="auto"/>
              <w:rPr>
                <w:rFonts w:cs="Arial"/>
                <w:color w:val="auto"/>
                <w:lang w:eastAsia="en-AU"/>
              </w:rPr>
            </w:pPr>
            <w:r w:rsidRPr="004E6EF0">
              <w:rPr>
                <w:rFonts w:cs="Arial"/>
                <w:color w:val="auto"/>
                <w:lang w:eastAsia="en-AU"/>
              </w:rPr>
              <w:t>116</w:t>
            </w:r>
          </w:p>
        </w:tc>
        <w:tc>
          <w:tcPr>
            <w:tcW w:w="7603" w:type="dxa"/>
            <w:hideMark/>
          </w:tcPr>
          <w:p w14:paraId="0E5B6737" w14:textId="77777777" w:rsidR="00CB540F" w:rsidRPr="004E6EF0" w:rsidRDefault="00CB540F" w:rsidP="007D5029">
            <w:pPr>
              <w:spacing w:line="240" w:lineRule="auto"/>
              <w:rPr>
                <w:rFonts w:cs="Arial"/>
                <w:color w:val="auto"/>
                <w:lang w:eastAsia="en-AU"/>
              </w:rPr>
            </w:pPr>
            <w:r w:rsidRPr="004E6EF0">
              <w:rPr>
                <w:rFonts w:cs="Arial"/>
                <w:color w:val="auto"/>
                <w:lang w:eastAsia="en-AU"/>
              </w:rPr>
              <w:t>GHD</w:t>
            </w:r>
          </w:p>
        </w:tc>
      </w:tr>
      <w:tr w:rsidR="00CB540F" w:rsidRPr="004E6EF0" w14:paraId="436D4BDC" w14:textId="77777777" w:rsidTr="00A2598E">
        <w:trPr>
          <w:trHeight w:val="255"/>
          <w:tblHeader/>
        </w:trPr>
        <w:tc>
          <w:tcPr>
            <w:tcW w:w="1577" w:type="dxa"/>
            <w:noWrap/>
            <w:hideMark/>
          </w:tcPr>
          <w:p w14:paraId="29A1CB68" w14:textId="77777777" w:rsidR="00CB540F" w:rsidRPr="004E6EF0" w:rsidRDefault="00CB540F" w:rsidP="007D5029">
            <w:pPr>
              <w:spacing w:line="240" w:lineRule="auto"/>
              <w:rPr>
                <w:rFonts w:cs="Arial"/>
                <w:color w:val="auto"/>
                <w:lang w:eastAsia="en-AU"/>
              </w:rPr>
            </w:pPr>
            <w:r w:rsidRPr="004E6EF0">
              <w:rPr>
                <w:rFonts w:cs="Arial"/>
                <w:color w:val="auto"/>
                <w:lang w:eastAsia="en-AU"/>
              </w:rPr>
              <w:t>117</w:t>
            </w:r>
          </w:p>
        </w:tc>
        <w:tc>
          <w:tcPr>
            <w:tcW w:w="7603" w:type="dxa"/>
            <w:hideMark/>
          </w:tcPr>
          <w:p w14:paraId="3F05251B"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Erica Smyth </w:t>
            </w:r>
          </w:p>
        </w:tc>
      </w:tr>
      <w:tr w:rsidR="00CB540F" w:rsidRPr="004E6EF0" w14:paraId="6AE67FA4" w14:textId="77777777" w:rsidTr="00A2598E">
        <w:trPr>
          <w:trHeight w:val="70"/>
          <w:tblHeader/>
        </w:trPr>
        <w:tc>
          <w:tcPr>
            <w:tcW w:w="1577" w:type="dxa"/>
            <w:noWrap/>
            <w:hideMark/>
          </w:tcPr>
          <w:p w14:paraId="53040299" w14:textId="77777777" w:rsidR="00CB540F" w:rsidRPr="004E6EF0" w:rsidRDefault="00CB540F" w:rsidP="007D5029">
            <w:pPr>
              <w:spacing w:line="240" w:lineRule="auto"/>
              <w:rPr>
                <w:rFonts w:cs="Arial"/>
                <w:color w:val="auto"/>
                <w:lang w:eastAsia="en-AU"/>
              </w:rPr>
            </w:pPr>
            <w:r w:rsidRPr="004E6EF0">
              <w:rPr>
                <w:rFonts w:cs="Arial"/>
                <w:color w:val="auto"/>
                <w:lang w:eastAsia="en-AU"/>
              </w:rPr>
              <w:t>118</w:t>
            </w:r>
          </w:p>
        </w:tc>
        <w:tc>
          <w:tcPr>
            <w:tcW w:w="7603" w:type="dxa"/>
            <w:hideMark/>
          </w:tcPr>
          <w:p w14:paraId="5BE492F4" w14:textId="77777777" w:rsidR="00CB540F" w:rsidRPr="004E6EF0" w:rsidRDefault="00CB540F" w:rsidP="007D5029">
            <w:pPr>
              <w:spacing w:line="240" w:lineRule="auto"/>
              <w:rPr>
                <w:rFonts w:cs="Arial"/>
                <w:color w:val="auto"/>
                <w:lang w:eastAsia="en-AU"/>
              </w:rPr>
            </w:pPr>
            <w:r w:rsidRPr="004E6EF0">
              <w:rPr>
                <w:rFonts w:cs="Arial"/>
                <w:color w:val="auto"/>
                <w:lang w:eastAsia="en-AU"/>
              </w:rPr>
              <w:t>Eastern Metropolitan Regional Council</w:t>
            </w:r>
          </w:p>
        </w:tc>
      </w:tr>
      <w:tr w:rsidR="00CB540F" w:rsidRPr="004E6EF0" w14:paraId="287C2816" w14:textId="77777777" w:rsidTr="00A2598E">
        <w:trPr>
          <w:trHeight w:val="70"/>
          <w:tblHeader/>
        </w:trPr>
        <w:tc>
          <w:tcPr>
            <w:tcW w:w="1577" w:type="dxa"/>
            <w:noWrap/>
            <w:hideMark/>
          </w:tcPr>
          <w:p w14:paraId="27BBB116" w14:textId="77777777" w:rsidR="00CB540F" w:rsidRPr="004E6EF0" w:rsidRDefault="00CB540F" w:rsidP="007D5029">
            <w:pPr>
              <w:spacing w:line="240" w:lineRule="auto"/>
              <w:rPr>
                <w:rFonts w:cs="Arial"/>
                <w:color w:val="auto"/>
                <w:lang w:eastAsia="en-AU"/>
              </w:rPr>
            </w:pPr>
            <w:r w:rsidRPr="004E6EF0">
              <w:rPr>
                <w:rFonts w:cs="Arial"/>
                <w:color w:val="auto"/>
                <w:lang w:eastAsia="en-AU"/>
              </w:rPr>
              <w:t>119</w:t>
            </w:r>
          </w:p>
        </w:tc>
        <w:tc>
          <w:tcPr>
            <w:tcW w:w="7603" w:type="dxa"/>
            <w:hideMark/>
          </w:tcPr>
          <w:p w14:paraId="6685723B" w14:textId="77777777" w:rsidR="00CB540F" w:rsidRPr="004E6EF0" w:rsidRDefault="00CB540F" w:rsidP="007D5029">
            <w:pPr>
              <w:spacing w:line="240" w:lineRule="auto"/>
              <w:rPr>
                <w:rFonts w:cs="Arial"/>
                <w:color w:val="auto"/>
                <w:lang w:eastAsia="en-AU"/>
              </w:rPr>
            </w:pPr>
            <w:r w:rsidRPr="004E6EF0">
              <w:rPr>
                <w:rFonts w:cs="Arial"/>
                <w:color w:val="auto"/>
                <w:lang w:eastAsia="en-AU"/>
              </w:rPr>
              <w:t>Research Directions Pty Ltd and Consultant</w:t>
            </w:r>
          </w:p>
        </w:tc>
      </w:tr>
      <w:tr w:rsidR="00CB540F" w:rsidRPr="004E6EF0" w14:paraId="0C9406A5" w14:textId="77777777" w:rsidTr="00A2598E">
        <w:trPr>
          <w:trHeight w:val="70"/>
          <w:tblHeader/>
        </w:trPr>
        <w:tc>
          <w:tcPr>
            <w:tcW w:w="1577" w:type="dxa"/>
            <w:noWrap/>
            <w:hideMark/>
          </w:tcPr>
          <w:p w14:paraId="3E1AA7FD" w14:textId="77777777" w:rsidR="00CB540F" w:rsidRPr="004E6EF0" w:rsidRDefault="00CB540F" w:rsidP="007D5029">
            <w:pPr>
              <w:spacing w:line="240" w:lineRule="auto"/>
              <w:rPr>
                <w:rFonts w:cs="Arial"/>
                <w:color w:val="auto"/>
                <w:lang w:eastAsia="en-AU"/>
              </w:rPr>
            </w:pPr>
            <w:r w:rsidRPr="004E6EF0">
              <w:rPr>
                <w:rFonts w:cs="Arial"/>
                <w:color w:val="auto"/>
                <w:lang w:eastAsia="en-AU"/>
              </w:rPr>
              <w:t>120</w:t>
            </w:r>
          </w:p>
        </w:tc>
        <w:tc>
          <w:tcPr>
            <w:tcW w:w="7603" w:type="dxa"/>
            <w:hideMark/>
          </w:tcPr>
          <w:p w14:paraId="1FAB6024" w14:textId="77777777" w:rsidR="00CB540F" w:rsidRPr="004E6EF0" w:rsidRDefault="00CB540F" w:rsidP="007D5029">
            <w:pPr>
              <w:spacing w:line="240" w:lineRule="auto"/>
              <w:rPr>
                <w:rFonts w:cs="Arial"/>
                <w:color w:val="auto"/>
                <w:lang w:eastAsia="en-AU"/>
              </w:rPr>
            </w:pPr>
            <w:r w:rsidRPr="004E6EF0">
              <w:rPr>
                <w:rFonts w:cs="Arial"/>
                <w:color w:val="auto"/>
                <w:lang w:eastAsia="en-AU"/>
              </w:rPr>
              <w:t>Curtin University</w:t>
            </w:r>
          </w:p>
        </w:tc>
      </w:tr>
      <w:tr w:rsidR="00CB540F" w:rsidRPr="004E6EF0" w14:paraId="2054EC7F" w14:textId="77777777" w:rsidTr="00A2598E">
        <w:trPr>
          <w:trHeight w:val="255"/>
          <w:tblHeader/>
        </w:trPr>
        <w:tc>
          <w:tcPr>
            <w:tcW w:w="1577" w:type="dxa"/>
            <w:noWrap/>
            <w:hideMark/>
          </w:tcPr>
          <w:p w14:paraId="25CF98F2" w14:textId="77777777" w:rsidR="00CB540F" w:rsidRPr="004E6EF0" w:rsidRDefault="00CB540F" w:rsidP="007D5029">
            <w:pPr>
              <w:spacing w:line="240" w:lineRule="auto"/>
              <w:rPr>
                <w:rFonts w:cs="Arial"/>
                <w:color w:val="auto"/>
                <w:lang w:eastAsia="en-AU"/>
              </w:rPr>
            </w:pPr>
            <w:r w:rsidRPr="004E6EF0">
              <w:rPr>
                <w:rFonts w:cs="Arial"/>
                <w:color w:val="auto"/>
                <w:lang w:eastAsia="en-AU"/>
              </w:rPr>
              <w:t>121</w:t>
            </w:r>
          </w:p>
        </w:tc>
        <w:tc>
          <w:tcPr>
            <w:tcW w:w="7603" w:type="dxa"/>
            <w:hideMark/>
          </w:tcPr>
          <w:p w14:paraId="282B4DD0" w14:textId="77777777" w:rsidR="00CB540F" w:rsidRPr="004E6EF0" w:rsidRDefault="00CB540F" w:rsidP="007D5029">
            <w:pPr>
              <w:spacing w:line="240" w:lineRule="auto"/>
              <w:rPr>
                <w:rFonts w:cs="Arial"/>
                <w:color w:val="auto"/>
                <w:lang w:eastAsia="en-AU"/>
              </w:rPr>
            </w:pPr>
            <w:r w:rsidRPr="004E6EF0">
              <w:rPr>
                <w:rFonts w:cs="Arial"/>
                <w:color w:val="auto"/>
                <w:lang w:eastAsia="en-AU"/>
              </w:rPr>
              <w:t>Tasmanian Polar Network</w:t>
            </w:r>
          </w:p>
        </w:tc>
      </w:tr>
      <w:tr w:rsidR="00CB540F" w:rsidRPr="004E6EF0" w14:paraId="4D3CCB26" w14:textId="77777777" w:rsidTr="00A2598E">
        <w:trPr>
          <w:trHeight w:val="70"/>
          <w:tblHeader/>
        </w:trPr>
        <w:tc>
          <w:tcPr>
            <w:tcW w:w="1577" w:type="dxa"/>
            <w:noWrap/>
            <w:hideMark/>
          </w:tcPr>
          <w:p w14:paraId="750185FF" w14:textId="77777777" w:rsidR="00CB540F" w:rsidRPr="004E6EF0" w:rsidRDefault="00CB540F" w:rsidP="007D5029">
            <w:pPr>
              <w:spacing w:line="240" w:lineRule="auto"/>
              <w:rPr>
                <w:rFonts w:cs="Arial"/>
                <w:color w:val="auto"/>
                <w:lang w:eastAsia="en-AU"/>
              </w:rPr>
            </w:pPr>
            <w:r w:rsidRPr="004E6EF0">
              <w:rPr>
                <w:rFonts w:cs="Arial"/>
                <w:color w:val="auto"/>
                <w:lang w:eastAsia="en-AU"/>
              </w:rPr>
              <w:t>122</w:t>
            </w:r>
          </w:p>
        </w:tc>
        <w:tc>
          <w:tcPr>
            <w:tcW w:w="7603" w:type="dxa"/>
            <w:hideMark/>
          </w:tcPr>
          <w:p w14:paraId="567E7AE0" w14:textId="77777777" w:rsidR="00CB540F" w:rsidRPr="004E6EF0" w:rsidRDefault="00CB540F" w:rsidP="007D5029">
            <w:pPr>
              <w:spacing w:line="240" w:lineRule="auto"/>
              <w:rPr>
                <w:rFonts w:cs="Arial"/>
                <w:color w:val="auto"/>
                <w:lang w:eastAsia="en-AU"/>
              </w:rPr>
            </w:pPr>
            <w:r w:rsidRPr="004E6EF0">
              <w:rPr>
                <w:rFonts w:cs="Arial"/>
                <w:color w:val="auto"/>
                <w:lang w:eastAsia="en-AU"/>
              </w:rPr>
              <w:t>Bushfire and Natural Hazards CRC</w:t>
            </w:r>
          </w:p>
        </w:tc>
      </w:tr>
      <w:tr w:rsidR="00CB540F" w:rsidRPr="004E6EF0" w14:paraId="39F72B64" w14:textId="77777777" w:rsidTr="00A2598E">
        <w:trPr>
          <w:trHeight w:val="70"/>
          <w:tblHeader/>
        </w:trPr>
        <w:tc>
          <w:tcPr>
            <w:tcW w:w="1577" w:type="dxa"/>
            <w:noWrap/>
            <w:hideMark/>
          </w:tcPr>
          <w:p w14:paraId="304A6099" w14:textId="77777777" w:rsidR="00CB540F" w:rsidRPr="004E6EF0" w:rsidRDefault="00CB540F" w:rsidP="007D5029">
            <w:pPr>
              <w:spacing w:line="240" w:lineRule="auto"/>
              <w:rPr>
                <w:rFonts w:cs="Arial"/>
                <w:color w:val="auto"/>
                <w:lang w:eastAsia="en-AU"/>
              </w:rPr>
            </w:pPr>
            <w:r w:rsidRPr="004E6EF0">
              <w:rPr>
                <w:rFonts w:cs="Arial"/>
                <w:color w:val="auto"/>
                <w:lang w:eastAsia="en-AU"/>
              </w:rPr>
              <w:t>123</w:t>
            </w:r>
          </w:p>
        </w:tc>
        <w:tc>
          <w:tcPr>
            <w:tcW w:w="7603" w:type="dxa"/>
            <w:hideMark/>
          </w:tcPr>
          <w:p w14:paraId="3068A7B9" w14:textId="77777777" w:rsidR="00CB540F" w:rsidRPr="004E6EF0" w:rsidRDefault="00CB540F" w:rsidP="007D5029">
            <w:pPr>
              <w:spacing w:line="240" w:lineRule="auto"/>
              <w:rPr>
                <w:rFonts w:cs="Arial"/>
                <w:color w:val="auto"/>
                <w:lang w:eastAsia="en-AU"/>
              </w:rPr>
            </w:pPr>
            <w:r w:rsidRPr="004E6EF0">
              <w:rPr>
                <w:rFonts w:cs="Arial"/>
                <w:color w:val="auto"/>
                <w:lang w:eastAsia="en-AU"/>
              </w:rPr>
              <w:t>Jacobs Australia</w:t>
            </w:r>
          </w:p>
        </w:tc>
      </w:tr>
      <w:tr w:rsidR="00CB540F" w:rsidRPr="004E6EF0" w14:paraId="1F24CF59" w14:textId="77777777" w:rsidTr="00A2598E">
        <w:trPr>
          <w:trHeight w:val="255"/>
          <w:tblHeader/>
        </w:trPr>
        <w:tc>
          <w:tcPr>
            <w:tcW w:w="1577" w:type="dxa"/>
            <w:noWrap/>
            <w:hideMark/>
          </w:tcPr>
          <w:p w14:paraId="5A48643B" w14:textId="77777777" w:rsidR="00CB540F" w:rsidRPr="004E6EF0" w:rsidRDefault="00CB540F" w:rsidP="007D5029">
            <w:pPr>
              <w:spacing w:line="240" w:lineRule="auto"/>
              <w:rPr>
                <w:rFonts w:cs="Arial"/>
                <w:color w:val="auto"/>
                <w:lang w:eastAsia="en-AU"/>
              </w:rPr>
            </w:pPr>
            <w:r w:rsidRPr="004E6EF0">
              <w:rPr>
                <w:rFonts w:cs="Arial"/>
                <w:color w:val="auto"/>
                <w:lang w:eastAsia="en-AU"/>
              </w:rPr>
              <w:t>124</w:t>
            </w:r>
          </w:p>
        </w:tc>
        <w:tc>
          <w:tcPr>
            <w:tcW w:w="7603" w:type="dxa"/>
            <w:hideMark/>
          </w:tcPr>
          <w:p w14:paraId="263A2186" w14:textId="77777777" w:rsidR="00CB540F" w:rsidRPr="004E6EF0" w:rsidRDefault="00CB540F" w:rsidP="007D5029">
            <w:pPr>
              <w:spacing w:line="240" w:lineRule="auto"/>
              <w:rPr>
                <w:rFonts w:cs="Arial"/>
                <w:color w:val="auto"/>
                <w:lang w:eastAsia="en-AU"/>
              </w:rPr>
            </w:pPr>
            <w:r w:rsidRPr="004E6EF0">
              <w:rPr>
                <w:rFonts w:cs="Arial"/>
                <w:color w:val="auto"/>
                <w:lang w:eastAsia="en-AU"/>
              </w:rPr>
              <w:t>Water Research Australia Limited</w:t>
            </w:r>
          </w:p>
        </w:tc>
      </w:tr>
      <w:tr w:rsidR="00CB540F" w:rsidRPr="004E6EF0" w14:paraId="4C6EF0F5" w14:textId="77777777" w:rsidTr="00A2598E">
        <w:trPr>
          <w:trHeight w:val="255"/>
          <w:tblHeader/>
        </w:trPr>
        <w:tc>
          <w:tcPr>
            <w:tcW w:w="1577" w:type="dxa"/>
            <w:noWrap/>
            <w:hideMark/>
          </w:tcPr>
          <w:p w14:paraId="62334F9D" w14:textId="77777777" w:rsidR="00CB540F" w:rsidRPr="004E6EF0" w:rsidRDefault="00CB540F" w:rsidP="007D5029">
            <w:pPr>
              <w:spacing w:line="240" w:lineRule="auto"/>
              <w:rPr>
                <w:rFonts w:cs="Arial"/>
                <w:color w:val="auto"/>
                <w:lang w:eastAsia="en-AU"/>
              </w:rPr>
            </w:pPr>
            <w:r w:rsidRPr="004E6EF0">
              <w:rPr>
                <w:rFonts w:cs="Arial"/>
                <w:color w:val="auto"/>
                <w:lang w:eastAsia="en-AU"/>
              </w:rPr>
              <w:t>125</w:t>
            </w:r>
          </w:p>
        </w:tc>
        <w:tc>
          <w:tcPr>
            <w:tcW w:w="7603" w:type="dxa"/>
            <w:hideMark/>
          </w:tcPr>
          <w:p w14:paraId="65822269" w14:textId="77777777" w:rsidR="00CB540F" w:rsidRPr="004E6EF0" w:rsidRDefault="00CB540F" w:rsidP="007D5029">
            <w:pPr>
              <w:spacing w:line="240" w:lineRule="auto"/>
              <w:rPr>
                <w:rFonts w:cs="Arial"/>
                <w:color w:val="auto"/>
                <w:lang w:eastAsia="en-AU"/>
              </w:rPr>
            </w:pPr>
            <w:r w:rsidRPr="004E6EF0">
              <w:rPr>
                <w:rFonts w:cs="Arial"/>
                <w:color w:val="auto"/>
                <w:lang w:eastAsia="en-AU"/>
              </w:rPr>
              <w:t>City of Melbourne</w:t>
            </w:r>
          </w:p>
        </w:tc>
      </w:tr>
      <w:tr w:rsidR="00CB540F" w:rsidRPr="004E6EF0" w14:paraId="4768DE28" w14:textId="77777777" w:rsidTr="00A2598E">
        <w:trPr>
          <w:trHeight w:val="255"/>
          <w:tblHeader/>
        </w:trPr>
        <w:tc>
          <w:tcPr>
            <w:tcW w:w="1577" w:type="dxa"/>
            <w:noWrap/>
            <w:hideMark/>
          </w:tcPr>
          <w:p w14:paraId="571EC689" w14:textId="77777777" w:rsidR="00CB540F" w:rsidRPr="004E6EF0" w:rsidRDefault="00CB540F" w:rsidP="007D5029">
            <w:pPr>
              <w:spacing w:line="240" w:lineRule="auto"/>
              <w:rPr>
                <w:rFonts w:cs="Arial"/>
                <w:color w:val="auto"/>
                <w:lang w:eastAsia="en-AU"/>
              </w:rPr>
            </w:pPr>
            <w:r w:rsidRPr="004E6EF0">
              <w:rPr>
                <w:rFonts w:cs="Arial"/>
                <w:color w:val="auto"/>
                <w:lang w:eastAsia="en-AU"/>
              </w:rPr>
              <w:t>126</w:t>
            </w:r>
          </w:p>
        </w:tc>
        <w:tc>
          <w:tcPr>
            <w:tcW w:w="7603" w:type="dxa"/>
            <w:hideMark/>
          </w:tcPr>
          <w:p w14:paraId="52B36650" w14:textId="77777777" w:rsidR="00CB540F" w:rsidRPr="004E6EF0" w:rsidRDefault="00CB540F" w:rsidP="007D5029">
            <w:pPr>
              <w:spacing w:line="240" w:lineRule="auto"/>
              <w:rPr>
                <w:rFonts w:cs="Arial"/>
                <w:color w:val="auto"/>
                <w:lang w:eastAsia="en-AU"/>
              </w:rPr>
            </w:pPr>
            <w:r w:rsidRPr="004E6EF0">
              <w:rPr>
                <w:rFonts w:cs="Arial"/>
                <w:color w:val="auto"/>
              </w:rPr>
              <w:t>Automotive Australia 2020 CRC</w:t>
            </w:r>
          </w:p>
        </w:tc>
      </w:tr>
      <w:tr w:rsidR="00CB540F" w:rsidRPr="004E6EF0" w14:paraId="039EF9DE" w14:textId="77777777" w:rsidTr="00A2598E">
        <w:trPr>
          <w:trHeight w:val="255"/>
          <w:tblHeader/>
        </w:trPr>
        <w:tc>
          <w:tcPr>
            <w:tcW w:w="1577" w:type="dxa"/>
            <w:noWrap/>
            <w:hideMark/>
          </w:tcPr>
          <w:p w14:paraId="1D1F8F3B" w14:textId="77777777" w:rsidR="00CB540F" w:rsidRPr="004E6EF0" w:rsidRDefault="00CB540F" w:rsidP="007D5029">
            <w:pPr>
              <w:spacing w:line="240" w:lineRule="auto"/>
              <w:rPr>
                <w:rFonts w:cs="Arial"/>
                <w:color w:val="auto"/>
                <w:lang w:eastAsia="en-AU"/>
              </w:rPr>
            </w:pPr>
            <w:r w:rsidRPr="004E6EF0">
              <w:rPr>
                <w:rFonts w:cs="Arial"/>
                <w:color w:val="auto"/>
                <w:lang w:eastAsia="en-AU"/>
              </w:rPr>
              <w:t>127</w:t>
            </w:r>
          </w:p>
        </w:tc>
        <w:tc>
          <w:tcPr>
            <w:tcW w:w="7603" w:type="dxa"/>
            <w:hideMark/>
          </w:tcPr>
          <w:p w14:paraId="5EC69715"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Australian Pork Limited</w:t>
            </w:r>
          </w:p>
        </w:tc>
      </w:tr>
      <w:tr w:rsidR="00CB540F" w:rsidRPr="004E6EF0" w14:paraId="19C484E8" w14:textId="77777777" w:rsidTr="00A2598E">
        <w:trPr>
          <w:trHeight w:val="255"/>
          <w:tblHeader/>
        </w:trPr>
        <w:tc>
          <w:tcPr>
            <w:tcW w:w="1577" w:type="dxa"/>
            <w:noWrap/>
            <w:hideMark/>
          </w:tcPr>
          <w:p w14:paraId="04E46915" w14:textId="77777777" w:rsidR="00CB540F" w:rsidRPr="004E6EF0" w:rsidRDefault="00CB540F" w:rsidP="007D5029">
            <w:pPr>
              <w:spacing w:line="240" w:lineRule="auto"/>
              <w:rPr>
                <w:rFonts w:cs="Arial"/>
                <w:color w:val="auto"/>
                <w:lang w:eastAsia="en-AU"/>
              </w:rPr>
            </w:pPr>
            <w:r w:rsidRPr="004E6EF0">
              <w:rPr>
                <w:rFonts w:cs="Arial"/>
                <w:color w:val="auto"/>
                <w:lang w:eastAsia="en-AU"/>
              </w:rPr>
              <w:t>128</w:t>
            </w:r>
          </w:p>
        </w:tc>
        <w:tc>
          <w:tcPr>
            <w:tcW w:w="7603" w:type="dxa"/>
            <w:hideMark/>
          </w:tcPr>
          <w:p w14:paraId="499FFD48" w14:textId="77777777" w:rsidR="00CB540F" w:rsidRPr="004E6EF0" w:rsidRDefault="00CB540F" w:rsidP="007D5029">
            <w:pPr>
              <w:spacing w:line="240" w:lineRule="auto"/>
              <w:rPr>
                <w:rFonts w:cs="Arial"/>
                <w:color w:val="auto"/>
                <w:lang w:eastAsia="en-AU"/>
              </w:rPr>
            </w:pPr>
            <w:r w:rsidRPr="004E6EF0">
              <w:rPr>
                <w:rFonts w:cs="Arial"/>
                <w:color w:val="auto"/>
                <w:lang w:eastAsia="en-AU"/>
              </w:rPr>
              <w:t>CRC for Water Sensitive Cities</w:t>
            </w:r>
          </w:p>
        </w:tc>
      </w:tr>
      <w:tr w:rsidR="00CB540F" w:rsidRPr="004E6EF0" w14:paraId="2B265EAF" w14:textId="77777777" w:rsidTr="00A2598E">
        <w:trPr>
          <w:trHeight w:val="255"/>
          <w:tblHeader/>
        </w:trPr>
        <w:tc>
          <w:tcPr>
            <w:tcW w:w="1577" w:type="dxa"/>
            <w:noWrap/>
            <w:hideMark/>
          </w:tcPr>
          <w:p w14:paraId="232B7247" w14:textId="77777777" w:rsidR="00CB540F" w:rsidRPr="004E6EF0" w:rsidRDefault="00CB540F" w:rsidP="007D5029">
            <w:pPr>
              <w:spacing w:line="240" w:lineRule="auto"/>
              <w:rPr>
                <w:rFonts w:cs="Arial"/>
                <w:color w:val="auto"/>
                <w:lang w:eastAsia="en-AU"/>
              </w:rPr>
            </w:pPr>
            <w:r w:rsidRPr="004E6EF0">
              <w:rPr>
                <w:rFonts w:cs="Arial"/>
                <w:color w:val="auto"/>
                <w:lang w:eastAsia="en-AU"/>
              </w:rPr>
              <w:t>129</w:t>
            </w:r>
          </w:p>
        </w:tc>
        <w:tc>
          <w:tcPr>
            <w:tcW w:w="7603" w:type="dxa"/>
            <w:hideMark/>
          </w:tcPr>
          <w:p w14:paraId="54CBD7E5" w14:textId="77777777" w:rsidR="00CB540F" w:rsidRPr="004E6EF0" w:rsidRDefault="00CB540F" w:rsidP="007D5029">
            <w:pPr>
              <w:spacing w:line="240" w:lineRule="auto"/>
              <w:rPr>
                <w:rFonts w:cs="Arial"/>
                <w:color w:val="auto"/>
                <w:lang w:eastAsia="en-AU"/>
              </w:rPr>
            </w:pPr>
            <w:r w:rsidRPr="004E6EF0">
              <w:rPr>
                <w:rFonts w:cs="Arial"/>
                <w:color w:val="auto"/>
                <w:lang w:eastAsia="en-AU"/>
              </w:rPr>
              <w:t>Department of State Growth (TAS)</w:t>
            </w:r>
          </w:p>
        </w:tc>
      </w:tr>
      <w:tr w:rsidR="00CB540F" w:rsidRPr="004E6EF0" w14:paraId="6A4DEC77" w14:textId="77777777" w:rsidTr="00A2598E">
        <w:trPr>
          <w:trHeight w:val="255"/>
          <w:tblHeader/>
        </w:trPr>
        <w:tc>
          <w:tcPr>
            <w:tcW w:w="1577" w:type="dxa"/>
            <w:noWrap/>
            <w:hideMark/>
          </w:tcPr>
          <w:p w14:paraId="7A0B2807" w14:textId="77777777" w:rsidR="00CB540F" w:rsidRPr="004E6EF0" w:rsidRDefault="00CB540F" w:rsidP="007D5029">
            <w:pPr>
              <w:spacing w:line="240" w:lineRule="auto"/>
              <w:rPr>
                <w:rFonts w:cs="Arial"/>
                <w:color w:val="auto"/>
                <w:lang w:eastAsia="en-AU"/>
              </w:rPr>
            </w:pPr>
            <w:r w:rsidRPr="004E6EF0">
              <w:rPr>
                <w:rFonts w:cs="Arial"/>
                <w:color w:val="auto"/>
                <w:lang w:eastAsia="en-AU"/>
              </w:rPr>
              <w:t>130</w:t>
            </w:r>
          </w:p>
        </w:tc>
        <w:tc>
          <w:tcPr>
            <w:tcW w:w="7603" w:type="dxa"/>
            <w:hideMark/>
          </w:tcPr>
          <w:p w14:paraId="190B8730"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Autism </w:t>
            </w:r>
            <w:proofErr w:type="spellStart"/>
            <w:r w:rsidRPr="004E6EF0">
              <w:rPr>
                <w:rFonts w:cs="Arial"/>
                <w:color w:val="auto"/>
                <w:lang w:eastAsia="en-AU"/>
              </w:rPr>
              <w:t>Aspergers</w:t>
            </w:r>
            <w:proofErr w:type="spellEnd"/>
            <w:r w:rsidRPr="004E6EF0">
              <w:rPr>
                <w:rFonts w:cs="Arial"/>
                <w:color w:val="auto"/>
                <w:lang w:eastAsia="en-AU"/>
              </w:rPr>
              <w:t xml:space="preserve"> Advocacy Australia</w:t>
            </w:r>
          </w:p>
        </w:tc>
      </w:tr>
      <w:tr w:rsidR="00CB540F" w:rsidRPr="004E6EF0" w14:paraId="6B4951D7" w14:textId="77777777" w:rsidTr="00A2598E">
        <w:trPr>
          <w:trHeight w:val="255"/>
          <w:tblHeader/>
        </w:trPr>
        <w:tc>
          <w:tcPr>
            <w:tcW w:w="1577" w:type="dxa"/>
            <w:noWrap/>
            <w:hideMark/>
          </w:tcPr>
          <w:p w14:paraId="4A757BA1" w14:textId="77777777" w:rsidR="00CB540F" w:rsidRPr="004E6EF0" w:rsidRDefault="00CB540F" w:rsidP="007D5029">
            <w:pPr>
              <w:spacing w:line="240" w:lineRule="auto"/>
              <w:rPr>
                <w:rFonts w:cs="Arial"/>
                <w:color w:val="auto"/>
                <w:lang w:eastAsia="en-AU"/>
              </w:rPr>
            </w:pPr>
            <w:r w:rsidRPr="004E6EF0">
              <w:rPr>
                <w:rFonts w:cs="Arial"/>
                <w:color w:val="auto"/>
                <w:lang w:eastAsia="en-AU"/>
              </w:rPr>
              <w:t>131</w:t>
            </w:r>
          </w:p>
        </w:tc>
        <w:tc>
          <w:tcPr>
            <w:tcW w:w="7603" w:type="dxa"/>
            <w:hideMark/>
          </w:tcPr>
          <w:p w14:paraId="1814A6A2" w14:textId="77777777" w:rsidR="00CB540F" w:rsidRPr="004E6EF0" w:rsidRDefault="00CB540F" w:rsidP="007D5029">
            <w:pPr>
              <w:spacing w:line="240" w:lineRule="auto"/>
              <w:rPr>
                <w:rFonts w:cs="Arial"/>
                <w:color w:val="auto"/>
                <w:lang w:eastAsia="en-AU"/>
              </w:rPr>
            </w:pPr>
            <w:r w:rsidRPr="004E6EF0">
              <w:rPr>
                <w:rFonts w:cs="Arial"/>
                <w:color w:val="auto"/>
                <w:lang w:eastAsia="en-AU"/>
              </w:rPr>
              <w:t>43pl Chairman</w:t>
            </w:r>
          </w:p>
        </w:tc>
      </w:tr>
      <w:tr w:rsidR="00CB540F" w:rsidRPr="004E6EF0" w14:paraId="5F37EEF0" w14:textId="77777777" w:rsidTr="00A2598E">
        <w:trPr>
          <w:trHeight w:val="255"/>
          <w:tblHeader/>
        </w:trPr>
        <w:tc>
          <w:tcPr>
            <w:tcW w:w="1577" w:type="dxa"/>
            <w:noWrap/>
            <w:hideMark/>
          </w:tcPr>
          <w:p w14:paraId="76D59FC3" w14:textId="77777777" w:rsidR="00CB540F" w:rsidRPr="004E6EF0" w:rsidRDefault="00CB540F" w:rsidP="007D5029">
            <w:pPr>
              <w:spacing w:line="240" w:lineRule="auto"/>
              <w:rPr>
                <w:rFonts w:cs="Arial"/>
                <w:color w:val="auto"/>
                <w:lang w:eastAsia="en-AU"/>
              </w:rPr>
            </w:pPr>
            <w:r w:rsidRPr="004E6EF0">
              <w:rPr>
                <w:rFonts w:cs="Arial"/>
                <w:color w:val="auto"/>
                <w:lang w:eastAsia="en-AU"/>
              </w:rPr>
              <w:t>132</w:t>
            </w:r>
          </w:p>
        </w:tc>
        <w:tc>
          <w:tcPr>
            <w:tcW w:w="7603" w:type="dxa"/>
            <w:hideMark/>
          </w:tcPr>
          <w:p w14:paraId="7C5EE303" w14:textId="77777777" w:rsidR="00CB540F" w:rsidRPr="004E6EF0" w:rsidRDefault="00CB540F" w:rsidP="007D5029">
            <w:pPr>
              <w:spacing w:line="240" w:lineRule="auto"/>
              <w:rPr>
                <w:rFonts w:cs="Arial"/>
                <w:color w:val="auto"/>
                <w:lang w:eastAsia="en-AU"/>
              </w:rPr>
            </w:pPr>
            <w:r w:rsidRPr="004E6EF0">
              <w:rPr>
                <w:rFonts w:cs="Arial"/>
                <w:color w:val="auto"/>
                <w:lang w:eastAsia="en-AU"/>
              </w:rPr>
              <w:t>Minotaur Exploration</w:t>
            </w:r>
          </w:p>
        </w:tc>
      </w:tr>
      <w:tr w:rsidR="00CB540F" w:rsidRPr="004E6EF0" w14:paraId="3BE23D87" w14:textId="77777777" w:rsidTr="00A2598E">
        <w:trPr>
          <w:trHeight w:val="70"/>
          <w:tblHeader/>
        </w:trPr>
        <w:tc>
          <w:tcPr>
            <w:tcW w:w="1577" w:type="dxa"/>
            <w:noWrap/>
            <w:hideMark/>
          </w:tcPr>
          <w:p w14:paraId="7FD648F9" w14:textId="77777777" w:rsidR="00CB540F" w:rsidRPr="004E6EF0" w:rsidRDefault="00CB540F" w:rsidP="007D5029">
            <w:pPr>
              <w:spacing w:line="240" w:lineRule="auto"/>
              <w:rPr>
                <w:rFonts w:cs="Arial"/>
                <w:color w:val="auto"/>
                <w:lang w:eastAsia="en-AU"/>
              </w:rPr>
            </w:pPr>
            <w:r w:rsidRPr="004E6EF0">
              <w:rPr>
                <w:rFonts w:cs="Arial"/>
                <w:color w:val="auto"/>
                <w:lang w:eastAsia="en-AU"/>
              </w:rPr>
              <w:t>133</w:t>
            </w:r>
          </w:p>
        </w:tc>
        <w:tc>
          <w:tcPr>
            <w:tcW w:w="7603" w:type="dxa"/>
            <w:hideMark/>
          </w:tcPr>
          <w:p w14:paraId="5ABA65DA" w14:textId="77777777" w:rsidR="00CB540F" w:rsidRPr="004E6EF0" w:rsidRDefault="00CB540F" w:rsidP="007D5029">
            <w:pPr>
              <w:spacing w:line="240" w:lineRule="auto"/>
              <w:rPr>
                <w:rFonts w:cs="Arial"/>
                <w:color w:val="auto"/>
                <w:lang w:eastAsia="en-AU"/>
              </w:rPr>
            </w:pPr>
            <w:r w:rsidRPr="004E6EF0">
              <w:rPr>
                <w:rFonts w:cs="Arial"/>
                <w:color w:val="auto"/>
                <w:lang w:eastAsia="en-AU"/>
              </w:rPr>
              <w:t>Melbourne Water</w:t>
            </w:r>
          </w:p>
        </w:tc>
      </w:tr>
      <w:tr w:rsidR="00CB540F" w:rsidRPr="004E6EF0" w14:paraId="7B09A620" w14:textId="77777777" w:rsidTr="00A2598E">
        <w:trPr>
          <w:trHeight w:val="255"/>
          <w:tblHeader/>
        </w:trPr>
        <w:tc>
          <w:tcPr>
            <w:tcW w:w="1577" w:type="dxa"/>
            <w:noWrap/>
            <w:hideMark/>
          </w:tcPr>
          <w:p w14:paraId="715F3C02" w14:textId="77777777" w:rsidR="00CB540F" w:rsidRPr="004E6EF0" w:rsidRDefault="00CB540F" w:rsidP="007D5029">
            <w:pPr>
              <w:spacing w:line="240" w:lineRule="auto"/>
              <w:rPr>
                <w:rFonts w:cs="Arial"/>
                <w:color w:val="auto"/>
                <w:lang w:eastAsia="en-AU"/>
              </w:rPr>
            </w:pPr>
            <w:r w:rsidRPr="004E6EF0">
              <w:rPr>
                <w:rFonts w:cs="Arial"/>
                <w:color w:val="auto"/>
                <w:lang w:eastAsia="en-AU"/>
              </w:rPr>
              <w:t>134</w:t>
            </w:r>
          </w:p>
        </w:tc>
        <w:tc>
          <w:tcPr>
            <w:tcW w:w="7603" w:type="dxa"/>
            <w:hideMark/>
          </w:tcPr>
          <w:p w14:paraId="6D8DFC01" w14:textId="77777777" w:rsidR="00CB540F" w:rsidRPr="004E6EF0" w:rsidRDefault="00CB540F" w:rsidP="007D5029">
            <w:pPr>
              <w:spacing w:line="240" w:lineRule="auto"/>
              <w:rPr>
                <w:rFonts w:cs="Arial"/>
                <w:color w:val="auto"/>
                <w:lang w:eastAsia="en-AU"/>
              </w:rPr>
            </w:pPr>
            <w:r w:rsidRPr="004E6EF0">
              <w:rPr>
                <w:rFonts w:cs="Arial"/>
                <w:color w:val="auto"/>
                <w:lang w:eastAsia="en-AU"/>
              </w:rPr>
              <w:t>Attorney-General's Department</w:t>
            </w:r>
            <w:r w:rsidR="002C6AF0" w:rsidRPr="004E6EF0">
              <w:rPr>
                <w:rFonts w:cs="Arial"/>
                <w:color w:val="auto"/>
                <w:lang w:eastAsia="en-AU"/>
              </w:rPr>
              <w:t xml:space="preserve"> (Australian Government)</w:t>
            </w:r>
          </w:p>
        </w:tc>
      </w:tr>
      <w:tr w:rsidR="00CB540F" w:rsidRPr="004E6EF0" w14:paraId="152F488A" w14:textId="77777777" w:rsidTr="00A2598E">
        <w:trPr>
          <w:trHeight w:val="255"/>
          <w:tblHeader/>
        </w:trPr>
        <w:tc>
          <w:tcPr>
            <w:tcW w:w="1577" w:type="dxa"/>
            <w:noWrap/>
            <w:hideMark/>
          </w:tcPr>
          <w:p w14:paraId="3C370BE4" w14:textId="77777777" w:rsidR="00CB540F" w:rsidRPr="004E6EF0" w:rsidRDefault="00CB540F" w:rsidP="007D5029">
            <w:pPr>
              <w:spacing w:line="240" w:lineRule="auto"/>
              <w:rPr>
                <w:rFonts w:cs="Arial"/>
                <w:color w:val="auto"/>
                <w:lang w:eastAsia="en-AU"/>
              </w:rPr>
            </w:pPr>
            <w:r w:rsidRPr="004E6EF0">
              <w:rPr>
                <w:rFonts w:cs="Arial"/>
                <w:color w:val="auto"/>
                <w:lang w:eastAsia="en-AU"/>
              </w:rPr>
              <w:t>135</w:t>
            </w:r>
          </w:p>
        </w:tc>
        <w:tc>
          <w:tcPr>
            <w:tcW w:w="7603" w:type="dxa"/>
            <w:hideMark/>
          </w:tcPr>
          <w:p w14:paraId="26D003D2" w14:textId="77777777" w:rsidR="00CB540F" w:rsidRPr="004E6EF0" w:rsidRDefault="00CB540F" w:rsidP="007D5029">
            <w:pPr>
              <w:spacing w:line="240" w:lineRule="auto"/>
              <w:rPr>
                <w:rFonts w:cs="Arial"/>
                <w:color w:val="auto"/>
                <w:lang w:eastAsia="en-AU"/>
              </w:rPr>
            </w:pPr>
            <w:r w:rsidRPr="004E6EF0">
              <w:rPr>
                <w:rFonts w:cs="Arial"/>
                <w:color w:val="auto"/>
                <w:lang w:eastAsia="en-AU"/>
              </w:rPr>
              <w:t>VPAC Innovations</w:t>
            </w:r>
          </w:p>
        </w:tc>
      </w:tr>
      <w:tr w:rsidR="00CB540F" w:rsidRPr="004E6EF0" w14:paraId="61C2C90A" w14:textId="77777777" w:rsidTr="00A2598E">
        <w:trPr>
          <w:trHeight w:val="255"/>
          <w:tblHeader/>
        </w:trPr>
        <w:tc>
          <w:tcPr>
            <w:tcW w:w="1577" w:type="dxa"/>
            <w:noWrap/>
            <w:hideMark/>
          </w:tcPr>
          <w:p w14:paraId="51FE80EB" w14:textId="77777777" w:rsidR="00CB540F" w:rsidRPr="004E6EF0" w:rsidRDefault="00CB540F" w:rsidP="007D5029">
            <w:pPr>
              <w:spacing w:line="240" w:lineRule="auto"/>
              <w:rPr>
                <w:rFonts w:cs="Arial"/>
                <w:color w:val="auto"/>
                <w:lang w:eastAsia="en-AU"/>
              </w:rPr>
            </w:pPr>
            <w:r w:rsidRPr="004E6EF0">
              <w:rPr>
                <w:rFonts w:cs="Arial"/>
                <w:color w:val="auto"/>
                <w:lang w:eastAsia="en-AU"/>
              </w:rPr>
              <w:t>136</w:t>
            </w:r>
          </w:p>
        </w:tc>
        <w:tc>
          <w:tcPr>
            <w:tcW w:w="7603" w:type="dxa"/>
            <w:hideMark/>
          </w:tcPr>
          <w:p w14:paraId="2BA48659" w14:textId="77777777" w:rsidR="00CB540F" w:rsidRPr="004E6EF0" w:rsidRDefault="00CB540F" w:rsidP="007D5029">
            <w:pPr>
              <w:spacing w:line="240" w:lineRule="auto"/>
              <w:rPr>
                <w:rFonts w:cs="Arial"/>
                <w:color w:val="auto"/>
                <w:lang w:eastAsia="en-AU"/>
              </w:rPr>
            </w:pPr>
            <w:r w:rsidRPr="004E6EF0">
              <w:rPr>
                <w:rFonts w:cs="Arial"/>
                <w:color w:val="auto"/>
                <w:lang w:eastAsia="en-AU"/>
              </w:rPr>
              <w:t>Minerals Council of Australia</w:t>
            </w:r>
          </w:p>
        </w:tc>
      </w:tr>
      <w:tr w:rsidR="00CB540F" w:rsidRPr="004E6EF0" w14:paraId="08C19948" w14:textId="77777777" w:rsidTr="00A2598E">
        <w:trPr>
          <w:trHeight w:val="255"/>
          <w:tblHeader/>
        </w:trPr>
        <w:tc>
          <w:tcPr>
            <w:tcW w:w="1577" w:type="dxa"/>
            <w:noWrap/>
            <w:hideMark/>
          </w:tcPr>
          <w:p w14:paraId="08A77421" w14:textId="77777777" w:rsidR="00CB540F" w:rsidRPr="004E6EF0" w:rsidRDefault="00CB540F" w:rsidP="007D5029">
            <w:pPr>
              <w:spacing w:line="240" w:lineRule="auto"/>
              <w:rPr>
                <w:rFonts w:cs="Arial"/>
                <w:color w:val="auto"/>
                <w:lang w:eastAsia="en-AU"/>
              </w:rPr>
            </w:pPr>
            <w:r w:rsidRPr="004E6EF0">
              <w:rPr>
                <w:rFonts w:cs="Arial"/>
                <w:color w:val="auto"/>
                <w:lang w:eastAsia="en-AU"/>
              </w:rPr>
              <w:t>137</w:t>
            </w:r>
          </w:p>
        </w:tc>
        <w:tc>
          <w:tcPr>
            <w:tcW w:w="7603" w:type="dxa"/>
            <w:hideMark/>
          </w:tcPr>
          <w:p w14:paraId="1B1ED442"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Australian Antarctic Division</w:t>
            </w:r>
          </w:p>
        </w:tc>
      </w:tr>
      <w:tr w:rsidR="00CB540F" w:rsidRPr="004E6EF0" w14:paraId="745ECEFC" w14:textId="77777777" w:rsidTr="00A2598E">
        <w:trPr>
          <w:trHeight w:val="70"/>
          <w:tblHeader/>
        </w:trPr>
        <w:tc>
          <w:tcPr>
            <w:tcW w:w="1577" w:type="dxa"/>
            <w:noWrap/>
            <w:hideMark/>
          </w:tcPr>
          <w:p w14:paraId="06222691" w14:textId="77777777" w:rsidR="00CB540F" w:rsidRPr="004E6EF0" w:rsidRDefault="00CB540F" w:rsidP="007D5029">
            <w:pPr>
              <w:spacing w:line="240" w:lineRule="auto"/>
              <w:rPr>
                <w:rFonts w:cs="Arial"/>
                <w:color w:val="auto"/>
                <w:lang w:eastAsia="en-AU"/>
              </w:rPr>
            </w:pPr>
            <w:r w:rsidRPr="004E6EF0">
              <w:rPr>
                <w:rFonts w:cs="Arial"/>
                <w:color w:val="auto"/>
                <w:lang w:eastAsia="en-AU"/>
              </w:rPr>
              <w:t>138</w:t>
            </w:r>
          </w:p>
        </w:tc>
        <w:tc>
          <w:tcPr>
            <w:tcW w:w="7603" w:type="dxa"/>
            <w:hideMark/>
          </w:tcPr>
          <w:p w14:paraId="672E401F" w14:textId="77777777" w:rsidR="00CB540F" w:rsidRPr="004E6EF0" w:rsidRDefault="00CB540F" w:rsidP="007D5029">
            <w:pPr>
              <w:spacing w:line="240" w:lineRule="auto"/>
              <w:rPr>
                <w:rFonts w:cs="Arial"/>
                <w:color w:val="auto"/>
                <w:lang w:eastAsia="en-AU"/>
              </w:rPr>
            </w:pPr>
            <w:r w:rsidRPr="004E6EF0">
              <w:rPr>
                <w:rFonts w:cs="Arial"/>
                <w:color w:val="auto"/>
                <w:lang w:eastAsia="en-AU"/>
              </w:rPr>
              <w:t>CRC for Remote Economic Participation</w:t>
            </w:r>
          </w:p>
        </w:tc>
      </w:tr>
      <w:tr w:rsidR="00CB540F" w:rsidRPr="004E6EF0" w14:paraId="16F3B22C" w14:textId="77777777" w:rsidTr="00A2598E">
        <w:trPr>
          <w:trHeight w:val="255"/>
          <w:tblHeader/>
        </w:trPr>
        <w:tc>
          <w:tcPr>
            <w:tcW w:w="1577" w:type="dxa"/>
            <w:noWrap/>
            <w:hideMark/>
          </w:tcPr>
          <w:p w14:paraId="74377EB2" w14:textId="77777777" w:rsidR="00CB540F" w:rsidRPr="004E6EF0" w:rsidRDefault="00CB540F" w:rsidP="007D5029">
            <w:pPr>
              <w:spacing w:line="240" w:lineRule="auto"/>
              <w:rPr>
                <w:rFonts w:cs="Arial"/>
                <w:color w:val="auto"/>
                <w:lang w:eastAsia="en-AU"/>
              </w:rPr>
            </w:pPr>
            <w:r w:rsidRPr="004E6EF0">
              <w:rPr>
                <w:rFonts w:cs="Arial"/>
                <w:color w:val="auto"/>
                <w:lang w:eastAsia="en-AU"/>
              </w:rPr>
              <w:t>139</w:t>
            </w:r>
          </w:p>
        </w:tc>
        <w:tc>
          <w:tcPr>
            <w:tcW w:w="7603" w:type="dxa"/>
            <w:hideMark/>
          </w:tcPr>
          <w:p w14:paraId="10047B1D" w14:textId="77777777" w:rsidR="00CB540F" w:rsidRPr="004E6EF0" w:rsidRDefault="00CB540F" w:rsidP="007D5029">
            <w:pPr>
              <w:spacing w:line="240" w:lineRule="auto"/>
              <w:rPr>
                <w:rFonts w:cs="Arial"/>
                <w:color w:val="auto"/>
                <w:lang w:eastAsia="en-AU"/>
              </w:rPr>
            </w:pPr>
            <w:r w:rsidRPr="004E6EF0">
              <w:rPr>
                <w:rFonts w:cs="Arial"/>
                <w:color w:val="auto"/>
                <w:lang w:eastAsia="en-AU"/>
              </w:rPr>
              <w:t>Marrickville Council</w:t>
            </w:r>
          </w:p>
        </w:tc>
      </w:tr>
      <w:tr w:rsidR="00CB540F" w:rsidRPr="004E6EF0" w14:paraId="755642BB" w14:textId="77777777" w:rsidTr="00A2598E">
        <w:trPr>
          <w:trHeight w:val="255"/>
          <w:tblHeader/>
        </w:trPr>
        <w:tc>
          <w:tcPr>
            <w:tcW w:w="1577" w:type="dxa"/>
            <w:noWrap/>
            <w:hideMark/>
          </w:tcPr>
          <w:p w14:paraId="1E070306" w14:textId="77777777" w:rsidR="00CB540F" w:rsidRPr="004E6EF0" w:rsidRDefault="00CB540F" w:rsidP="007D5029">
            <w:pPr>
              <w:spacing w:line="240" w:lineRule="auto"/>
              <w:rPr>
                <w:rFonts w:cs="Arial"/>
                <w:color w:val="auto"/>
                <w:lang w:eastAsia="en-AU"/>
              </w:rPr>
            </w:pPr>
            <w:r w:rsidRPr="004E6EF0">
              <w:rPr>
                <w:rFonts w:cs="Arial"/>
                <w:color w:val="auto"/>
                <w:lang w:eastAsia="en-AU"/>
              </w:rPr>
              <w:lastRenderedPageBreak/>
              <w:t>140</w:t>
            </w:r>
          </w:p>
        </w:tc>
        <w:tc>
          <w:tcPr>
            <w:tcW w:w="7603" w:type="dxa"/>
            <w:hideMark/>
          </w:tcPr>
          <w:p w14:paraId="0E0BCA22" w14:textId="77777777" w:rsidR="00CB540F" w:rsidRPr="004E6EF0" w:rsidRDefault="00CB540F" w:rsidP="007D5029">
            <w:pPr>
              <w:spacing w:line="240" w:lineRule="auto"/>
              <w:rPr>
                <w:rFonts w:cs="Arial"/>
                <w:color w:val="auto"/>
                <w:lang w:eastAsia="en-AU"/>
              </w:rPr>
            </w:pPr>
            <w:r w:rsidRPr="004E6EF0">
              <w:rPr>
                <w:rFonts w:cs="Arial"/>
                <w:color w:val="auto"/>
                <w:lang w:eastAsia="en-AU"/>
              </w:rPr>
              <w:t>CRC for High Integrity Australian Pork</w:t>
            </w:r>
          </w:p>
        </w:tc>
      </w:tr>
      <w:tr w:rsidR="00CB540F" w:rsidRPr="004E6EF0" w14:paraId="4294092F" w14:textId="77777777" w:rsidTr="00A2598E">
        <w:trPr>
          <w:trHeight w:val="255"/>
          <w:tblHeader/>
        </w:trPr>
        <w:tc>
          <w:tcPr>
            <w:tcW w:w="1577" w:type="dxa"/>
            <w:noWrap/>
            <w:hideMark/>
          </w:tcPr>
          <w:p w14:paraId="094AEB9C" w14:textId="77777777" w:rsidR="00CB540F" w:rsidRPr="004E6EF0" w:rsidRDefault="00CB540F" w:rsidP="007D5029">
            <w:pPr>
              <w:spacing w:line="240" w:lineRule="auto"/>
              <w:rPr>
                <w:rFonts w:cs="Arial"/>
                <w:color w:val="auto"/>
                <w:lang w:eastAsia="en-AU"/>
              </w:rPr>
            </w:pPr>
            <w:r w:rsidRPr="004E6EF0">
              <w:rPr>
                <w:rFonts w:cs="Arial"/>
                <w:color w:val="auto"/>
                <w:lang w:eastAsia="en-AU"/>
              </w:rPr>
              <w:t>141</w:t>
            </w:r>
          </w:p>
        </w:tc>
        <w:tc>
          <w:tcPr>
            <w:tcW w:w="7603" w:type="dxa"/>
            <w:hideMark/>
          </w:tcPr>
          <w:p w14:paraId="1A3D73E6"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Australian Academy of the Humanities</w:t>
            </w:r>
          </w:p>
        </w:tc>
      </w:tr>
      <w:tr w:rsidR="00CB540F" w:rsidRPr="004E6EF0" w14:paraId="0FDC046A" w14:textId="77777777" w:rsidTr="00A2598E">
        <w:trPr>
          <w:trHeight w:val="255"/>
          <w:tblHeader/>
        </w:trPr>
        <w:tc>
          <w:tcPr>
            <w:tcW w:w="1577" w:type="dxa"/>
            <w:noWrap/>
            <w:hideMark/>
          </w:tcPr>
          <w:p w14:paraId="4431269E" w14:textId="77777777" w:rsidR="00CB540F" w:rsidRPr="004E6EF0" w:rsidRDefault="00CB540F" w:rsidP="007D5029">
            <w:pPr>
              <w:spacing w:line="240" w:lineRule="auto"/>
              <w:rPr>
                <w:rFonts w:cs="Arial"/>
                <w:color w:val="auto"/>
                <w:lang w:eastAsia="en-AU"/>
              </w:rPr>
            </w:pPr>
            <w:r w:rsidRPr="004E6EF0">
              <w:rPr>
                <w:rFonts w:cs="Arial"/>
                <w:color w:val="auto"/>
                <w:lang w:eastAsia="en-AU"/>
              </w:rPr>
              <w:t>142</w:t>
            </w:r>
          </w:p>
        </w:tc>
        <w:tc>
          <w:tcPr>
            <w:tcW w:w="7603" w:type="dxa"/>
            <w:hideMark/>
          </w:tcPr>
          <w:p w14:paraId="2CA34D5F" w14:textId="77777777" w:rsidR="00CB540F" w:rsidRPr="004E6EF0" w:rsidRDefault="00CB540F" w:rsidP="007D5029">
            <w:pPr>
              <w:spacing w:line="240" w:lineRule="auto"/>
              <w:rPr>
                <w:rFonts w:cs="Arial"/>
                <w:color w:val="auto"/>
                <w:lang w:eastAsia="en-AU"/>
              </w:rPr>
            </w:pPr>
            <w:r w:rsidRPr="004E6EF0">
              <w:rPr>
                <w:rFonts w:cs="Arial"/>
                <w:color w:val="auto"/>
                <w:lang w:eastAsia="en-AU"/>
              </w:rPr>
              <w:t>City of Port Phillip</w:t>
            </w:r>
          </w:p>
        </w:tc>
      </w:tr>
      <w:tr w:rsidR="00CB540F" w:rsidRPr="004E6EF0" w14:paraId="0F201AC2" w14:textId="77777777" w:rsidTr="00A2598E">
        <w:trPr>
          <w:trHeight w:val="255"/>
          <w:tblHeader/>
        </w:trPr>
        <w:tc>
          <w:tcPr>
            <w:tcW w:w="1577" w:type="dxa"/>
            <w:noWrap/>
            <w:hideMark/>
          </w:tcPr>
          <w:p w14:paraId="06A21441" w14:textId="77777777" w:rsidR="00CB540F" w:rsidRPr="004E6EF0" w:rsidRDefault="00CB540F" w:rsidP="007D5029">
            <w:pPr>
              <w:spacing w:line="240" w:lineRule="auto"/>
              <w:rPr>
                <w:rFonts w:cs="Arial"/>
                <w:color w:val="auto"/>
                <w:lang w:eastAsia="en-AU"/>
              </w:rPr>
            </w:pPr>
            <w:r w:rsidRPr="004E6EF0">
              <w:rPr>
                <w:rFonts w:cs="Arial"/>
                <w:color w:val="auto"/>
                <w:lang w:eastAsia="en-AU"/>
              </w:rPr>
              <w:t>143</w:t>
            </w:r>
          </w:p>
        </w:tc>
        <w:tc>
          <w:tcPr>
            <w:tcW w:w="7603" w:type="dxa"/>
            <w:hideMark/>
          </w:tcPr>
          <w:p w14:paraId="12EFA881"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Murdoch </w:t>
            </w:r>
            <w:proofErr w:type="spellStart"/>
            <w:r w:rsidRPr="004E6EF0">
              <w:rPr>
                <w:rFonts w:cs="Arial"/>
                <w:color w:val="auto"/>
                <w:lang w:eastAsia="en-AU"/>
              </w:rPr>
              <w:t>Childrens</w:t>
            </w:r>
            <w:proofErr w:type="spellEnd"/>
            <w:r w:rsidRPr="004E6EF0">
              <w:rPr>
                <w:rFonts w:cs="Arial"/>
                <w:color w:val="auto"/>
                <w:lang w:eastAsia="en-AU"/>
              </w:rPr>
              <w:t xml:space="preserve"> Research Institute</w:t>
            </w:r>
          </w:p>
        </w:tc>
      </w:tr>
      <w:tr w:rsidR="00CB540F" w:rsidRPr="004E6EF0" w14:paraId="04B6117D" w14:textId="77777777" w:rsidTr="00A2598E">
        <w:trPr>
          <w:trHeight w:val="255"/>
          <w:tblHeader/>
        </w:trPr>
        <w:tc>
          <w:tcPr>
            <w:tcW w:w="1577" w:type="dxa"/>
            <w:noWrap/>
            <w:hideMark/>
          </w:tcPr>
          <w:p w14:paraId="5DAF394D" w14:textId="77777777" w:rsidR="00CB540F" w:rsidRPr="004E6EF0" w:rsidRDefault="00CB540F" w:rsidP="007D5029">
            <w:pPr>
              <w:spacing w:line="240" w:lineRule="auto"/>
              <w:rPr>
                <w:rFonts w:cs="Arial"/>
                <w:color w:val="auto"/>
                <w:lang w:eastAsia="en-AU"/>
              </w:rPr>
            </w:pPr>
            <w:r w:rsidRPr="004E6EF0">
              <w:rPr>
                <w:rFonts w:cs="Arial"/>
                <w:color w:val="auto"/>
                <w:lang w:eastAsia="en-AU"/>
              </w:rPr>
              <w:t>144</w:t>
            </w:r>
          </w:p>
        </w:tc>
        <w:tc>
          <w:tcPr>
            <w:tcW w:w="7603" w:type="dxa"/>
            <w:hideMark/>
          </w:tcPr>
          <w:p w14:paraId="26361AFD" w14:textId="77777777" w:rsidR="00CB540F" w:rsidRPr="004E6EF0" w:rsidRDefault="00CB540F" w:rsidP="007D5029">
            <w:pPr>
              <w:spacing w:line="240" w:lineRule="auto"/>
              <w:rPr>
                <w:rFonts w:cs="Arial"/>
                <w:color w:val="auto"/>
                <w:lang w:eastAsia="en-AU"/>
              </w:rPr>
            </w:pPr>
            <w:r w:rsidRPr="004E6EF0">
              <w:rPr>
                <w:rFonts w:cs="Arial"/>
                <w:color w:val="auto"/>
                <w:lang w:eastAsia="en-AU"/>
              </w:rPr>
              <w:t>The University of Queensland</w:t>
            </w:r>
          </w:p>
        </w:tc>
      </w:tr>
      <w:tr w:rsidR="00CB540F" w:rsidRPr="004E6EF0" w14:paraId="58B2A636" w14:textId="77777777" w:rsidTr="00A2598E">
        <w:trPr>
          <w:trHeight w:val="255"/>
          <w:tblHeader/>
        </w:trPr>
        <w:tc>
          <w:tcPr>
            <w:tcW w:w="1577" w:type="dxa"/>
            <w:noWrap/>
            <w:hideMark/>
          </w:tcPr>
          <w:p w14:paraId="57C99704" w14:textId="77777777" w:rsidR="00CB540F" w:rsidRPr="004E6EF0" w:rsidRDefault="00CB540F" w:rsidP="007D5029">
            <w:pPr>
              <w:spacing w:line="240" w:lineRule="auto"/>
              <w:rPr>
                <w:rFonts w:cs="Arial"/>
                <w:color w:val="auto"/>
                <w:lang w:eastAsia="en-AU"/>
              </w:rPr>
            </w:pPr>
            <w:r w:rsidRPr="004E6EF0">
              <w:rPr>
                <w:rFonts w:cs="Arial"/>
                <w:color w:val="auto"/>
                <w:lang w:eastAsia="en-AU"/>
              </w:rPr>
              <w:t>145</w:t>
            </w:r>
          </w:p>
        </w:tc>
        <w:tc>
          <w:tcPr>
            <w:tcW w:w="7603" w:type="dxa"/>
            <w:hideMark/>
          </w:tcPr>
          <w:p w14:paraId="6BB34D8A" w14:textId="77777777" w:rsidR="00CB540F" w:rsidRPr="004E6EF0" w:rsidRDefault="00CB540F" w:rsidP="007D5029">
            <w:pPr>
              <w:spacing w:line="240" w:lineRule="auto"/>
              <w:rPr>
                <w:rFonts w:cs="Arial"/>
                <w:color w:val="auto"/>
                <w:lang w:eastAsia="en-AU"/>
              </w:rPr>
            </w:pPr>
            <w:r w:rsidRPr="004E6EF0">
              <w:rPr>
                <w:rFonts w:cs="Arial"/>
                <w:color w:val="auto"/>
                <w:lang w:eastAsia="en-AU"/>
              </w:rPr>
              <w:t>E2Designlab</w:t>
            </w:r>
          </w:p>
        </w:tc>
      </w:tr>
      <w:tr w:rsidR="00CB540F" w:rsidRPr="004E6EF0" w14:paraId="66CEFD3C" w14:textId="77777777" w:rsidTr="00A2598E">
        <w:trPr>
          <w:trHeight w:val="255"/>
          <w:tblHeader/>
        </w:trPr>
        <w:tc>
          <w:tcPr>
            <w:tcW w:w="1577" w:type="dxa"/>
            <w:noWrap/>
            <w:hideMark/>
          </w:tcPr>
          <w:p w14:paraId="589F41DA" w14:textId="77777777" w:rsidR="00CB540F" w:rsidRPr="004E6EF0" w:rsidRDefault="00CB540F" w:rsidP="007D5029">
            <w:pPr>
              <w:spacing w:line="240" w:lineRule="auto"/>
              <w:rPr>
                <w:rFonts w:cs="Arial"/>
                <w:color w:val="auto"/>
                <w:lang w:eastAsia="en-AU"/>
              </w:rPr>
            </w:pPr>
            <w:r w:rsidRPr="004E6EF0">
              <w:rPr>
                <w:rFonts w:cs="Arial"/>
                <w:color w:val="auto"/>
                <w:lang w:eastAsia="en-AU"/>
              </w:rPr>
              <w:t>146</w:t>
            </w:r>
          </w:p>
        </w:tc>
        <w:tc>
          <w:tcPr>
            <w:tcW w:w="7603" w:type="dxa"/>
            <w:hideMark/>
          </w:tcPr>
          <w:p w14:paraId="70AE3909" w14:textId="77777777" w:rsidR="00CB540F" w:rsidRPr="004E6EF0" w:rsidRDefault="00CB540F" w:rsidP="007D5029">
            <w:pPr>
              <w:spacing w:line="240" w:lineRule="auto"/>
              <w:rPr>
                <w:rFonts w:cs="Arial"/>
                <w:color w:val="auto"/>
                <w:lang w:eastAsia="en-AU"/>
              </w:rPr>
            </w:pPr>
            <w:r w:rsidRPr="004E6EF0">
              <w:rPr>
                <w:rFonts w:cs="Arial"/>
                <w:color w:val="auto"/>
                <w:lang w:eastAsia="en-AU"/>
              </w:rPr>
              <w:t>Walter and Eliza Hall Institute</w:t>
            </w:r>
          </w:p>
        </w:tc>
      </w:tr>
      <w:tr w:rsidR="00CB540F" w:rsidRPr="004E6EF0" w14:paraId="2CF86738" w14:textId="77777777" w:rsidTr="00A2598E">
        <w:trPr>
          <w:trHeight w:val="255"/>
          <w:tblHeader/>
        </w:trPr>
        <w:tc>
          <w:tcPr>
            <w:tcW w:w="1577" w:type="dxa"/>
            <w:noWrap/>
            <w:hideMark/>
          </w:tcPr>
          <w:p w14:paraId="2DD5E773" w14:textId="77777777" w:rsidR="00CB540F" w:rsidRPr="004E6EF0" w:rsidRDefault="00CB540F" w:rsidP="007D5029">
            <w:pPr>
              <w:spacing w:line="240" w:lineRule="auto"/>
              <w:rPr>
                <w:rFonts w:cs="Arial"/>
                <w:color w:val="auto"/>
                <w:lang w:eastAsia="en-AU"/>
              </w:rPr>
            </w:pPr>
            <w:r w:rsidRPr="004E6EF0">
              <w:rPr>
                <w:rFonts w:cs="Arial"/>
                <w:color w:val="auto"/>
                <w:lang w:eastAsia="en-AU"/>
              </w:rPr>
              <w:t>147</w:t>
            </w:r>
          </w:p>
        </w:tc>
        <w:tc>
          <w:tcPr>
            <w:tcW w:w="7603" w:type="dxa"/>
            <w:hideMark/>
          </w:tcPr>
          <w:p w14:paraId="021CFBE6" w14:textId="77777777" w:rsidR="00CB540F" w:rsidRPr="004E6EF0" w:rsidRDefault="00CB540F" w:rsidP="007D5029">
            <w:pPr>
              <w:spacing w:line="240" w:lineRule="auto"/>
              <w:rPr>
                <w:rFonts w:cs="Arial"/>
                <w:color w:val="auto"/>
                <w:lang w:eastAsia="en-AU"/>
              </w:rPr>
            </w:pPr>
            <w:r w:rsidRPr="004E6EF0">
              <w:rPr>
                <w:rFonts w:cs="Arial"/>
                <w:color w:val="auto"/>
                <w:lang w:eastAsia="en-AU"/>
              </w:rPr>
              <w:t>AMIRA International</w:t>
            </w:r>
          </w:p>
        </w:tc>
      </w:tr>
      <w:tr w:rsidR="00CB540F" w:rsidRPr="004E6EF0" w14:paraId="19DED9BE" w14:textId="77777777" w:rsidTr="00A2598E">
        <w:trPr>
          <w:trHeight w:val="255"/>
          <w:tblHeader/>
        </w:trPr>
        <w:tc>
          <w:tcPr>
            <w:tcW w:w="1577" w:type="dxa"/>
            <w:noWrap/>
            <w:hideMark/>
          </w:tcPr>
          <w:p w14:paraId="509C9FD2" w14:textId="77777777" w:rsidR="00CB540F" w:rsidRPr="004E6EF0" w:rsidRDefault="00CB540F" w:rsidP="007D5029">
            <w:pPr>
              <w:spacing w:line="240" w:lineRule="auto"/>
              <w:rPr>
                <w:rFonts w:cs="Arial"/>
                <w:color w:val="auto"/>
                <w:lang w:eastAsia="en-AU"/>
              </w:rPr>
            </w:pPr>
            <w:r w:rsidRPr="004E6EF0">
              <w:rPr>
                <w:rFonts w:cs="Arial"/>
                <w:color w:val="auto"/>
                <w:lang w:eastAsia="en-AU"/>
              </w:rPr>
              <w:t>148</w:t>
            </w:r>
          </w:p>
        </w:tc>
        <w:tc>
          <w:tcPr>
            <w:tcW w:w="7603" w:type="dxa"/>
            <w:hideMark/>
          </w:tcPr>
          <w:p w14:paraId="23AC08EB" w14:textId="77777777" w:rsidR="00CB540F" w:rsidRPr="004E6EF0" w:rsidRDefault="00CB540F" w:rsidP="007D5029">
            <w:pPr>
              <w:spacing w:line="240" w:lineRule="auto"/>
              <w:rPr>
                <w:rFonts w:cs="Arial"/>
                <w:color w:val="auto"/>
                <w:lang w:eastAsia="en-AU"/>
              </w:rPr>
            </w:pPr>
            <w:r w:rsidRPr="004E6EF0">
              <w:rPr>
                <w:rFonts w:cs="Arial"/>
                <w:color w:val="auto"/>
                <w:lang w:eastAsia="en-AU"/>
              </w:rPr>
              <w:t>Edith Cowan University</w:t>
            </w:r>
          </w:p>
        </w:tc>
      </w:tr>
      <w:tr w:rsidR="00CB540F" w:rsidRPr="004E6EF0" w14:paraId="1088B47F" w14:textId="77777777" w:rsidTr="00A2598E">
        <w:trPr>
          <w:trHeight w:val="255"/>
          <w:tblHeader/>
        </w:trPr>
        <w:tc>
          <w:tcPr>
            <w:tcW w:w="1577" w:type="dxa"/>
            <w:noWrap/>
            <w:hideMark/>
          </w:tcPr>
          <w:p w14:paraId="1554149C" w14:textId="77777777" w:rsidR="00CB540F" w:rsidRPr="004E6EF0" w:rsidRDefault="00CB540F" w:rsidP="007D5029">
            <w:pPr>
              <w:spacing w:line="240" w:lineRule="auto"/>
              <w:rPr>
                <w:rFonts w:cs="Arial"/>
                <w:color w:val="auto"/>
                <w:lang w:eastAsia="en-AU"/>
              </w:rPr>
            </w:pPr>
            <w:r w:rsidRPr="004E6EF0">
              <w:rPr>
                <w:rFonts w:cs="Arial"/>
                <w:color w:val="auto"/>
                <w:lang w:eastAsia="en-AU"/>
              </w:rPr>
              <w:t>149</w:t>
            </w:r>
          </w:p>
        </w:tc>
        <w:tc>
          <w:tcPr>
            <w:tcW w:w="7603" w:type="dxa"/>
            <w:hideMark/>
          </w:tcPr>
          <w:p w14:paraId="55A75C31" w14:textId="77777777" w:rsidR="00CB540F" w:rsidRPr="004E6EF0" w:rsidRDefault="00CB540F" w:rsidP="007D5029">
            <w:pPr>
              <w:spacing w:line="240" w:lineRule="auto"/>
              <w:rPr>
                <w:rFonts w:cs="Arial"/>
                <w:color w:val="auto"/>
                <w:lang w:eastAsia="en-AU"/>
              </w:rPr>
            </w:pPr>
            <w:r w:rsidRPr="004E6EF0">
              <w:rPr>
                <w:rFonts w:cs="Arial"/>
                <w:color w:val="auto"/>
                <w:lang w:eastAsia="en-AU"/>
              </w:rPr>
              <w:t>Griffith University</w:t>
            </w:r>
          </w:p>
        </w:tc>
      </w:tr>
      <w:tr w:rsidR="00CB540F" w:rsidRPr="004E6EF0" w14:paraId="7017FDA5" w14:textId="77777777" w:rsidTr="00A2598E">
        <w:trPr>
          <w:trHeight w:val="255"/>
          <w:tblHeader/>
        </w:trPr>
        <w:tc>
          <w:tcPr>
            <w:tcW w:w="1577" w:type="dxa"/>
            <w:noWrap/>
            <w:hideMark/>
          </w:tcPr>
          <w:p w14:paraId="678126CE" w14:textId="77777777" w:rsidR="00CB540F" w:rsidRPr="004E6EF0" w:rsidRDefault="00CB540F" w:rsidP="007D5029">
            <w:pPr>
              <w:spacing w:line="240" w:lineRule="auto"/>
              <w:rPr>
                <w:rFonts w:cs="Arial"/>
                <w:color w:val="auto"/>
                <w:lang w:eastAsia="en-AU"/>
              </w:rPr>
            </w:pPr>
            <w:r w:rsidRPr="004E6EF0">
              <w:rPr>
                <w:rFonts w:cs="Arial"/>
                <w:color w:val="auto"/>
                <w:lang w:eastAsia="en-AU"/>
              </w:rPr>
              <w:t>150</w:t>
            </w:r>
          </w:p>
        </w:tc>
        <w:tc>
          <w:tcPr>
            <w:tcW w:w="7603" w:type="dxa"/>
            <w:hideMark/>
          </w:tcPr>
          <w:p w14:paraId="60BA8F4A"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Australian Academy of Science</w:t>
            </w:r>
          </w:p>
        </w:tc>
      </w:tr>
      <w:tr w:rsidR="00CB540F" w:rsidRPr="004E6EF0" w14:paraId="032C9C60" w14:textId="77777777" w:rsidTr="00A2598E">
        <w:trPr>
          <w:trHeight w:val="255"/>
          <w:tblHeader/>
        </w:trPr>
        <w:tc>
          <w:tcPr>
            <w:tcW w:w="1577" w:type="dxa"/>
            <w:noWrap/>
            <w:hideMark/>
          </w:tcPr>
          <w:p w14:paraId="636A9521" w14:textId="77777777" w:rsidR="00CB540F" w:rsidRPr="004E6EF0" w:rsidRDefault="00CB540F" w:rsidP="007D5029">
            <w:pPr>
              <w:spacing w:line="240" w:lineRule="auto"/>
              <w:rPr>
                <w:rFonts w:cs="Arial"/>
                <w:color w:val="auto"/>
                <w:lang w:eastAsia="en-AU"/>
              </w:rPr>
            </w:pPr>
            <w:r w:rsidRPr="004E6EF0">
              <w:rPr>
                <w:rFonts w:cs="Arial"/>
                <w:color w:val="auto"/>
                <w:lang w:eastAsia="en-AU"/>
              </w:rPr>
              <w:t>151</w:t>
            </w:r>
          </w:p>
        </w:tc>
        <w:tc>
          <w:tcPr>
            <w:tcW w:w="7603" w:type="dxa"/>
            <w:hideMark/>
          </w:tcPr>
          <w:p w14:paraId="0AE80C4D"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Lowitja</w:t>
            </w:r>
            <w:proofErr w:type="spellEnd"/>
            <w:r w:rsidRPr="004E6EF0">
              <w:rPr>
                <w:rFonts w:cs="Arial"/>
                <w:color w:val="auto"/>
                <w:lang w:eastAsia="en-AU"/>
              </w:rPr>
              <w:t xml:space="preserve"> Institute CRC</w:t>
            </w:r>
          </w:p>
        </w:tc>
      </w:tr>
      <w:tr w:rsidR="00CB540F" w:rsidRPr="004E6EF0" w14:paraId="1C5761C2" w14:textId="77777777" w:rsidTr="00A2598E">
        <w:trPr>
          <w:trHeight w:val="255"/>
          <w:tblHeader/>
        </w:trPr>
        <w:tc>
          <w:tcPr>
            <w:tcW w:w="1577" w:type="dxa"/>
            <w:noWrap/>
            <w:hideMark/>
          </w:tcPr>
          <w:p w14:paraId="6177BD67" w14:textId="77777777" w:rsidR="00CB540F" w:rsidRPr="004E6EF0" w:rsidRDefault="00CB540F" w:rsidP="007D5029">
            <w:pPr>
              <w:spacing w:line="240" w:lineRule="auto"/>
              <w:rPr>
                <w:rFonts w:cs="Arial"/>
                <w:color w:val="auto"/>
                <w:lang w:eastAsia="en-AU"/>
              </w:rPr>
            </w:pPr>
            <w:r w:rsidRPr="004E6EF0">
              <w:rPr>
                <w:rFonts w:cs="Arial"/>
                <w:color w:val="auto"/>
                <w:lang w:eastAsia="en-AU"/>
              </w:rPr>
              <w:t>152</w:t>
            </w:r>
          </w:p>
        </w:tc>
        <w:tc>
          <w:tcPr>
            <w:tcW w:w="7603" w:type="dxa"/>
            <w:hideMark/>
          </w:tcPr>
          <w:p w14:paraId="49AA10E8" w14:textId="77777777" w:rsidR="00CB540F" w:rsidRPr="004E6EF0" w:rsidRDefault="00CB540F" w:rsidP="007D5029">
            <w:pPr>
              <w:spacing w:line="240" w:lineRule="auto"/>
              <w:rPr>
                <w:rFonts w:cs="Arial"/>
                <w:color w:val="auto"/>
                <w:lang w:eastAsia="en-AU"/>
              </w:rPr>
            </w:pPr>
            <w:r w:rsidRPr="004E6EF0">
              <w:rPr>
                <w:rFonts w:cs="Arial"/>
                <w:color w:val="auto"/>
                <w:lang w:eastAsia="en-AU"/>
              </w:rPr>
              <w:t>43pl Company Submissions</w:t>
            </w:r>
          </w:p>
        </w:tc>
      </w:tr>
      <w:tr w:rsidR="00CB540F" w:rsidRPr="004E6EF0" w14:paraId="4947E8C0" w14:textId="77777777" w:rsidTr="00A2598E">
        <w:trPr>
          <w:trHeight w:val="255"/>
          <w:tblHeader/>
        </w:trPr>
        <w:tc>
          <w:tcPr>
            <w:tcW w:w="1577" w:type="dxa"/>
            <w:noWrap/>
            <w:hideMark/>
          </w:tcPr>
          <w:p w14:paraId="5F4E2245" w14:textId="77777777" w:rsidR="00CB540F" w:rsidRPr="004E6EF0" w:rsidRDefault="00CB540F" w:rsidP="007D5029">
            <w:pPr>
              <w:spacing w:line="240" w:lineRule="auto"/>
              <w:rPr>
                <w:rFonts w:cs="Arial"/>
                <w:color w:val="auto"/>
                <w:lang w:eastAsia="en-AU"/>
              </w:rPr>
            </w:pPr>
            <w:r w:rsidRPr="004E6EF0">
              <w:rPr>
                <w:rFonts w:cs="Arial"/>
                <w:color w:val="auto"/>
                <w:lang w:eastAsia="en-AU"/>
              </w:rPr>
              <w:t>153</w:t>
            </w:r>
          </w:p>
        </w:tc>
        <w:tc>
          <w:tcPr>
            <w:tcW w:w="7603" w:type="dxa"/>
            <w:hideMark/>
          </w:tcPr>
          <w:p w14:paraId="5385A641" w14:textId="77777777" w:rsidR="00CB540F" w:rsidRPr="004E6EF0" w:rsidRDefault="00CB540F" w:rsidP="007D5029">
            <w:pPr>
              <w:spacing w:line="240" w:lineRule="auto"/>
              <w:rPr>
                <w:rFonts w:cs="Arial"/>
                <w:color w:val="auto"/>
                <w:lang w:eastAsia="en-AU"/>
              </w:rPr>
            </w:pPr>
            <w:r w:rsidRPr="004E6EF0">
              <w:rPr>
                <w:rFonts w:cs="Arial"/>
                <w:color w:val="auto"/>
                <w:lang w:eastAsia="en-AU"/>
              </w:rPr>
              <w:t>Ergon Energy</w:t>
            </w:r>
          </w:p>
        </w:tc>
      </w:tr>
      <w:tr w:rsidR="00CB540F" w:rsidRPr="004E6EF0" w14:paraId="0F911FCA" w14:textId="77777777" w:rsidTr="00A2598E">
        <w:trPr>
          <w:trHeight w:val="255"/>
          <w:tblHeader/>
        </w:trPr>
        <w:tc>
          <w:tcPr>
            <w:tcW w:w="1577" w:type="dxa"/>
            <w:noWrap/>
            <w:hideMark/>
          </w:tcPr>
          <w:p w14:paraId="66B8DF1F" w14:textId="77777777" w:rsidR="00CB540F" w:rsidRPr="004E6EF0" w:rsidRDefault="00CB540F" w:rsidP="007D5029">
            <w:pPr>
              <w:spacing w:line="240" w:lineRule="auto"/>
              <w:rPr>
                <w:rFonts w:cs="Arial"/>
                <w:color w:val="auto"/>
                <w:lang w:eastAsia="en-AU"/>
              </w:rPr>
            </w:pPr>
            <w:r w:rsidRPr="004E6EF0">
              <w:rPr>
                <w:rFonts w:cs="Arial"/>
                <w:color w:val="auto"/>
                <w:lang w:eastAsia="en-AU"/>
              </w:rPr>
              <w:t>154</w:t>
            </w:r>
          </w:p>
        </w:tc>
        <w:tc>
          <w:tcPr>
            <w:tcW w:w="7603" w:type="dxa"/>
            <w:hideMark/>
          </w:tcPr>
          <w:p w14:paraId="5D548C24" w14:textId="77777777" w:rsidR="00CB540F" w:rsidRPr="004E6EF0" w:rsidRDefault="00CB540F" w:rsidP="007D5029">
            <w:pPr>
              <w:spacing w:line="240" w:lineRule="auto"/>
              <w:rPr>
                <w:rFonts w:cs="Arial"/>
                <w:color w:val="auto"/>
                <w:lang w:eastAsia="en-AU"/>
              </w:rPr>
            </w:pPr>
            <w:r w:rsidRPr="004E6EF0">
              <w:rPr>
                <w:rFonts w:cs="Arial"/>
                <w:color w:val="auto"/>
                <w:lang w:eastAsia="en-AU"/>
              </w:rPr>
              <w:t>CRC for Cancer Therapeutics</w:t>
            </w:r>
          </w:p>
        </w:tc>
      </w:tr>
      <w:tr w:rsidR="00CB540F" w:rsidRPr="004E6EF0" w14:paraId="0B1BB760" w14:textId="77777777" w:rsidTr="00A2598E">
        <w:trPr>
          <w:trHeight w:val="255"/>
          <w:tblHeader/>
        </w:trPr>
        <w:tc>
          <w:tcPr>
            <w:tcW w:w="1577" w:type="dxa"/>
            <w:noWrap/>
            <w:hideMark/>
          </w:tcPr>
          <w:p w14:paraId="4D7D52A3" w14:textId="77777777" w:rsidR="00CB540F" w:rsidRPr="004E6EF0" w:rsidRDefault="00CB540F" w:rsidP="007D5029">
            <w:pPr>
              <w:spacing w:line="240" w:lineRule="auto"/>
              <w:rPr>
                <w:rFonts w:cs="Arial"/>
                <w:color w:val="auto"/>
                <w:lang w:eastAsia="en-AU"/>
              </w:rPr>
            </w:pPr>
            <w:r w:rsidRPr="004E6EF0">
              <w:rPr>
                <w:rFonts w:cs="Arial"/>
                <w:color w:val="auto"/>
                <w:lang w:eastAsia="en-AU"/>
              </w:rPr>
              <w:t>155</w:t>
            </w:r>
          </w:p>
        </w:tc>
        <w:tc>
          <w:tcPr>
            <w:tcW w:w="7603" w:type="dxa"/>
            <w:hideMark/>
          </w:tcPr>
          <w:p w14:paraId="5BD81147" w14:textId="77777777" w:rsidR="00CB540F" w:rsidRPr="004E6EF0" w:rsidRDefault="00CB540F" w:rsidP="007D5029">
            <w:pPr>
              <w:spacing w:line="240" w:lineRule="auto"/>
              <w:rPr>
                <w:rFonts w:cs="Arial"/>
                <w:color w:val="auto"/>
                <w:lang w:eastAsia="en-AU"/>
              </w:rPr>
            </w:pPr>
            <w:r w:rsidRPr="004E6EF0">
              <w:rPr>
                <w:rFonts w:cs="Arial"/>
                <w:color w:val="auto"/>
                <w:lang w:eastAsia="en-AU"/>
              </w:rPr>
              <w:t>Department of Parks and Wildlife (WA)</w:t>
            </w:r>
          </w:p>
        </w:tc>
      </w:tr>
      <w:tr w:rsidR="00CB540F" w:rsidRPr="004E6EF0" w14:paraId="1739633D" w14:textId="77777777" w:rsidTr="00A2598E">
        <w:trPr>
          <w:trHeight w:val="255"/>
          <w:tblHeader/>
        </w:trPr>
        <w:tc>
          <w:tcPr>
            <w:tcW w:w="1577" w:type="dxa"/>
            <w:noWrap/>
            <w:hideMark/>
          </w:tcPr>
          <w:p w14:paraId="4156848A" w14:textId="77777777" w:rsidR="00CB540F" w:rsidRPr="004E6EF0" w:rsidRDefault="00CB540F" w:rsidP="007D5029">
            <w:pPr>
              <w:spacing w:line="240" w:lineRule="auto"/>
              <w:rPr>
                <w:rFonts w:cs="Arial"/>
                <w:color w:val="auto"/>
                <w:lang w:eastAsia="en-AU"/>
              </w:rPr>
            </w:pPr>
            <w:r w:rsidRPr="004E6EF0">
              <w:rPr>
                <w:rFonts w:cs="Arial"/>
                <w:color w:val="auto"/>
                <w:lang w:eastAsia="en-AU"/>
              </w:rPr>
              <w:t>156</w:t>
            </w:r>
          </w:p>
        </w:tc>
        <w:tc>
          <w:tcPr>
            <w:tcW w:w="7603" w:type="dxa"/>
            <w:hideMark/>
          </w:tcPr>
          <w:p w14:paraId="2F27717C" w14:textId="77777777" w:rsidR="00CB540F" w:rsidRPr="004E6EF0" w:rsidRDefault="00CB540F" w:rsidP="007D5029">
            <w:pPr>
              <w:spacing w:line="240" w:lineRule="auto"/>
              <w:rPr>
                <w:rFonts w:cs="Arial"/>
                <w:color w:val="auto"/>
                <w:lang w:eastAsia="en-AU"/>
              </w:rPr>
            </w:pPr>
            <w:r w:rsidRPr="004E6EF0">
              <w:rPr>
                <w:rFonts w:cs="Arial"/>
                <w:color w:val="auto"/>
                <w:lang w:eastAsia="en-AU"/>
              </w:rPr>
              <w:t>Oral Health CRC</w:t>
            </w:r>
          </w:p>
        </w:tc>
      </w:tr>
      <w:tr w:rsidR="00CB540F" w:rsidRPr="004E6EF0" w14:paraId="361BEC53" w14:textId="77777777" w:rsidTr="00A2598E">
        <w:trPr>
          <w:trHeight w:val="255"/>
          <w:tblHeader/>
        </w:trPr>
        <w:tc>
          <w:tcPr>
            <w:tcW w:w="1577" w:type="dxa"/>
            <w:noWrap/>
            <w:hideMark/>
          </w:tcPr>
          <w:p w14:paraId="0FA0CFB0" w14:textId="77777777" w:rsidR="00CB540F" w:rsidRPr="004E6EF0" w:rsidRDefault="00CB540F" w:rsidP="007D5029">
            <w:pPr>
              <w:spacing w:line="240" w:lineRule="auto"/>
              <w:rPr>
                <w:rFonts w:cs="Arial"/>
                <w:color w:val="auto"/>
                <w:lang w:eastAsia="en-AU"/>
              </w:rPr>
            </w:pPr>
            <w:r w:rsidRPr="004E6EF0">
              <w:rPr>
                <w:rFonts w:cs="Arial"/>
                <w:color w:val="auto"/>
                <w:lang w:eastAsia="en-AU"/>
              </w:rPr>
              <w:t>157</w:t>
            </w:r>
          </w:p>
        </w:tc>
        <w:tc>
          <w:tcPr>
            <w:tcW w:w="7603" w:type="dxa"/>
            <w:hideMark/>
          </w:tcPr>
          <w:p w14:paraId="274C5314"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Australian Technology Network of Universities</w:t>
            </w:r>
          </w:p>
        </w:tc>
      </w:tr>
      <w:tr w:rsidR="00CB540F" w:rsidRPr="004E6EF0" w14:paraId="385C9E99" w14:textId="77777777" w:rsidTr="00A2598E">
        <w:trPr>
          <w:trHeight w:val="255"/>
          <w:tblHeader/>
        </w:trPr>
        <w:tc>
          <w:tcPr>
            <w:tcW w:w="1577" w:type="dxa"/>
            <w:noWrap/>
            <w:hideMark/>
          </w:tcPr>
          <w:p w14:paraId="6845FF9F" w14:textId="77777777" w:rsidR="00CB540F" w:rsidRPr="004E6EF0" w:rsidRDefault="00CB540F" w:rsidP="007D5029">
            <w:pPr>
              <w:spacing w:line="240" w:lineRule="auto"/>
              <w:rPr>
                <w:rFonts w:cs="Arial"/>
                <w:color w:val="auto"/>
                <w:lang w:eastAsia="en-AU"/>
              </w:rPr>
            </w:pPr>
            <w:r w:rsidRPr="004E6EF0">
              <w:rPr>
                <w:rFonts w:cs="Arial"/>
                <w:color w:val="auto"/>
                <w:lang w:eastAsia="en-AU"/>
              </w:rPr>
              <w:t>158</w:t>
            </w:r>
          </w:p>
        </w:tc>
        <w:tc>
          <w:tcPr>
            <w:tcW w:w="7603" w:type="dxa"/>
            <w:hideMark/>
          </w:tcPr>
          <w:p w14:paraId="606C5DF0" w14:textId="77777777" w:rsidR="00CB540F" w:rsidRPr="004E6EF0" w:rsidRDefault="00CB540F" w:rsidP="007D5029">
            <w:pPr>
              <w:spacing w:line="240" w:lineRule="auto"/>
              <w:rPr>
                <w:rFonts w:cs="Arial"/>
                <w:color w:val="auto"/>
                <w:lang w:eastAsia="en-AU"/>
              </w:rPr>
            </w:pPr>
            <w:r w:rsidRPr="004E6EF0">
              <w:rPr>
                <w:rFonts w:cs="Arial"/>
                <w:color w:val="auto"/>
                <w:lang w:eastAsia="en-AU"/>
              </w:rPr>
              <w:t>Thales Australia Limited</w:t>
            </w:r>
          </w:p>
        </w:tc>
      </w:tr>
      <w:tr w:rsidR="00CB540F" w:rsidRPr="004E6EF0" w14:paraId="5945D21B" w14:textId="77777777" w:rsidTr="00A2598E">
        <w:trPr>
          <w:trHeight w:val="255"/>
          <w:tblHeader/>
        </w:trPr>
        <w:tc>
          <w:tcPr>
            <w:tcW w:w="1577" w:type="dxa"/>
            <w:noWrap/>
            <w:hideMark/>
          </w:tcPr>
          <w:p w14:paraId="543D2853" w14:textId="77777777" w:rsidR="00CB540F" w:rsidRPr="004E6EF0" w:rsidRDefault="00CB540F" w:rsidP="007D5029">
            <w:pPr>
              <w:spacing w:line="240" w:lineRule="auto"/>
              <w:rPr>
                <w:rFonts w:cs="Arial"/>
                <w:color w:val="auto"/>
                <w:lang w:eastAsia="en-AU"/>
              </w:rPr>
            </w:pPr>
            <w:r w:rsidRPr="004E6EF0">
              <w:rPr>
                <w:rFonts w:cs="Arial"/>
                <w:color w:val="auto"/>
                <w:lang w:eastAsia="en-AU"/>
              </w:rPr>
              <w:t>159</w:t>
            </w:r>
          </w:p>
        </w:tc>
        <w:tc>
          <w:tcPr>
            <w:tcW w:w="7603" w:type="dxa"/>
            <w:hideMark/>
          </w:tcPr>
          <w:p w14:paraId="4940E2B3" w14:textId="77777777" w:rsidR="00CB540F" w:rsidRPr="004E6EF0" w:rsidRDefault="00CB540F" w:rsidP="007D5029">
            <w:pPr>
              <w:spacing w:line="240" w:lineRule="auto"/>
              <w:rPr>
                <w:rFonts w:cs="Arial"/>
                <w:color w:val="auto"/>
                <w:lang w:eastAsia="en-AU"/>
              </w:rPr>
            </w:pPr>
            <w:r w:rsidRPr="004E6EF0">
              <w:rPr>
                <w:rFonts w:cs="Arial"/>
                <w:color w:val="auto"/>
                <w:lang w:eastAsia="en-AU"/>
              </w:rPr>
              <w:t>Department of Defence</w:t>
            </w:r>
          </w:p>
        </w:tc>
      </w:tr>
      <w:tr w:rsidR="00CB540F" w:rsidRPr="004E6EF0" w14:paraId="57988C5A" w14:textId="77777777" w:rsidTr="00A2598E">
        <w:trPr>
          <w:trHeight w:val="141"/>
          <w:tblHeader/>
        </w:trPr>
        <w:tc>
          <w:tcPr>
            <w:tcW w:w="1577" w:type="dxa"/>
            <w:noWrap/>
            <w:hideMark/>
          </w:tcPr>
          <w:p w14:paraId="669A30EB" w14:textId="77777777" w:rsidR="00CB540F" w:rsidRPr="004E6EF0" w:rsidRDefault="00CB540F" w:rsidP="007D5029">
            <w:pPr>
              <w:spacing w:line="240" w:lineRule="auto"/>
              <w:rPr>
                <w:rFonts w:cs="Arial"/>
                <w:color w:val="auto"/>
                <w:lang w:eastAsia="en-AU"/>
              </w:rPr>
            </w:pPr>
            <w:r w:rsidRPr="004E6EF0">
              <w:rPr>
                <w:rFonts w:cs="Arial"/>
                <w:color w:val="auto"/>
                <w:lang w:eastAsia="en-AU"/>
              </w:rPr>
              <w:t>160</w:t>
            </w:r>
          </w:p>
        </w:tc>
        <w:tc>
          <w:tcPr>
            <w:tcW w:w="7603" w:type="dxa"/>
            <w:hideMark/>
          </w:tcPr>
          <w:p w14:paraId="4453A2C7" w14:textId="77777777" w:rsidR="00CB540F" w:rsidRPr="004E6EF0" w:rsidRDefault="00CB540F" w:rsidP="007D5029">
            <w:pPr>
              <w:spacing w:line="240" w:lineRule="auto"/>
              <w:rPr>
                <w:rFonts w:cs="Arial"/>
                <w:color w:val="auto"/>
                <w:lang w:eastAsia="en-AU"/>
              </w:rPr>
            </w:pPr>
            <w:r w:rsidRPr="004E6EF0">
              <w:rPr>
                <w:rFonts w:cs="Arial"/>
                <w:color w:val="auto"/>
                <w:lang w:eastAsia="en-AU"/>
              </w:rPr>
              <w:t>Department of Environment, Water and Natural Resources, Fire Management Unit (SA)</w:t>
            </w:r>
          </w:p>
        </w:tc>
      </w:tr>
      <w:tr w:rsidR="00CB540F" w:rsidRPr="004E6EF0" w14:paraId="6CB66B17" w14:textId="77777777" w:rsidTr="00A2598E">
        <w:trPr>
          <w:trHeight w:val="255"/>
          <w:tblHeader/>
        </w:trPr>
        <w:tc>
          <w:tcPr>
            <w:tcW w:w="1577" w:type="dxa"/>
            <w:noWrap/>
            <w:hideMark/>
          </w:tcPr>
          <w:p w14:paraId="124D2D4B" w14:textId="77777777" w:rsidR="00CB540F" w:rsidRPr="004E6EF0" w:rsidRDefault="00CB540F" w:rsidP="007D5029">
            <w:pPr>
              <w:spacing w:line="240" w:lineRule="auto"/>
              <w:rPr>
                <w:rFonts w:cs="Arial"/>
                <w:color w:val="auto"/>
                <w:lang w:eastAsia="en-AU"/>
              </w:rPr>
            </w:pPr>
            <w:r w:rsidRPr="004E6EF0">
              <w:rPr>
                <w:rFonts w:cs="Arial"/>
                <w:color w:val="auto"/>
                <w:lang w:eastAsia="en-AU"/>
              </w:rPr>
              <w:t>161</w:t>
            </w:r>
          </w:p>
        </w:tc>
        <w:tc>
          <w:tcPr>
            <w:tcW w:w="7603" w:type="dxa"/>
            <w:hideMark/>
          </w:tcPr>
          <w:p w14:paraId="35CF4C7F" w14:textId="77777777" w:rsidR="00CB540F" w:rsidRPr="004E6EF0" w:rsidRDefault="00CB540F" w:rsidP="007D5029">
            <w:pPr>
              <w:spacing w:line="240" w:lineRule="auto"/>
              <w:rPr>
                <w:rFonts w:cs="Arial"/>
                <w:color w:val="auto"/>
                <w:lang w:eastAsia="en-AU"/>
              </w:rPr>
            </w:pPr>
            <w:r w:rsidRPr="004E6EF0">
              <w:rPr>
                <w:rFonts w:cs="Arial"/>
                <w:color w:val="auto"/>
                <w:lang w:eastAsia="en-AU"/>
              </w:rPr>
              <w:t>APA Group</w:t>
            </w:r>
          </w:p>
        </w:tc>
      </w:tr>
      <w:tr w:rsidR="00CB540F" w:rsidRPr="004E6EF0" w14:paraId="56180E63" w14:textId="77777777" w:rsidTr="00A2598E">
        <w:trPr>
          <w:trHeight w:val="255"/>
          <w:tblHeader/>
        </w:trPr>
        <w:tc>
          <w:tcPr>
            <w:tcW w:w="1577" w:type="dxa"/>
            <w:noWrap/>
            <w:hideMark/>
          </w:tcPr>
          <w:p w14:paraId="2D375215" w14:textId="77777777" w:rsidR="00CB540F" w:rsidRPr="004E6EF0" w:rsidRDefault="00CB540F" w:rsidP="007D5029">
            <w:pPr>
              <w:spacing w:line="240" w:lineRule="auto"/>
              <w:rPr>
                <w:rFonts w:cs="Arial"/>
                <w:color w:val="auto"/>
                <w:lang w:eastAsia="en-AU"/>
              </w:rPr>
            </w:pPr>
            <w:r w:rsidRPr="004E6EF0">
              <w:rPr>
                <w:rFonts w:cs="Arial"/>
                <w:color w:val="auto"/>
                <w:lang w:eastAsia="en-AU"/>
              </w:rPr>
              <w:t>162</w:t>
            </w:r>
          </w:p>
        </w:tc>
        <w:tc>
          <w:tcPr>
            <w:tcW w:w="7603" w:type="dxa"/>
            <w:hideMark/>
          </w:tcPr>
          <w:p w14:paraId="3E54CBB7" w14:textId="77777777" w:rsidR="00CB540F" w:rsidRPr="004E6EF0" w:rsidRDefault="00CB540F" w:rsidP="007D5029">
            <w:pPr>
              <w:spacing w:line="240" w:lineRule="auto"/>
              <w:rPr>
                <w:rFonts w:cs="Arial"/>
                <w:color w:val="auto"/>
                <w:lang w:eastAsia="en-AU"/>
              </w:rPr>
            </w:pPr>
            <w:r w:rsidRPr="004E6EF0">
              <w:rPr>
                <w:rFonts w:cs="Arial"/>
                <w:color w:val="auto"/>
                <w:lang w:eastAsia="en-AU"/>
              </w:rPr>
              <w:t>Research Australia</w:t>
            </w:r>
          </w:p>
        </w:tc>
      </w:tr>
      <w:tr w:rsidR="00CB540F" w:rsidRPr="004E6EF0" w14:paraId="12754EBD" w14:textId="77777777" w:rsidTr="00A2598E">
        <w:trPr>
          <w:trHeight w:val="255"/>
          <w:tblHeader/>
        </w:trPr>
        <w:tc>
          <w:tcPr>
            <w:tcW w:w="1577" w:type="dxa"/>
            <w:noWrap/>
            <w:hideMark/>
          </w:tcPr>
          <w:p w14:paraId="73ECBCCF" w14:textId="77777777" w:rsidR="00CB540F" w:rsidRPr="004E6EF0" w:rsidRDefault="00CB540F" w:rsidP="007D5029">
            <w:pPr>
              <w:spacing w:line="240" w:lineRule="auto"/>
              <w:rPr>
                <w:rFonts w:cs="Arial"/>
                <w:color w:val="auto"/>
                <w:lang w:eastAsia="en-AU"/>
              </w:rPr>
            </w:pPr>
            <w:r w:rsidRPr="004E6EF0">
              <w:rPr>
                <w:rFonts w:cs="Arial"/>
                <w:color w:val="auto"/>
                <w:lang w:eastAsia="en-AU"/>
              </w:rPr>
              <w:t>163</w:t>
            </w:r>
          </w:p>
        </w:tc>
        <w:tc>
          <w:tcPr>
            <w:tcW w:w="7603" w:type="dxa"/>
            <w:hideMark/>
          </w:tcPr>
          <w:p w14:paraId="5C145107" w14:textId="77777777" w:rsidR="00CB540F" w:rsidRPr="004E6EF0" w:rsidRDefault="00CB540F" w:rsidP="007D5029">
            <w:pPr>
              <w:spacing w:line="240" w:lineRule="auto"/>
              <w:rPr>
                <w:rFonts w:cs="Arial"/>
                <w:color w:val="auto"/>
                <w:lang w:eastAsia="en-AU"/>
              </w:rPr>
            </w:pPr>
            <w:r w:rsidRPr="004E6EF0">
              <w:rPr>
                <w:rFonts w:cs="Arial"/>
                <w:color w:val="auto"/>
                <w:lang w:eastAsia="en-AU"/>
              </w:rPr>
              <w:t>Deakin University</w:t>
            </w:r>
          </w:p>
        </w:tc>
      </w:tr>
      <w:tr w:rsidR="00CB540F" w:rsidRPr="004E6EF0" w14:paraId="60E6FFF1" w14:textId="77777777" w:rsidTr="00A2598E">
        <w:trPr>
          <w:trHeight w:val="255"/>
          <w:tblHeader/>
        </w:trPr>
        <w:tc>
          <w:tcPr>
            <w:tcW w:w="1577" w:type="dxa"/>
            <w:noWrap/>
            <w:hideMark/>
          </w:tcPr>
          <w:p w14:paraId="395A704B" w14:textId="77777777" w:rsidR="00CB540F" w:rsidRPr="004E6EF0" w:rsidRDefault="00CB540F" w:rsidP="007D5029">
            <w:pPr>
              <w:spacing w:line="240" w:lineRule="auto"/>
              <w:rPr>
                <w:rFonts w:cs="Arial"/>
                <w:color w:val="auto"/>
                <w:lang w:eastAsia="en-AU"/>
              </w:rPr>
            </w:pPr>
            <w:r w:rsidRPr="004E6EF0">
              <w:rPr>
                <w:rFonts w:cs="Arial"/>
                <w:color w:val="auto"/>
                <w:lang w:eastAsia="en-AU"/>
              </w:rPr>
              <w:t>164</w:t>
            </w:r>
          </w:p>
        </w:tc>
        <w:tc>
          <w:tcPr>
            <w:tcW w:w="7603" w:type="dxa"/>
            <w:hideMark/>
          </w:tcPr>
          <w:p w14:paraId="5D92B999" w14:textId="77777777" w:rsidR="00CB540F" w:rsidRPr="004E6EF0" w:rsidRDefault="00CB540F" w:rsidP="007D5029">
            <w:pPr>
              <w:spacing w:line="240" w:lineRule="auto"/>
              <w:rPr>
                <w:rFonts w:cs="Arial"/>
                <w:color w:val="auto"/>
                <w:lang w:eastAsia="en-AU"/>
              </w:rPr>
            </w:pPr>
            <w:r w:rsidRPr="004E6EF0">
              <w:rPr>
                <w:rFonts w:cs="Arial"/>
                <w:color w:val="auto"/>
                <w:lang w:eastAsia="en-AU"/>
              </w:rPr>
              <w:t>City of Greater Geraldton</w:t>
            </w:r>
          </w:p>
        </w:tc>
      </w:tr>
      <w:tr w:rsidR="00CB540F" w:rsidRPr="004E6EF0" w14:paraId="67EB433D" w14:textId="77777777" w:rsidTr="00A2598E">
        <w:trPr>
          <w:trHeight w:val="255"/>
          <w:tblHeader/>
        </w:trPr>
        <w:tc>
          <w:tcPr>
            <w:tcW w:w="1577" w:type="dxa"/>
            <w:noWrap/>
            <w:hideMark/>
          </w:tcPr>
          <w:p w14:paraId="18F5A6D5" w14:textId="77777777" w:rsidR="00CB540F" w:rsidRPr="004E6EF0" w:rsidRDefault="00CB540F" w:rsidP="007D5029">
            <w:pPr>
              <w:spacing w:line="240" w:lineRule="auto"/>
              <w:rPr>
                <w:rFonts w:cs="Arial"/>
                <w:color w:val="auto"/>
                <w:lang w:eastAsia="en-AU"/>
              </w:rPr>
            </w:pPr>
            <w:r w:rsidRPr="004E6EF0">
              <w:rPr>
                <w:rFonts w:cs="Arial"/>
                <w:color w:val="auto"/>
                <w:lang w:eastAsia="en-AU"/>
              </w:rPr>
              <w:t>165</w:t>
            </w:r>
          </w:p>
        </w:tc>
        <w:tc>
          <w:tcPr>
            <w:tcW w:w="7603" w:type="dxa"/>
            <w:hideMark/>
          </w:tcPr>
          <w:p w14:paraId="230DEA89" w14:textId="77777777" w:rsidR="00CB540F" w:rsidRPr="004E6EF0" w:rsidRDefault="00CB540F" w:rsidP="007D5029">
            <w:pPr>
              <w:spacing w:line="240" w:lineRule="auto"/>
              <w:rPr>
                <w:rFonts w:cs="Arial"/>
                <w:color w:val="auto"/>
                <w:lang w:eastAsia="en-AU"/>
              </w:rPr>
            </w:pPr>
            <w:r w:rsidRPr="004E6EF0">
              <w:rPr>
                <w:rFonts w:cs="Arial"/>
                <w:color w:val="auto"/>
                <w:lang w:eastAsia="en-AU"/>
              </w:rPr>
              <w:t>Young and Well CRC</w:t>
            </w:r>
          </w:p>
        </w:tc>
      </w:tr>
      <w:tr w:rsidR="00CB540F" w:rsidRPr="004E6EF0" w14:paraId="1C64B60E" w14:textId="77777777" w:rsidTr="00A2598E">
        <w:trPr>
          <w:trHeight w:val="255"/>
          <w:tblHeader/>
        </w:trPr>
        <w:tc>
          <w:tcPr>
            <w:tcW w:w="1577" w:type="dxa"/>
            <w:noWrap/>
            <w:hideMark/>
          </w:tcPr>
          <w:p w14:paraId="477F6136" w14:textId="77777777" w:rsidR="00CB540F" w:rsidRPr="004E6EF0" w:rsidRDefault="00CB540F" w:rsidP="007D5029">
            <w:pPr>
              <w:spacing w:line="240" w:lineRule="auto"/>
              <w:rPr>
                <w:rFonts w:cs="Arial"/>
                <w:color w:val="auto"/>
                <w:lang w:eastAsia="en-AU"/>
              </w:rPr>
            </w:pPr>
            <w:r w:rsidRPr="004E6EF0">
              <w:rPr>
                <w:rFonts w:cs="Arial"/>
                <w:color w:val="auto"/>
                <w:lang w:eastAsia="en-AU"/>
              </w:rPr>
              <w:t>166</w:t>
            </w:r>
          </w:p>
        </w:tc>
        <w:tc>
          <w:tcPr>
            <w:tcW w:w="7603" w:type="dxa"/>
            <w:hideMark/>
          </w:tcPr>
          <w:p w14:paraId="7CC13D97" w14:textId="77777777" w:rsidR="00CB540F" w:rsidRPr="004E6EF0" w:rsidRDefault="00CB540F" w:rsidP="007D5029">
            <w:pPr>
              <w:spacing w:line="240" w:lineRule="auto"/>
              <w:rPr>
                <w:rFonts w:cs="Arial"/>
                <w:color w:val="auto"/>
                <w:lang w:eastAsia="en-AU"/>
              </w:rPr>
            </w:pPr>
            <w:r w:rsidRPr="004E6EF0">
              <w:rPr>
                <w:rFonts w:cs="Arial"/>
                <w:color w:val="auto"/>
                <w:lang w:eastAsia="en-AU"/>
              </w:rPr>
              <w:t>Queensland University of Technology</w:t>
            </w:r>
          </w:p>
        </w:tc>
      </w:tr>
      <w:tr w:rsidR="00CB540F" w:rsidRPr="004E6EF0" w14:paraId="6FC63FC0" w14:textId="77777777" w:rsidTr="00A2598E">
        <w:trPr>
          <w:trHeight w:val="255"/>
          <w:tblHeader/>
        </w:trPr>
        <w:tc>
          <w:tcPr>
            <w:tcW w:w="1577" w:type="dxa"/>
            <w:noWrap/>
            <w:hideMark/>
          </w:tcPr>
          <w:p w14:paraId="5EA8F5A6" w14:textId="77777777" w:rsidR="00CB540F" w:rsidRPr="004E6EF0" w:rsidRDefault="00CB540F" w:rsidP="007D5029">
            <w:pPr>
              <w:spacing w:line="240" w:lineRule="auto"/>
              <w:rPr>
                <w:rFonts w:cs="Arial"/>
                <w:color w:val="auto"/>
                <w:lang w:eastAsia="en-AU"/>
              </w:rPr>
            </w:pPr>
            <w:r w:rsidRPr="004E6EF0">
              <w:rPr>
                <w:rFonts w:cs="Arial"/>
                <w:color w:val="auto"/>
                <w:lang w:eastAsia="en-AU"/>
              </w:rPr>
              <w:t>167</w:t>
            </w:r>
          </w:p>
        </w:tc>
        <w:tc>
          <w:tcPr>
            <w:tcW w:w="7603" w:type="dxa"/>
            <w:hideMark/>
          </w:tcPr>
          <w:p w14:paraId="12E4D4D9" w14:textId="77777777" w:rsidR="00CB540F" w:rsidRPr="004E6EF0" w:rsidRDefault="00CB540F" w:rsidP="007D5029">
            <w:pPr>
              <w:spacing w:line="240" w:lineRule="auto"/>
              <w:rPr>
                <w:rFonts w:cs="Arial"/>
                <w:color w:val="auto"/>
                <w:lang w:eastAsia="en-AU"/>
              </w:rPr>
            </w:pPr>
            <w:r w:rsidRPr="004E6EF0">
              <w:rPr>
                <w:rFonts w:cs="Arial"/>
                <w:color w:val="auto"/>
                <w:lang w:eastAsia="en-AU"/>
              </w:rPr>
              <w:t>La Trobe University</w:t>
            </w:r>
          </w:p>
        </w:tc>
      </w:tr>
      <w:tr w:rsidR="00CB540F" w:rsidRPr="004E6EF0" w14:paraId="64FD8A78" w14:textId="77777777" w:rsidTr="00A2598E">
        <w:trPr>
          <w:trHeight w:val="255"/>
          <w:tblHeader/>
        </w:trPr>
        <w:tc>
          <w:tcPr>
            <w:tcW w:w="1577" w:type="dxa"/>
            <w:noWrap/>
            <w:hideMark/>
          </w:tcPr>
          <w:p w14:paraId="2388AE6D" w14:textId="77777777" w:rsidR="00CB540F" w:rsidRPr="004E6EF0" w:rsidRDefault="00CB540F" w:rsidP="007D5029">
            <w:pPr>
              <w:spacing w:line="240" w:lineRule="auto"/>
              <w:rPr>
                <w:rFonts w:cs="Arial"/>
                <w:color w:val="auto"/>
                <w:lang w:eastAsia="en-AU"/>
              </w:rPr>
            </w:pPr>
            <w:r w:rsidRPr="004E6EF0">
              <w:rPr>
                <w:rFonts w:cs="Arial"/>
                <w:color w:val="auto"/>
                <w:lang w:eastAsia="en-AU"/>
              </w:rPr>
              <w:t>168</w:t>
            </w:r>
          </w:p>
        </w:tc>
        <w:tc>
          <w:tcPr>
            <w:tcW w:w="7603" w:type="dxa"/>
            <w:hideMark/>
          </w:tcPr>
          <w:p w14:paraId="4D9840DF" w14:textId="77777777" w:rsidR="00CB540F" w:rsidRPr="004E6EF0" w:rsidRDefault="00CB540F" w:rsidP="007D5029">
            <w:pPr>
              <w:spacing w:line="240" w:lineRule="auto"/>
              <w:rPr>
                <w:rFonts w:cs="Arial"/>
                <w:color w:val="auto"/>
                <w:lang w:eastAsia="en-AU"/>
              </w:rPr>
            </w:pPr>
            <w:r w:rsidRPr="004E6EF0">
              <w:rPr>
                <w:rFonts w:cs="Arial"/>
                <w:color w:val="auto"/>
              </w:rPr>
              <w:t>CRC for Living with Autism Spectrum Disorders</w:t>
            </w:r>
          </w:p>
        </w:tc>
      </w:tr>
      <w:tr w:rsidR="00CB540F" w:rsidRPr="004E6EF0" w14:paraId="0DF4A312" w14:textId="77777777" w:rsidTr="00A2598E">
        <w:trPr>
          <w:trHeight w:val="255"/>
          <w:tblHeader/>
        </w:trPr>
        <w:tc>
          <w:tcPr>
            <w:tcW w:w="1577" w:type="dxa"/>
            <w:noWrap/>
            <w:hideMark/>
          </w:tcPr>
          <w:p w14:paraId="6DB6072A" w14:textId="77777777" w:rsidR="00CB540F" w:rsidRPr="004E6EF0" w:rsidRDefault="00CB540F" w:rsidP="007D5029">
            <w:pPr>
              <w:spacing w:line="240" w:lineRule="auto"/>
              <w:rPr>
                <w:rFonts w:cs="Arial"/>
                <w:color w:val="auto"/>
                <w:lang w:eastAsia="en-AU"/>
              </w:rPr>
            </w:pPr>
            <w:r w:rsidRPr="004E6EF0">
              <w:rPr>
                <w:rFonts w:cs="Arial"/>
                <w:color w:val="auto"/>
                <w:lang w:eastAsia="en-AU"/>
              </w:rPr>
              <w:t>169</w:t>
            </w:r>
          </w:p>
        </w:tc>
        <w:tc>
          <w:tcPr>
            <w:tcW w:w="7603" w:type="dxa"/>
            <w:hideMark/>
          </w:tcPr>
          <w:p w14:paraId="7B3DD3D6"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Australian Advisory Board on Autism Spectrum Disorders</w:t>
            </w:r>
          </w:p>
        </w:tc>
      </w:tr>
      <w:tr w:rsidR="00CB540F" w:rsidRPr="004E6EF0" w14:paraId="3F22D703" w14:textId="77777777" w:rsidTr="00A2598E">
        <w:trPr>
          <w:trHeight w:val="255"/>
          <w:tblHeader/>
        </w:trPr>
        <w:tc>
          <w:tcPr>
            <w:tcW w:w="1577" w:type="dxa"/>
            <w:noWrap/>
            <w:hideMark/>
          </w:tcPr>
          <w:p w14:paraId="7D20936C" w14:textId="77777777" w:rsidR="00CB540F" w:rsidRPr="004E6EF0" w:rsidRDefault="00CB540F" w:rsidP="007D5029">
            <w:pPr>
              <w:spacing w:line="240" w:lineRule="auto"/>
              <w:rPr>
                <w:rFonts w:cs="Arial"/>
                <w:color w:val="auto"/>
                <w:lang w:eastAsia="en-AU"/>
              </w:rPr>
            </w:pPr>
            <w:r w:rsidRPr="004E6EF0">
              <w:rPr>
                <w:rFonts w:cs="Arial"/>
                <w:color w:val="auto"/>
                <w:lang w:eastAsia="en-AU"/>
              </w:rPr>
              <w:t>170</w:t>
            </w:r>
          </w:p>
        </w:tc>
        <w:tc>
          <w:tcPr>
            <w:tcW w:w="7603" w:type="dxa"/>
            <w:hideMark/>
          </w:tcPr>
          <w:p w14:paraId="65C484AD"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Autism Spectrum Australia</w:t>
            </w:r>
          </w:p>
        </w:tc>
      </w:tr>
      <w:tr w:rsidR="00CB540F" w:rsidRPr="004E6EF0" w14:paraId="3172CDAF" w14:textId="77777777" w:rsidTr="00A2598E">
        <w:trPr>
          <w:trHeight w:val="255"/>
          <w:tblHeader/>
        </w:trPr>
        <w:tc>
          <w:tcPr>
            <w:tcW w:w="1577" w:type="dxa"/>
            <w:noWrap/>
            <w:hideMark/>
          </w:tcPr>
          <w:p w14:paraId="369F52BA" w14:textId="77777777" w:rsidR="00CB540F" w:rsidRPr="004E6EF0" w:rsidRDefault="00CB540F" w:rsidP="007D5029">
            <w:pPr>
              <w:spacing w:line="240" w:lineRule="auto"/>
              <w:rPr>
                <w:rFonts w:cs="Arial"/>
                <w:color w:val="auto"/>
                <w:lang w:eastAsia="en-AU"/>
              </w:rPr>
            </w:pPr>
            <w:r w:rsidRPr="004E6EF0">
              <w:rPr>
                <w:rFonts w:cs="Arial"/>
                <w:color w:val="auto"/>
                <w:lang w:eastAsia="en-AU"/>
              </w:rPr>
              <w:t>171</w:t>
            </w:r>
          </w:p>
        </w:tc>
        <w:tc>
          <w:tcPr>
            <w:tcW w:w="7603" w:type="dxa"/>
            <w:hideMark/>
          </w:tcPr>
          <w:p w14:paraId="19356BBC"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Autism WA</w:t>
            </w:r>
          </w:p>
        </w:tc>
      </w:tr>
      <w:tr w:rsidR="00CB540F" w:rsidRPr="004E6EF0" w14:paraId="07F9FDD2" w14:textId="77777777" w:rsidTr="00A2598E">
        <w:trPr>
          <w:trHeight w:val="255"/>
          <w:tblHeader/>
        </w:trPr>
        <w:tc>
          <w:tcPr>
            <w:tcW w:w="1577" w:type="dxa"/>
            <w:noWrap/>
            <w:hideMark/>
          </w:tcPr>
          <w:p w14:paraId="1C4989DE" w14:textId="77777777" w:rsidR="00CB540F" w:rsidRPr="004E6EF0" w:rsidRDefault="00CB540F" w:rsidP="007D5029">
            <w:pPr>
              <w:spacing w:line="240" w:lineRule="auto"/>
              <w:rPr>
                <w:rFonts w:cs="Arial"/>
                <w:color w:val="auto"/>
                <w:lang w:eastAsia="en-AU"/>
              </w:rPr>
            </w:pPr>
            <w:r w:rsidRPr="004E6EF0">
              <w:rPr>
                <w:rFonts w:cs="Arial"/>
                <w:color w:val="auto"/>
                <w:lang w:eastAsia="en-AU"/>
              </w:rPr>
              <w:t>172</w:t>
            </w:r>
          </w:p>
        </w:tc>
        <w:tc>
          <w:tcPr>
            <w:tcW w:w="7603" w:type="dxa"/>
            <w:noWrap/>
            <w:hideMark/>
          </w:tcPr>
          <w:p w14:paraId="4C3AD494" w14:textId="77777777" w:rsidR="00CB540F" w:rsidRPr="004E6EF0" w:rsidRDefault="00CB540F" w:rsidP="007D5029">
            <w:pPr>
              <w:spacing w:line="240" w:lineRule="auto"/>
              <w:rPr>
                <w:rFonts w:cs="Arial"/>
                <w:color w:val="auto"/>
                <w:lang w:eastAsia="en-AU"/>
              </w:rPr>
            </w:pPr>
            <w:r w:rsidRPr="004E6EF0">
              <w:rPr>
                <w:rFonts w:cs="Arial"/>
                <w:color w:val="auto"/>
                <w:lang w:eastAsia="en-AU"/>
              </w:rPr>
              <w:t>Robert van Barneveld</w:t>
            </w:r>
          </w:p>
        </w:tc>
      </w:tr>
      <w:tr w:rsidR="00CB540F" w:rsidRPr="004E6EF0" w14:paraId="4D07E851" w14:textId="77777777" w:rsidTr="00A2598E">
        <w:trPr>
          <w:trHeight w:val="255"/>
          <w:tblHeader/>
        </w:trPr>
        <w:tc>
          <w:tcPr>
            <w:tcW w:w="1577" w:type="dxa"/>
            <w:noWrap/>
            <w:hideMark/>
          </w:tcPr>
          <w:p w14:paraId="1C8B22C7" w14:textId="77777777" w:rsidR="00CB540F" w:rsidRPr="004E6EF0" w:rsidRDefault="00CB540F" w:rsidP="007D5029">
            <w:pPr>
              <w:spacing w:line="240" w:lineRule="auto"/>
              <w:rPr>
                <w:rFonts w:cs="Arial"/>
                <w:color w:val="auto"/>
                <w:lang w:eastAsia="en-AU"/>
              </w:rPr>
            </w:pPr>
            <w:r w:rsidRPr="004E6EF0">
              <w:rPr>
                <w:rFonts w:cs="Arial"/>
                <w:color w:val="auto"/>
                <w:lang w:eastAsia="en-AU"/>
              </w:rPr>
              <w:t>173</w:t>
            </w:r>
          </w:p>
        </w:tc>
        <w:tc>
          <w:tcPr>
            <w:tcW w:w="7603" w:type="dxa"/>
            <w:hideMark/>
          </w:tcPr>
          <w:p w14:paraId="20C1FCB1" w14:textId="77777777" w:rsidR="00CB540F" w:rsidRPr="004E6EF0" w:rsidRDefault="00CB540F" w:rsidP="007D5029">
            <w:pPr>
              <w:spacing w:line="240" w:lineRule="auto"/>
              <w:rPr>
                <w:rFonts w:cs="Arial"/>
                <w:color w:val="auto"/>
                <w:lang w:eastAsia="en-AU"/>
              </w:rPr>
            </w:pPr>
            <w:r w:rsidRPr="004E6EF0">
              <w:rPr>
                <w:rFonts w:cs="Arial"/>
                <w:color w:val="auto"/>
                <w:lang w:eastAsia="en-AU"/>
              </w:rPr>
              <w:t>South East Water</w:t>
            </w:r>
          </w:p>
        </w:tc>
      </w:tr>
      <w:tr w:rsidR="00CB540F" w:rsidRPr="004E6EF0" w14:paraId="3148FDF7" w14:textId="77777777" w:rsidTr="00A2598E">
        <w:trPr>
          <w:trHeight w:val="255"/>
          <w:tblHeader/>
        </w:trPr>
        <w:tc>
          <w:tcPr>
            <w:tcW w:w="1577" w:type="dxa"/>
            <w:noWrap/>
            <w:hideMark/>
          </w:tcPr>
          <w:p w14:paraId="43685958" w14:textId="77777777" w:rsidR="00CB540F" w:rsidRPr="004E6EF0" w:rsidRDefault="00CB540F" w:rsidP="007D5029">
            <w:pPr>
              <w:spacing w:line="240" w:lineRule="auto"/>
              <w:rPr>
                <w:rFonts w:cs="Arial"/>
                <w:color w:val="auto"/>
                <w:lang w:eastAsia="en-AU"/>
              </w:rPr>
            </w:pPr>
            <w:r w:rsidRPr="004E6EF0">
              <w:rPr>
                <w:rFonts w:cs="Arial"/>
                <w:color w:val="auto"/>
                <w:lang w:eastAsia="en-AU"/>
              </w:rPr>
              <w:t>174</w:t>
            </w:r>
          </w:p>
        </w:tc>
        <w:tc>
          <w:tcPr>
            <w:tcW w:w="7603" w:type="dxa"/>
            <w:hideMark/>
          </w:tcPr>
          <w:p w14:paraId="153870B8" w14:textId="77777777" w:rsidR="00CB540F" w:rsidRPr="004E6EF0" w:rsidRDefault="00CB540F" w:rsidP="007D5029">
            <w:pPr>
              <w:spacing w:line="240" w:lineRule="auto"/>
              <w:rPr>
                <w:rFonts w:cs="Arial"/>
                <w:color w:val="auto"/>
                <w:lang w:eastAsia="en-AU"/>
              </w:rPr>
            </w:pPr>
            <w:r w:rsidRPr="004E6EF0">
              <w:rPr>
                <w:rFonts w:cs="Arial"/>
                <w:color w:val="auto"/>
                <w:lang w:eastAsia="en-AU"/>
              </w:rPr>
              <w:t>Warringah Council</w:t>
            </w:r>
          </w:p>
        </w:tc>
      </w:tr>
      <w:tr w:rsidR="00CB540F" w:rsidRPr="004E6EF0" w14:paraId="7B080FE1" w14:textId="77777777" w:rsidTr="00A2598E">
        <w:trPr>
          <w:trHeight w:val="255"/>
          <w:tblHeader/>
        </w:trPr>
        <w:tc>
          <w:tcPr>
            <w:tcW w:w="1577" w:type="dxa"/>
            <w:noWrap/>
            <w:hideMark/>
          </w:tcPr>
          <w:p w14:paraId="5843AC45" w14:textId="77777777" w:rsidR="00CB540F" w:rsidRPr="004E6EF0" w:rsidRDefault="00CB540F" w:rsidP="007D5029">
            <w:pPr>
              <w:spacing w:line="240" w:lineRule="auto"/>
              <w:rPr>
                <w:rFonts w:cs="Arial"/>
                <w:color w:val="auto"/>
                <w:lang w:eastAsia="en-AU"/>
              </w:rPr>
            </w:pPr>
            <w:r w:rsidRPr="004E6EF0">
              <w:rPr>
                <w:rFonts w:cs="Arial"/>
                <w:color w:val="auto"/>
                <w:lang w:eastAsia="en-AU"/>
              </w:rPr>
              <w:t>175</w:t>
            </w:r>
          </w:p>
        </w:tc>
        <w:tc>
          <w:tcPr>
            <w:tcW w:w="7603" w:type="dxa"/>
            <w:hideMark/>
          </w:tcPr>
          <w:p w14:paraId="3734AE1B" w14:textId="77777777" w:rsidR="00CB540F" w:rsidRPr="004E6EF0" w:rsidRDefault="00CB540F" w:rsidP="007D5029">
            <w:pPr>
              <w:spacing w:line="240" w:lineRule="auto"/>
              <w:rPr>
                <w:rFonts w:cs="Arial"/>
                <w:color w:val="auto"/>
                <w:lang w:eastAsia="en-AU"/>
              </w:rPr>
            </w:pPr>
            <w:r w:rsidRPr="004E6EF0">
              <w:rPr>
                <w:rFonts w:cs="Arial"/>
                <w:color w:val="auto"/>
                <w:lang w:eastAsia="en-AU"/>
              </w:rPr>
              <w:t>Knox City Council</w:t>
            </w:r>
          </w:p>
        </w:tc>
      </w:tr>
      <w:tr w:rsidR="00CB540F" w:rsidRPr="004E6EF0" w14:paraId="1EF725F5" w14:textId="77777777" w:rsidTr="00A2598E">
        <w:trPr>
          <w:trHeight w:val="255"/>
          <w:tblHeader/>
        </w:trPr>
        <w:tc>
          <w:tcPr>
            <w:tcW w:w="1577" w:type="dxa"/>
            <w:noWrap/>
            <w:hideMark/>
          </w:tcPr>
          <w:p w14:paraId="7F563547" w14:textId="77777777" w:rsidR="00CB540F" w:rsidRPr="004E6EF0" w:rsidRDefault="00CB540F" w:rsidP="007D5029">
            <w:pPr>
              <w:spacing w:line="240" w:lineRule="auto"/>
              <w:rPr>
                <w:rFonts w:cs="Arial"/>
                <w:color w:val="auto"/>
                <w:lang w:eastAsia="en-AU"/>
              </w:rPr>
            </w:pPr>
            <w:r w:rsidRPr="004E6EF0">
              <w:rPr>
                <w:rFonts w:cs="Arial"/>
                <w:color w:val="auto"/>
                <w:lang w:eastAsia="en-AU"/>
              </w:rPr>
              <w:t>176</w:t>
            </w:r>
          </w:p>
        </w:tc>
        <w:tc>
          <w:tcPr>
            <w:tcW w:w="7603" w:type="dxa"/>
            <w:hideMark/>
          </w:tcPr>
          <w:p w14:paraId="2946DF74" w14:textId="77777777" w:rsidR="00CB540F" w:rsidRPr="004E6EF0" w:rsidRDefault="00CB540F" w:rsidP="007D5029">
            <w:pPr>
              <w:spacing w:line="240" w:lineRule="auto"/>
              <w:rPr>
                <w:rFonts w:cs="Arial"/>
                <w:color w:val="auto"/>
                <w:lang w:eastAsia="en-AU"/>
              </w:rPr>
            </w:pPr>
            <w:r w:rsidRPr="004E6EF0">
              <w:rPr>
                <w:rFonts w:cs="Arial"/>
                <w:color w:val="auto"/>
                <w:lang w:eastAsia="en-AU"/>
              </w:rPr>
              <w:t>University of Sydney</w:t>
            </w:r>
          </w:p>
        </w:tc>
      </w:tr>
      <w:tr w:rsidR="00CB540F" w:rsidRPr="004E6EF0" w14:paraId="7985EAC6" w14:textId="77777777" w:rsidTr="00A2598E">
        <w:trPr>
          <w:trHeight w:val="70"/>
          <w:tblHeader/>
        </w:trPr>
        <w:tc>
          <w:tcPr>
            <w:tcW w:w="1577" w:type="dxa"/>
            <w:noWrap/>
            <w:hideMark/>
          </w:tcPr>
          <w:p w14:paraId="0A77E00E" w14:textId="77777777" w:rsidR="00CB540F" w:rsidRPr="004E6EF0" w:rsidRDefault="00CB540F" w:rsidP="007D5029">
            <w:pPr>
              <w:spacing w:line="240" w:lineRule="auto"/>
              <w:rPr>
                <w:rFonts w:cs="Arial"/>
                <w:color w:val="auto"/>
                <w:lang w:eastAsia="en-AU"/>
              </w:rPr>
            </w:pPr>
            <w:r w:rsidRPr="004E6EF0">
              <w:rPr>
                <w:rFonts w:cs="Arial"/>
                <w:color w:val="auto"/>
                <w:lang w:eastAsia="en-AU"/>
              </w:rPr>
              <w:t>177</w:t>
            </w:r>
          </w:p>
        </w:tc>
        <w:tc>
          <w:tcPr>
            <w:tcW w:w="7603" w:type="dxa"/>
            <w:hideMark/>
          </w:tcPr>
          <w:p w14:paraId="33DB2778" w14:textId="77777777" w:rsidR="00CB540F" w:rsidRPr="004E6EF0" w:rsidRDefault="00CB540F" w:rsidP="007D5029">
            <w:pPr>
              <w:spacing w:line="240" w:lineRule="auto"/>
              <w:rPr>
                <w:rFonts w:cs="Arial"/>
                <w:color w:val="auto"/>
                <w:lang w:eastAsia="en-AU"/>
              </w:rPr>
            </w:pPr>
            <w:r w:rsidRPr="004E6EF0">
              <w:rPr>
                <w:rFonts w:cs="Arial"/>
                <w:color w:val="auto"/>
                <w:lang w:eastAsia="en-AU"/>
              </w:rPr>
              <w:t>CRC for Advanced Composite Structures</w:t>
            </w:r>
          </w:p>
        </w:tc>
      </w:tr>
      <w:tr w:rsidR="00CB540F" w:rsidRPr="004E6EF0" w14:paraId="3C7B4B0A" w14:textId="77777777" w:rsidTr="00A2598E">
        <w:trPr>
          <w:trHeight w:val="255"/>
          <w:tblHeader/>
        </w:trPr>
        <w:tc>
          <w:tcPr>
            <w:tcW w:w="1577" w:type="dxa"/>
            <w:noWrap/>
            <w:hideMark/>
          </w:tcPr>
          <w:p w14:paraId="218CB960" w14:textId="77777777" w:rsidR="00CB540F" w:rsidRPr="004E6EF0" w:rsidRDefault="00CB540F" w:rsidP="007D5029">
            <w:pPr>
              <w:spacing w:line="240" w:lineRule="auto"/>
              <w:rPr>
                <w:rFonts w:cs="Arial"/>
                <w:color w:val="auto"/>
                <w:lang w:eastAsia="en-AU"/>
              </w:rPr>
            </w:pPr>
            <w:r w:rsidRPr="004E6EF0">
              <w:rPr>
                <w:rFonts w:cs="Arial"/>
                <w:color w:val="auto"/>
                <w:lang w:eastAsia="en-AU"/>
              </w:rPr>
              <w:t>178</w:t>
            </w:r>
          </w:p>
        </w:tc>
        <w:tc>
          <w:tcPr>
            <w:tcW w:w="7603" w:type="dxa"/>
            <w:hideMark/>
          </w:tcPr>
          <w:p w14:paraId="2EB04CB3" w14:textId="77777777" w:rsidR="00CB540F" w:rsidRPr="004E6EF0" w:rsidRDefault="00CB540F" w:rsidP="007D5029">
            <w:pPr>
              <w:spacing w:line="240" w:lineRule="auto"/>
              <w:rPr>
                <w:rFonts w:cs="Arial"/>
                <w:color w:val="auto"/>
                <w:lang w:eastAsia="en-AU"/>
              </w:rPr>
            </w:pPr>
            <w:r w:rsidRPr="004E6EF0">
              <w:rPr>
                <w:rFonts w:cs="Arial"/>
                <w:color w:val="auto"/>
                <w:lang w:eastAsia="en-AU"/>
              </w:rPr>
              <w:t>James Cook University</w:t>
            </w:r>
          </w:p>
        </w:tc>
      </w:tr>
      <w:tr w:rsidR="00CB540F" w:rsidRPr="004E6EF0" w14:paraId="2C222DD1" w14:textId="77777777" w:rsidTr="00A2598E">
        <w:trPr>
          <w:trHeight w:val="255"/>
          <w:tblHeader/>
        </w:trPr>
        <w:tc>
          <w:tcPr>
            <w:tcW w:w="1577" w:type="dxa"/>
            <w:noWrap/>
            <w:hideMark/>
          </w:tcPr>
          <w:p w14:paraId="60FA9A91" w14:textId="77777777" w:rsidR="00CB540F" w:rsidRPr="004E6EF0" w:rsidRDefault="00CB540F" w:rsidP="007D5029">
            <w:pPr>
              <w:spacing w:line="240" w:lineRule="auto"/>
              <w:rPr>
                <w:rFonts w:cs="Arial"/>
                <w:color w:val="auto"/>
                <w:lang w:eastAsia="en-AU"/>
              </w:rPr>
            </w:pPr>
            <w:r w:rsidRPr="004E6EF0">
              <w:rPr>
                <w:rFonts w:cs="Arial"/>
                <w:color w:val="auto"/>
                <w:lang w:eastAsia="en-AU"/>
              </w:rPr>
              <w:t>179</w:t>
            </w:r>
          </w:p>
        </w:tc>
        <w:tc>
          <w:tcPr>
            <w:tcW w:w="7603" w:type="dxa"/>
            <w:hideMark/>
          </w:tcPr>
          <w:p w14:paraId="0908A803" w14:textId="77777777" w:rsidR="00CB540F" w:rsidRPr="004E6EF0" w:rsidRDefault="00CB540F" w:rsidP="007D5029">
            <w:pPr>
              <w:spacing w:line="240" w:lineRule="auto"/>
              <w:rPr>
                <w:rFonts w:cs="Arial"/>
                <w:color w:val="auto"/>
                <w:lang w:eastAsia="en-AU"/>
              </w:rPr>
            </w:pPr>
            <w:r w:rsidRPr="004E6EF0">
              <w:rPr>
                <w:rFonts w:cs="Arial"/>
                <w:color w:val="auto"/>
                <w:lang w:eastAsia="en-AU"/>
              </w:rPr>
              <w:t>FAL Lawyers</w:t>
            </w:r>
          </w:p>
        </w:tc>
      </w:tr>
      <w:tr w:rsidR="00CB540F" w:rsidRPr="004E6EF0" w14:paraId="73C14A67" w14:textId="77777777" w:rsidTr="00A2598E">
        <w:trPr>
          <w:trHeight w:val="255"/>
          <w:tblHeader/>
        </w:trPr>
        <w:tc>
          <w:tcPr>
            <w:tcW w:w="1577" w:type="dxa"/>
            <w:noWrap/>
            <w:hideMark/>
          </w:tcPr>
          <w:p w14:paraId="364483A4" w14:textId="77777777" w:rsidR="00CB540F" w:rsidRPr="004E6EF0" w:rsidRDefault="00CB540F" w:rsidP="007D5029">
            <w:pPr>
              <w:spacing w:line="240" w:lineRule="auto"/>
              <w:rPr>
                <w:rFonts w:cs="Arial"/>
                <w:color w:val="auto"/>
                <w:lang w:eastAsia="en-AU"/>
              </w:rPr>
            </w:pPr>
            <w:r w:rsidRPr="004E6EF0">
              <w:rPr>
                <w:rFonts w:cs="Arial"/>
                <w:color w:val="auto"/>
                <w:lang w:eastAsia="en-AU"/>
              </w:rPr>
              <w:t>180</w:t>
            </w:r>
          </w:p>
        </w:tc>
        <w:tc>
          <w:tcPr>
            <w:tcW w:w="7603" w:type="dxa"/>
            <w:hideMark/>
          </w:tcPr>
          <w:p w14:paraId="7D7B06D0" w14:textId="77777777" w:rsidR="00CB540F" w:rsidRPr="004E6EF0" w:rsidRDefault="00CB540F" w:rsidP="007D5029">
            <w:pPr>
              <w:spacing w:line="240" w:lineRule="auto"/>
              <w:rPr>
                <w:rFonts w:cs="Arial"/>
                <w:color w:val="auto"/>
                <w:lang w:eastAsia="en-AU"/>
              </w:rPr>
            </w:pPr>
            <w:r w:rsidRPr="004E6EF0">
              <w:rPr>
                <w:rFonts w:cs="Arial"/>
                <w:color w:val="auto"/>
                <w:lang w:eastAsia="en-AU"/>
              </w:rPr>
              <w:t>CRC for Optimising Resource Extraction</w:t>
            </w:r>
          </w:p>
        </w:tc>
      </w:tr>
      <w:tr w:rsidR="00CB540F" w:rsidRPr="004E6EF0" w14:paraId="2F87C2BC" w14:textId="77777777" w:rsidTr="00A2598E">
        <w:trPr>
          <w:trHeight w:val="255"/>
          <w:tblHeader/>
        </w:trPr>
        <w:tc>
          <w:tcPr>
            <w:tcW w:w="1577" w:type="dxa"/>
            <w:noWrap/>
            <w:hideMark/>
          </w:tcPr>
          <w:p w14:paraId="59504063" w14:textId="77777777" w:rsidR="00CB540F" w:rsidRPr="004E6EF0" w:rsidRDefault="00CB540F" w:rsidP="007D5029">
            <w:pPr>
              <w:spacing w:line="240" w:lineRule="auto"/>
              <w:rPr>
                <w:rFonts w:cs="Arial"/>
                <w:color w:val="auto"/>
                <w:lang w:eastAsia="en-AU"/>
              </w:rPr>
            </w:pPr>
            <w:r w:rsidRPr="004E6EF0">
              <w:rPr>
                <w:rFonts w:cs="Arial"/>
                <w:color w:val="auto"/>
                <w:lang w:eastAsia="en-AU"/>
              </w:rPr>
              <w:t>181</w:t>
            </w:r>
          </w:p>
        </w:tc>
        <w:tc>
          <w:tcPr>
            <w:tcW w:w="7603" w:type="dxa"/>
            <w:hideMark/>
          </w:tcPr>
          <w:p w14:paraId="76C2F040" w14:textId="77777777" w:rsidR="00CB540F" w:rsidRPr="004E6EF0" w:rsidRDefault="00CB540F" w:rsidP="007D5029">
            <w:pPr>
              <w:spacing w:line="240" w:lineRule="auto"/>
              <w:rPr>
                <w:rFonts w:cs="Arial"/>
                <w:color w:val="auto"/>
                <w:lang w:eastAsia="en-AU"/>
              </w:rPr>
            </w:pPr>
            <w:r w:rsidRPr="004E6EF0">
              <w:rPr>
                <w:rFonts w:cs="Arial"/>
                <w:color w:val="auto"/>
                <w:lang w:eastAsia="en-AU"/>
              </w:rPr>
              <w:t>Invasive Animals CRC</w:t>
            </w:r>
          </w:p>
        </w:tc>
      </w:tr>
      <w:tr w:rsidR="00CB540F" w:rsidRPr="004E6EF0" w14:paraId="5C7B0417" w14:textId="77777777" w:rsidTr="00A2598E">
        <w:trPr>
          <w:trHeight w:val="255"/>
          <w:tblHeader/>
        </w:trPr>
        <w:tc>
          <w:tcPr>
            <w:tcW w:w="1577" w:type="dxa"/>
            <w:noWrap/>
            <w:hideMark/>
          </w:tcPr>
          <w:p w14:paraId="064666F7" w14:textId="77777777" w:rsidR="00CB540F" w:rsidRPr="004E6EF0" w:rsidRDefault="00CB540F" w:rsidP="007D5029">
            <w:pPr>
              <w:spacing w:line="240" w:lineRule="auto"/>
              <w:rPr>
                <w:rFonts w:cs="Arial"/>
                <w:color w:val="auto"/>
                <w:lang w:eastAsia="en-AU"/>
              </w:rPr>
            </w:pPr>
            <w:r w:rsidRPr="004E6EF0">
              <w:rPr>
                <w:rFonts w:cs="Arial"/>
                <w:color w:val="auto"/>
                <w:lang w:eastAsia="en-AU"/>
              </w:rPr>
              <w:t>182</w:t>
            </w:r>
          </w:p>
        </w:tc>
        <w:tc>
          <w:tcPr>
            <w:tcW w:w="7603" w:type="dxa"/>
            <w:hideMark/>
          </w:tcPr>
          <w:p w14:paraId="55E8BBD7"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Australian Dental Association</w:t>
            </w:r>
          </w:p>
        </w:tc>
      </w:tr>
      <w:tr w:rsidR="00CB540F" w:rsidRPr="004E6EF0" w14:paraId="674C78EA" w14:textId="77777777" w:rsidTr="00A2598E">
        <w:trPr>
          <w:trHeight w:val="70"/>
          <w:tblHeader/>
        </w:trPr>
        <w:tc>
          <w:tcPr>
            <w:tcW w:w="1577" w:type="dxa"/>
            <w:noWrap/>
            <w:hideMark/>
          </w:tcPr>
          <w:p w14:paraId="7658D027" w14:textId="77777777" w:rsidR="00CB540F" w:rsidRPr="004E6EF0" w:rsidRDefault="00CB540F" w:rsidP="007D5029">
            <w:pPr>
              <w:spacing w:line="240" w:lineRule="auto"/>
              <w:rPr>
                <w:rFonts w:cs="Arial"/>
                <w:color w:val="auto"/>
                <w:lang w:eastAsia="en-AU"/>
              </w:rPr>
            </w:pPr>
            <w:r w:rsidRPr="004E6EF0">
              <w:rPr>
                <w:rFonts w:cs="Arial"/>
                <w:color w:val="auto"/>
                <w:lang w:eastAsia="en-AU"/>
              </w:rPr>
              <w:t>183</w:t>
            </w:r>
          </w:p>
        </w:tc>
        <w:tc>
          <w:tcPr>
            <w:tcW w:w="7603" w:type="dxa"/>
            <w:hideMark/>
          </w:tcPr>
          <w:p w14:paraId="4836544A" w14:textId="77777777" w:rsidR="00CB540F" w:rsidRPr="004E6EF0" w:rsidRDefault="00CB540F" w:rsidP="007D5029">
            <w:pPr>
              <w:spacing w:line="240" w:lineRule="auto"/>
              <w:rPr>
                <w:rFonts w:cs="Arial"/>
                <w:color w:val="auto"/>
                <w:lang w:eastAsia="en-AU"/>
              </w:rPr>
            </w:pPr>
            <w:r w:rsidRPr="004E6EF0">
              <w:rPr>
                <w:rFonts w:cs="Arial"/>
                <w:color w:val="auto"/>
                <w:lang w:eastAsia="en-AU"/>
              </w:rPr>
              <w:t>NSW Rural Fire Service</w:t>
            </w:r>
          </w:p>
        </w:tc>
      </w:tr>
      <w:tr w:rsidR="00CB540F" w:rsidRPr="004E6EF0" w14:paraId="2F0896A5" w14:textId="77777777" w:rsidTr="00A2598E">
        <w:trPr>
          <w:trHeight w:val="255"/>
          <w:tblHeader/>
        </w:trPr>
        <w:tc>
          <w:tcPr>
            <w:tcW w:w="1577" w:type="dxa"/>
            <w:noWrap/>
            <w:hideMark/>
          </w:tcPr>
          <w:p w14:paraId="7BC7A7A2" w14:textId="77777777" w:rsidR="00CB540F" w:rsidRPr="004E6EF0" w:rsidRDefault="00CB540F" w:rsidP="007D5029">
            <w:pPr>
              <w:spacing w:line="240" w:lineRule="auto"/>
              <w:rPr>
                <w:rFonts w:cs="Arial"/>
                <w:color w:val="auto"/>
                <w:lang w:eastAsia="en-AU"/>
              </w:rPr>
            </w:pPr>
            <w:r w:rsidRPr="004E6EF0">
              <w:rPr>
                <w:rFonts w:cs="Arial"/>
                <w:color w:val="auto"/>
                <w:lang w:eastAsia="en-AU"/>
              </w:rPr>
              <w:t>184</w:t>
            </w:r>
          </w:p>
        </w:tc>
        <w:tc>
          <w:tcPr>
            <w:tcW w:w="7603" w:type="dxa"/>
            <w:noWrap/>
            <w:hideMark/>
          </w:tcPr>
          <w:p w14:paraId="3576F101" w14:textId="77777777" w:rsidR="00CB540F" w:rsidRPr="004E6EF0" w:rsidRDefault="00CB540F" w:rsidP="007D5029">
            <w:pPr>
              <w:spacing w:line="240" w:lineRule="auto"/>
              <w:rPr>
                <w:rFonts w:cs="Arial"/>
                <w:color w:val="auto"/>
                <w:lang w:eastAsia="en-AU"/>
              </w:rPr>
            </w:pPr>
            <w:r w:rsidRPr="004E6EF0">
              <w:rPr>
                <w:rFonts w:cs="Arial"/>
                <w:color w:val="auto"/>
                <w:lang w:eastAsia="en-AU"/>
              </w:rPr>
              <w:t>Paul Hopkins</w:t>
            </w:r>
          </w:p>
        </w:tc>
      </w:tr>
      <w:tr w:rsidR="00CB540F" w:rsidRPr="004E6EF0" w14:paraId="6114173D" w14:textId="77777777" w:rsidTr="00A2598E">
        <w:trPr>
          <w:trHeight w:val="255"/>
          <w:tblHeader/>
        </w:trPr>
        <w:tc>
          <w:tcPr>
            <w:tcW w:w="1577" w:type="dxa"/>
            <w:noWrap/>
            <w:hideMark/>
          </w:tcPr>
          <w:p w14:paraId="77880544" w14:textId="77777777" w:rsidR="00CB540F" w:rsidRPr="004E6EF0" w:rsidRDefault="00CB540F" w:rsidP="007D5029">
            <w:pPr>
              <w:spacing w:line="240" w:lineRule="auto"/>
              <w:rPr>
                <w:rFonts w:cs="Arial"/>
                <w:color w:val="auto"/>
                <w:lang w:eastAsia="en-AU"/>
              </w:rPr>
            </w:pPr>
            <w:r w:rsidRPr="004E6EF0">
              <w:rPr>
                <w:rFonts w:cs="Arial"/>
                <w:color w:val="auto"/>
                <w:lang w:eastAsia="en-AU"/>
              </w:rPr>
              <w:t>185</w:t>
            </w:r>
          </w:p>
        </w:tc>
        <w:tc>
          <w:tcPr>
            <w:tcW w:w="7603" w:type="dxa"/>
            <w:hideMark/>
          </w:tcPr>
          <w:p w14:paraId="383EECED" w14:textId="77777777" w:rsidR="00CB540F" w:rsidRPr="004E6EF0" w:rsidRDefault="00CB540F" w:rsidP="007D5029">
            <w:pPr>
              <w:spacing w:line="240" w:lineRule="auto"/>
              <w:rPr>
                <w:rFonts w:cs="Arial"/>
                <w:color w:val="auto"/>
                <w:lang w:eastAsia="en-AU"/>
              </w:rPr>
            </w:pPr>
            <w:r w:rsidRPr="004E6EF0">
              <w:rPr>
                <w:rFonts w:cs="Arial"/>
                <w:color w:val="auto"/>
                <w:lang w:eastAsia="en-AU"/>
              </w:rPr>
              <w:t>Universities Australia</w:t>
            </w:r>
          </w:p>
        </w:tc>
      </w:tr>
      <w:tr w:rsidR="00CB540F" w:rsidRPr="004E6EF0" w14:paraId="19E9F5FE" w14:textId="77777777" w:rsidTr="00A2598E">
        <w:trPr>
          <w:trHeight w:val="70"/>
          <w:tblHeader/>
        </w:trPr>
        <w:tc>
          <w:tcPr>
            <w:tcW w:w="1577" w:type="dxa"/>
            <w:noWrap/>
            <w:hideMark/>
          </w:tcPr>
          <w:p w14:paraId="5ACC6284" w14:textId="77777777" w:rsidR="00CB540F" w:rsidRPr="004E6EF0" w:rsidRDefault="00CB540F" w:rsidP="007D5029">
            <w:pPr>
              <w:spacing w:line="240" w:lineRule="auto"/>
              <w:rPr>
                <w:rFonts w:cs="Arial"/>
                <w:color w:val="auto"/>
                <w:lang w:eastAsia="en-AU"/>
              </w:rPr>
            </w:pPr>
            <w:r w:rsidRPr="004E6EF0">
              <w:rPr>
                <w:rFonts w:cs="Arial"/>
                <w:color w:val="auto"/>
                <w:lang w:eastAsia="en-AU"/>
              </w:rPr>
              <w:t>186</w:t>
            </w:r>
          </w:p>
        </w:tc>
        <w:tc>
          <w:tcPr>
            <w:tcW w:w="7603" w:type="dxa"/>
            <w:hideMark/>
          </w:tcPr>
          <w:p w14:paraId="6DEC363F"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Australian Fire and Emergency Service Authorities Council</w:t>
            </w:r>
          </w:p>
        </w:tc>
      </w:tr>
      <w:tr w:rsidR="00CB540F" w:rsidRPr="004E6EF0" w14:paraId="66A18B1F" w14:textId="77777777" w:rsidTr="00A2598E">
        <w:trPr>
          <w:trHeight w:val="255"/>
          <w:tblHeader/>
        </w:trPr>
        <w:tc>
          <w:tcPr>
            <w:tcW w:w="1577" w:type="dxa"/>
            <w:noWrap/>
            <w:hideMark/>
          </w:tcPr>
          <w:p w14:paraId="3F8EC25A" w14:textId="77777777" w:rsidR="00CB540F" w:rsidRPr="004E6EF0" w:rsidRDefault="00CB540F" w:rsidP="007D5029">
            <w:pPr>
              <w:spacing w:line="240" w:lineRule="auto"/>
              <w:rPr>
                <w:rFonts w:cs="Arial"/>
                <w:color w:val="auto"/>
                <w:lang w:eastAsia="en-AU"/>
              </w:rPr>
            </w:pPr>
            <w:r w:rsidRPr="004E6EF0">
              <w:rPr>
                <w:rFonts w:cs="Arial"/>
                <w:color w:val="auto"/>
                <w:lang w:eastAsia="en-AU"/>
              </w:rPr>
              <w:lastRenderedPageBreak/>
              <w:t>187</w:t>
            </w:r>
          </w:p>
        </w:tc>
        <w:tc>
          <w:tcPr>
            <w:tcW w:w="7603" w:type="dxa"/>
            <w:hideMark/>
          </w:tcPr>
          <w:p w14:paraId="62C2CF8F" w14:textId="77777777" w:rsidR="00CB540F" w:rsidRPr="004E6EF0" w:rsidRDefault="00CB540F" w:rsidP="007D5029">
            <w:pPr>
              <w:spacing w:line="240" w:lineRule="auto"/>
              <w:rPr>
                <w:rFonts w:cs="Arial"/>
                <w:color w:val="auto"/>
                <w:lang w:eastAsia="en-AU"/>
              </w:rPr>
            </w:pPr>
            <w:r w:rsidRPr="004E6EF0">
              <w:rPr>
                <w:rFonts w:cs="Arial"/>
                <w:color w:val="auto"/>
                <w:lang w:eastAsia="en-AU"/>
              </w:rPr>
              <w:t>Southern Cross University</w:t>
            </w:r>
          </w:p>
        </w:tc>
      </w:tr>
      <w:tr w:rsidR="00CB540F" w:rsidRPr="004E6EF0" w14:paraId="7ABCBDBF" w14:textId="77777777" w:rsidTr="00A2598E">
        <w:trPr>
          <w:trHeight w:val="255"/>
          <w:tblHeader/>
        </w:trPr>
        <w:tc>
          <w:tcPr>
            <w:tcW w:w="1577" w:type="dxa"/>
            <w:noWrap/>
            <w:hideMark/>
          </w:tcPr>
          <w:p w14:paraId="5E630CDC" w14:textId="77777777" w:rsidR="00CB540F" w:rsidRPr="004E6EF0" w:rsidRDefault="00CB540F" w:rsidP="007D5029">
            <w:pPr>
              <w:spacing w:line="240" w:lineRule="auto"/>
              <w:rPr>
                <w:rFonts w:cs="Arial"/>
                <w:color w:val="auto"/>
                <w:lang w:eastAsia="en-AU"/>
              </w:rPr>
            </w:pPr>
            <w:r w:rsidRPr="004E6EF0">
              <w:rPr>
                <w:rFonts w:cs="Arial"/>
                <w:color w:val="auto"/>
                <w:lang w:eastAsia="en-AU"/>
              </w:rPr>
              <w:t>188</w:t>
            </w:r>
          </w:p>
        </w:tc>
        <w:tc>
          <w:tcPr>
            <w:tcW w:w="7603" w:type="dxa"/>
            <w:hideMark/>
          </w:tcPr>
          <w:p w14:paraId="18F143A5" w14:textId="77777777" w:rsidR="00CB540F" w:rsidRPr="004E6EF0" w:rsidRDefault="00CB540F" w:rsidP="007D5029">
            <w:pPr>
              <w:spacing w:line="240" w:lineRule="auto"/>
              <w:rPr>
                <w:rFonts w:cs="Arial"/>
                <w:color w:val="auto"/>
                <w:lang w:eastAsia="en-AU"/>
              </w:rPr>
            </w:pPr>
            <w:r w:rsidRPr="004E6EF0">
              <w:rPr>
                <w:rFonts w:cs="Arial"/>
                <w:color w:val="auto"/>
                <w:lang w:eastAsia="en-AU"/>
              </w:rPr>
              <w:t>Charles Darwin University</w:t>
            </w:r>
          </w:p>
        </w:tc>
      </w:tr>
      <w:tr w:rsidR="00CB540F" w:rsidRPr="004E6EF0" w14:paraId="77FCA783" w14:textId="77777777" w:rsidTr="00A2598E">
        <w:trPr>
          <w:trHeight w:val="255"/>
          <w:tblHeader/>
        </w:trPr>
        <w:tc>
          <w:tcPr>
            <w:tcW w:w="1577" w:type="dxa"/>
            <w:noWrap/>
            <w:hideMark/>
          </w:tcPr>
          <w:p w14:paraId="35C83A0E" w14:textId="77777777" w:rsidR="00CB540F" w:rsidRPr="004E6EF0" w:rsidRDefault="00CB540F" w:rsidP="007D5029">
            <w:pPr>
              <w:spacing w:line="240" w:lineRule="auto"/>
              <w:rPr>
                <w:rFonts w:cs="Arial"/>
                <w:color w:val="auto"/>
                <w:lang w:eastAsia="en-AU"/>
              </w:rPr>
            </w:pPr>
            <w:r w:rsidRPr="004E6EF0">
              <w:rPr>
                <w:rFonts w:cs="Arial"/>
                <w:color w:val="auto"/>
                <w:lang w:eastAsia="en-AU"/>
              </w:rPr>
              <w:t>189</w:t>
            </w:r>
          </w:p>
        </w:tc>
        <w:tc>
          <w:tcPr>
            <w:tcW w:w="7603" w:type="dxa"/>
            <w:hideMark/>
          </w:tcPr>
          <w:p w14:paraId="5D67F3B1" w14:textId="77777777" w:rsidR="00CB540F" w:rsidRPr="004E6EF0" w:rsidRDefault="00CB540F" w:rsidP="007D5029">
            <w:pPr>
              <w:spacing w:line="240" w:lineRule="auto"/>
              <w:rPr>
                <w:rFonts w:cs="Arial"/>
                <w:color w:val="auto"/>
                <w:lang w:eastAsia="en-AU"/>
              </w:rPr>
            </w:pPr>
            <w:r w:rsidRPr="004E6EF0">
              <w:rPr>
                <w:rFonts w:cs="Arial"/>
                <w:color w:val="auto"/>
                <w:lang w:eastAsia="en-AU"/>
              </w:rPr>
              <w:t>CRC Association</w:t>
            </w:r>
          </w:p>
        </w:tc>
      </w:tr>
      <w:tr w:rsidR="00CB540F" w:rsidRPr="004E6EF0" w14:paraId="13DD1031" w14:textId="77777777" w:rsidTr="00A2598E">
        <w:trPr>
          <w:trHeight w:val="255"/>
          <w:tblHeader/>
        </w:trPr>
        <w:tc>
          <w:tcPr>
            <w:tcW w:w="1577" w:type="dxa"/>
            <w:noWrap/>
            <w:hideMark/>
          </w:tcPr>
          <w:p w14:paraId="32B3411B" w14:textId="77777777" w:rsidR="00CB540F" w:rsidRPr="004E6EF0" w:rsidRDefault="00CB540F" w:rsidP="007D5029">
            <w:pPr>
              <w:spacing w:line="240" w:lineRule="auto"/>
              <w:rPr>
                <w:rFonts w:cs="Arial"/>
                <w:color w:val="auto"/>
                <w:lang w:eastAsia="en-AU"/>
              </w:rPr>
            </w:pPr>
            <w:r w:rsidRPr="004E6EF0">
              <w:rPr>
                <w:rFonts w:cs="Arial"/>
                <w:color w:val="auto"/>
                <w:lang w:eastAsia="en-AU"/>
              </w:rPr>
              <w:t>190</w:t>
            </w:r>
          </w:p>
        </w:tc>
        <w:tc>
          <w:tcPr>
            <w:tcW w:w="7603" w:type="dxa"/>
            <w:hideMark/>
          </w:tcPr>
          <w:p w14:paraId="21D56DAB" w14:textId="77777777" w:rsidR="00CB540F" w:rsidRPr="004E6EF0" w:rsidRDefault="00CB540F" w:rsidP="007D5029">
            <w:pPr>
              <w:spacing w:line="240" w:lineRule="auto"/>
              <w:rPr>
                <w:rFonts w:cs="Arial"/>
                <w:color w:val="auto"/>
                <w:lang w:eastAsia="en-AU"/>
              </w:rPr>
            </w:pPr>
            <w:r w:rsidRPr="004E6EF0">
              <w:rPr>
                <w:rFonts w:cs="Arial"/>
                <w:color w:val="auto"/>
                <w:lang w:eastAsia="en-AU"/>
              </w:rPr>
              <w:t>Advanced Manufacturing CRC</w:t>
            </w:r>
          </w:p>
        </w:tc>
      </w:tr>
      <w:tr w:rsidR="00CB540F" w:rsidRPr="004E6EF0" w14:paraId="1F0932E8" w14:textId="77777777" w:rsidTr="00A2598E">
        <w:trPr>
          <w:trHeight w:val="255"/>
          <w:tblHeader/>
        </w:trPr>
        <w:tc>
          <w:tcPr>
            <w:tcW w:w="1577" w:type="dxa"/>
            <w:noWrap/>
            <w:hideMark/>
          </w:tcPr>
          <w:p w14:paraId="22C2DDD4" w14:textId="77777777" w:rsidR="00CB540F" w:rsidRPr="004E6EF0" w:rsidRDefault="00CB540F" w:rsidP="007D5029">
            <w:pPr>
              <w:spacing w:line="240" w:lineRule="auto"/>
              <w:rPr>
                <w:rFonts w:cs="Arial"/>
                <w:color w:val="auto"/>
                <w:lang w:eastAsia="en-AU"/>
              </w:rPr>
            </w:pPr>
            <w:r w:rsidRPr="004E6EF0">
              <w:rPr>
                <w:rFonts w:cs="Arial"/>
                <w:color w:val="auto"/>
                <w:lang w:eastAsia="en-AU"/>
              </w:rPr>
              <w:t>191</w:t>
            </w:r>
          </w:p>
        </w:tc>
        <w:tc>
          <w:tcPr>
            <w:tcW w:w="7603" w:type="dxa"/>
            <w:hideMark/>
          </w:tcPr>
          <w:p w14:paraId="28C4C012" w14:textId="77777777" w:rsidR="00CB540F" w:rsidRPr="004E6EF0" w:rsidRDefault="00CB540F" w:rsidP="007D5029">
            <w:pPr>
              <w:spacing w:line="240" w:lineRule="auto"/>
              <w:rPr>
                <w:rFonts w:cs="Arial"/>
                <w:color w:val="auto"/>
                <w:lang w:eastAsia="en-AU"/>
              </w:rPr>
            </w:pPr>
            <w:r w:rsidRPr="004E6EF0">
              <w:rPr>
                <w:rFonts w:cs="Arial"/>
                <w:color w:val="auto"/>
                <w:lang w:eastAsia="en-AU"/>
              </w:rPr>
              <w:t>Central Queensland University</w:t>
            </w:r>
          </w:p>
        </w:tc>
      </w:tr>
      <w:tr w:rsidR="00CB540F" w:rsidRPr="004E6EF0" w14:paraId="539FFC8E" w14:textId="77777777" w:rsidTr="00A2598E">
        <w:trPr>
          <w:trHeight w:val="255"/>
          <w:tblHeader/>
        </w:trPr>
        <w:tc>
          <w:tcPr>
            <w:tcW w:w="1577" w:type="dxa"/>
            <w:noWrap/>
            <w:hideMark/>
          </w:tcPr>
          <w:p w14:paraId="3EF2A2E2" w14:textId="77777777" w:rsidR="00CB540F" w:rsidRPr="004E6EF0" w:rsidRDefault="00CB540F" w:rsidP="007D5029">
            <w:pPr>
              <w:spacing w:line="240" w:lineRule="auto"/>
              <w:rPr>
                <w:rFonts w:cs="Arial"/>
                <w:color w:val="auto"/>
                <w:lang w:eastAsia="en-AU"/>
              </w:rPr>
            </w:pPr>
            <w:r w:rsidRPr="004E6EF0">
              <w:rPr>
                <w:rFonts w:cs="Arial"/>
                <w:color w:val="auto"/>
                <w:lang w:eastAsia="en-AU"/>
              </w:rPr>
              <w:t>192</w:t>
            </w:r>
          </w:p>
        </w:tc>
        <w:tc>
          <w:tcPr>
            <w:tcW w:w="7603" w:type="dxa"/>
            <w:hideMark/>
          </w:tcPr>
          <w:p w14:paraId="7D5F7F35" w14:textId="77777777" w:rsidR="00CB540F" w:rsidRPr="004E6EF0" w:rsidRDefault="00CB540F" w:rsidP="007D5029">
            <w:pPr>
              <w:spacing w:line="240" w:lineRule="auto"/>
              <w:rPr>
                <w:rFonts w:cs="Arial"/>
                <w:color w:val="auto"/>
                <w:lang w:eastAsia="en-AU"/>
              </w:rPr>
            </w:pPr>
            <w:r w:rsidRPr="004E6EF0">
              <w:rPr>
                <w:rFonts w:cs="Arial"/>
                <w:color w:val="auto"/>
                <w:lang w:eastAsia="en-AU"/>
              </w:rPr>
              <w:t>Strategic Project Partners</w:t>
            </w:r>
          </w:p>
        </w:tc>
      </w:tr>
      <w:tr w:rsidR="00CB540F" w:rsidRPr="004E6EF0" w14:paraId="44A01934" w14:textId="77777777" w:rsidTr="00A2598E">
        <w:trPr>
          <w:trHeight w:val="70"/>
          <w:tblHeader/>
        </w:trPr>
        <w:tc>
          <w:tcPr>
            <w:tcW w:w="1577" w:type="dxa"/>
            <w:noWrap/>
            <w:hideMark/>
          </w:tcPr>
          <w:p w14:paraId="3BA8A76E" w14:textId="77777777" w:rsidR="00CB540F" w:rsidRPr="004E6EF0" w:rsidRDefault="00CB540F" w:rsidP="007D5029">
            <w:pPr>
              <w:spacing w:line="240" w:lineRule="auto"/>
              <w:rPr>
                <w:rFonts w:cs="Arial"/>
                <w:color w:val="auto"/>
                <w:lang w:eastAsia="en-AU"/>
              </w:rPr>
            </w:pPr>
            <w:r w:rsidRPr="004E6EF0">
              <w:rPr>
                <w:rFonts w:cs="Arial"/>
                <w:color w:val="auto"/>
                <w:lang w:eastAsia="en-AU"/>
              </w:rPr>
              <w:t>193</w:t>
            </w:r>
          </w:p>
        </w:tc>
        <w:tc>
          <w:tcPr>
            <w:tcW w:w="7603" w:type="dxa"/>
            <w:hideMark/>
          </w:tcPr>
          <w:p w14:paraId="502C0A9D" w14:textId="77777777" w:rsidR="00CB540F" w:rsidRPr="004E6EF0" w:rsidRDefault="00CB540F" w:rsidP="007D5029">
            <w:pPr>
              <w:spacing w:line="240" w:lineRule="auto"/>
              <w:rPr>
                <w:rFonts w:cs="Arial"/>
                <w:color w:val="auto"/>
                <w:lang w:eastAsia="en-AU"/>
              </w:rPr>
            </w:pPr>
            <w:r w:rsidRPr="004E6EF0">
              <w:rPr>
                <w:rFonts w:cs="Arial"/>
                <w:color w:val="auto"/>
                <w:lang w:eastAsia="en-AU"/>
              </w:rPr>
              <w:t>ACT Emergency Services Agency</w:t>
            </w:r>
          </w:p>
        </w:tc>
      </w:tr>
      <w:tr w:rsidR="00CB540F" w:rsidRPr="004E6EF0" w14:paraId="6501A666" w14:textId="77777777" w:rsidTr="00A2598E">
        <w:trPr>
          <w:trHeight w:val="255"/>
          <w:tblHeader/>
        </w:trPr>
        <w:tc>
          <w:tcPr>
            <w:tcW w:w="1577" w:type="dxa"/>
            <w:noWrap/>
            <w:hideMark/>
          </w:tcPr>
          <w:p w14:paraId="4CF3B682" w14:textId="77777777" w:rsidR="00CB540F" w:rsidRPr="004E6EF0" w:rsidRDefault="00CB540F" w:rsidP="007D5029">
            <w:pPr>
              <w:spacing w:line="240" w:lineRule="auto"/>
              <w:rPr>
                <w:rFonts w:cs="Arial"/>
                <w:color w:val="auto"/>
                <w:lang w:eastAsia="en-AU"/>
              </w:rPr>
            </w:pPr>
            <w:r w:rsidRPr="004E6EF0">
              <w:rPr>
                <w:rFonts w:cs="Arial"/>
                <w:color w:val="auto"/>
                <w:lang w:eastAsia="en-AU"/>
              </w:rPr>
              <w:t>194</w:t>
            </w:r>
          </w:p>
        </w:tc>
        <w:tc>
          <w:tcPr>
            <w:tcW w:w="7603" w:type="dxa"/>
            <w:hideMark/>
          </w:tcPr>
          <w:p w14:paraId="3CAD722B" w14:textId="77777777" w:rsidR="00CB540F" w:rsidRPr="004E6EF0" w:rsidRDefault="00CB540F" w:rsidP="007D5029">
            <w:pPr>
              <w:spacing w:line="240" w:lineRule="auto"/>
              <w:rPr>
                <w:rFonts w:cs="Arial"/>
                <w:color w:val="auto"/>
                <w:lang w:eastAsia="en-AU"/>
              </w:rPr>
            </w:pPr>
            <w:r w:rsidRPr="004E6EF0">
              <w:rPr>
                <w:rFonts w:cs="Arial"/>
                <w:color w:val="auto"/>
                <w:lang w:eastAsia="en-AU"/>
              </w:rPr>
              <w:t>Stephen Prowse</w:t>
            </w:r>
          </w:p>
        </w:tc>
      </w:tr>
      <w:tr w:rsidR="00CB540F" w:rsidRPr="004E6EF0" w14:paraId="2650FE27" w14:textId="77777777" w:rsidTr="00A2598E">
        <w:trPr>
          <w:trHeight w:val="255"/>
          <w:tblHeader/>
        </w:trPr>
        <w:tc>
          <w:tcPr>
            <w:tcW w:w="1577" w:type="dxa"/>
            <w:noWrap/>
            <w:hideMark/>
          </w:tcPr>
          <w:p w14:paraId="0B597B89" w14:textId="77777777" w:rsidR="00CB540F" w:rsidRPr="004E6EF0" w:rsidRDefault="00CB540F" w:rsidP="007D5029">
            <w:pPr>
              <w:spacing w:line="240" w:lineRule="auto"/>
              <w:rPr>
                <w:rFonts w:cs="Arial"/>
                <w:color w:val="auto"/>
                <w:lang w:eastAsia="en-AU"/>
              </w:rPr>
            </w:pPr>
            <w:r w:rsidRPr="004E6EF0">
              <w:rPr>
                <w:rFonts w:cs="Arial"/>
                <w:color w:val="auto"/>
                <w:lang w:eastAsia="en-AU"/>
              </w:rPr>
              <w:t>195</w:t>
            </w:r>
          </w:p>
        </w:tc>
        <w:tc>
          <w:tcPr>
            <w:tcW w:w="7603" w:type="dxa"/>
            <w:hideMark/>
          </w:tcPr>
          <w:p w14:paraId="02E50081" w14:textId="77777777" w:rsidR="00CB540F" w:rsidRPr="004E6EF0" w:rsidRDefault="00CB540F" w:rsidP="007D5029">
            <w:pPr>
              <w:spacing w:line="240" w:lineRule="auto"/>
              <w:rPr>
                <w:rFonts w:cs="Arial"/>
                <w:color w:val="auto"/>
                <w:lang w:eastAsia="en-AU"/>
              </w:rPr>
            </w:pPr>
            <w:r w:rsidRPr="004E6EF0">
              <w:rPr>
                <w:rFonts w:cs="Arial"/>
                <w:color w:val="auto"/>
                <w:lang w:eastAsia="en-AU"/>
              </w:rPr>
              <w:t>Department of Health (VIC)</w:t>
            </w:r>
          </w:p>
        </w:tc>
      </w:tr>
      <w:tr w:rsidR="00CB540F" w:rsidRPr="004E6EF0" w14:paraId="1AE33A06" w14:textId="77777777" w:rsidTr="00A2598E">
        <w:trPr>
          <w:trHeight w:val="255"/>
          <w:tblHeader/>
        </w:trPr>
        <w:tc>
          <w:tcPr>
            <w:tcW w:w="1577" w:type="dxa"/>
            <w:noWrap/>
            <w:hideMark/>
          </w:tcPr>
          <w:p w14:paraId="0C32D4DF" w14:textId="77777777" w:rsidR="00CB540F" w:rsidRPr="004E6EF0" w:rsidRDefault="00CB540F" w:rsidP="007D5029">
            <w:pPr>
              <w:spacing w:line="240" w:lineRule="auto"/>
              <w:rPr>
                <w:rFonts w:cs="Arial"/>
                <w:color w:val="auto"/>
                <w:lang w:eastAsia="en-AU"/>
              </w:rPr>
            </w:pPr>
            <w:r w:rsidRPr="004E6EF0">
              <w:rPr>
                <w:rFonts w:cs="Arial"/>
                <w:color w:val="auto"/>
                <w:lang w:eastAsia="en-AU"/>
              </w:rPr>
              <w:t>196</w:t>
            </w:r>
          </w:p>
        </w:tc>
        <w:tc>
          <w:tcPr>
            <w:tcW w:w="7603" w:type="dxa"/>
            <w:hideMark/>
          </w:tcPr>
          <w:p w14:paraId="151D2A0F" w14:textId="77777777" w:rsidR="00CB540F" w:rsidRPr="004E6EF0" w:rsidRDefault="00CB540F" w:rsidP="007D5029">
            <w:pPr>
              <w:spacing w:line="240" w:lineRule="auto"/>
              <w:rPr>
                <w:rFonts w:cs="Arial"/>
                <w:color w:val="auto"/>
                <w:lang w:eastAsia="en-AU"/>
              </w:rPr>
            </w:pPr>
            <w:r w:rsidRPr="004E6EF0">
              <w:rPr>
                <w:rFonts w:cs="Arial"/>
                <w:color w:val="auto"/>
                <w:lang w:eastAsia="en-AU"/>
              </w:rPr>
              <w:t>Twitter Australia</w:t>
            </w:r>
          </w:p>
        </w:tc>
      </w:tr>
      <w:tr w:rsidR="00CB540F" w:rsidRPr="004E6EF0" w14:paraId="7992BA04" w14:textId="77777777" w:rsidTr="00A2598E">
        <w:trPr>
          <w:trHeight w:val="255"/>
          <w:tblHeader/>
        </w:trPr>
        <w:tc>
          <w:tcPr>
            <w:tcW w:w="1577" w:type="dxa"/>
            <w:noWrap/>
            <w:hideMark/>
          </w:tcPr>
          <w:p w14:paraId="1A35B0FA" w14:textId="77777777" w:rsidR="00CB540F" w:rsidRPr="004E6EF0" w:rsidRDefault="00CB540F" w:rsidP="007D5029">
            <w:pPr>
              <w:spacing w:line="240" w:lineRule="auto"/>
              <w:rPr>
                <w:rFonts w:cs="Arial"/>
                <w:color w:val="auto"/>
                <w:lang w:eastAsia="en-AU"/>
              </w:rPr>
            </w:pPr>
            <w:r w:rsidRPr="004E6EF0">
              <w:rPr>
                <w:rFonts w:cs="Arial"/>
                <w:color w:val="auto"/>
                <w:lang w:eastAsia="en-AU"/>
              </w:rPr>
              <w:t>197</w:t>
            </w:r>
          </w:p>
        </w:tc>
        <w:tc>
          <w:tcPr>
            <w:tcW w:w="7603" w:type="dxa"/>
            <w:hideMark/>
          </w:tcPr>
          <w:p w14:paraId="18D33486" w14:textId="77777777" w:rsidR="00CB540F" w:rsidRPr="004E6EF0" w:rsidRDefault="00CB540F" w:rsidP="007D5029">
            <w:pPr>
              <w:spacing w:line="240" w:lineRule="auto"/>
              <w:rPr>
                <w:rFonts w:cs="Arial"/>
                <w:color w:val="auto"/>
                <w:lang w:eastAsia="en-AU"/>
              </w:rPr>
            </w:pPr>
            <w:r w:rsidRPr="004E6EF0">
              <w:rPr>
                <w:rFonts w:cs="Arial"/>
                <w:color w:val="auto"/>
                <w:lang w:eastAsia="en-AU"/>
              </w:rPr>
              <w:t>SMR Automotive Australia Pty Limited</w:t>
            </w:r>
          </w:p>
        </w:tc>
      </w:tr>
      <w:tr w:rsidR="00CB540F" w:rsidRPr="004E6EF0" w14:paraId="73AAADC3" w14:textId="77777777" w:rsidTr="00A2598E">
        <w:trPr>
          <w:trHeight w:val="255"/>
          <w:tblHeader/>
        </w:trPr>
        <w:tc>
          <w:tcPr>
            <w:tcW w:w="1577" w:type="dxa"/>
            <w:noWrap/>
            <w:hideMark/>
          </w:tcPr>
          <w:p w14:paraId="0CF71448" w14:textId="77777777" w:rsidR="00CB540F" w:rsidRPr="004E6EF0" w:rsidRDefault="00CB540F" w:rsidP="007D5029">
            <w:pPr>
              <w:spacing w:line="240" w:lineRule="auto"/>
              <w:rPr>
                <w:rFonts w:cs="Arial"/>
                <w:color w:val="auto"/>
                <w:lang w:eastAsia="en-AU"/>
              </w:rPr>
            </w:pPr>
            <w:r w:rsidRPr="004E6EF0">
              <w:rPr>
                <w:rFonts w:cs="Arial"/>
                <w:color w:val="auto"/>
                <w:lang w:eastAsia="en-AU"/>
              </w:rPr>
              <w:t>198</w:t>
            </w:r>
          </w:p>
        </w:tc>
        <w:tc>
          <w:tcPr>
            <w:tcW w:w="7603" w:type="dxa"/>
            <w:hideMark/>
          </w:tcPr>
          <w:p w14:paraId="7DD1C620"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Futuris</w:t>
            </w:r>
            <w:proofErr w:type="spellEnd"/>
            <w:r w:rsidRPr="004E6EF0">
              <w:rPr>
                <w:rFonts w:cs="Arial"/>
                <w:color w:val="auto"/>
                <w:lang w:eastAsia="en-AU"/>
              </w:rPr>
              <w:t xml:space="preserve"> Automotive Interiors (Australia) Pty Ltd</w:t>
            </w:r>
          </w:p>
        </w:tc>
      </w:tr>
      <w:tr w:rsidR="00CB540F" w:rsidRPr="004E6EF0" w14:paraId="0070EC0C" w14:textId="77777777" w:rsidTr="00A2598E">
        <w:trPr>
          <w:trHeight w:val="255"/>
          <w:tblHeader/>
        </w:trPr>
        <w:tc>
          <w:tcPr>
            <w:tcW w:w="1577" w:type="dxa"/>
            <w:noWrap/>
            <w:hideMark/>
          </w:tcPr>
          <w:p w14:paraId="75D90082" w14:textId="77777777" w:rsidR="00CB540F" w:rsidRPr="004E6EF0" w:rsidRDefault="00CB540F" w:rsidP="007D5029">
            <w:pPr>
              <w:spacing w:line="240" w:lineRule="auto"/>
              <w:rPr>
                <w:rFonts w:cs="Arial"/>
                <w:color w:val="auto"/>
                <w:lang w:eastAsia="en-AU"/>
              </w:rPr>
            </w:pPr>
            <w:r w:rsidRPr="004E6EF0">
              <w:rPr>
                <w:rFonts w:cs="Arial"/>
                <w:color w:val="auto"/>
                <w:lang w:eastAsia="en-AU"/>
              </w:rPr>
              <w:t>199</w:t>
            </w:r>
          </w:p>
        </w:tc>
        <w:tc>
          <w:tcPr>
            <w:tcW w:w="7603" w:type="dxa"/>
            <w:hideMark/>
          </w:tcPr>
          <w:p w14:paraId="20F56002" w14:textId="77777777" w:rsidR="00CB540F" w:rsidRPr="004E6EF0" w:rsidRDefault="00CB540F" w:rsidP="007D5029">
            <w:pPr>
              <w:spacing w:line="240" w:lineRule="auto"/>
              <w:rPr>
                <w:rFonts w:cs="Arial"/>
                <w:color w:val="auto"/>
                <w:lang w:eastAsia="en-AU"/>
              </w:rPr>
            </w:pPr>
            <w:r w:rsidRPr="004E6EF0">
              <w:rPr>
                <w:rFonts w:cs="Arial"/>
                <w:color w:val="auto"/>
                <w:lang w:eastAsia="en-AU"/>
              </w:rPr>
              <w:t>Suncorp</w:t>
            </w:r>
          </w:p>
        </w:tc>
      </w:tr>
      <w:tr w:rsidR="00CB540F" w:rsidRPr="004E6EF0" w14:paraId="4B7FC827" w14:textId="77777777" w:rsidTr="00A2598E">
        <w:trPr>
          <w:trHeight w:val="255"/>
          <w:tblHeader/>
        </w:trPr>
        <w:tc>
          <w:tcPr>
            <w:tcW w:w="1577" w:type="dxa"/>
            <w:noWrap/>
            <w:hideMark/>
          </w:tcPr>
          <w:p w14:paraId="071C2822" w14:textId="77777777" w:rsidR="00CB540F" w:rsidRPr="004E6EF0" w:rsidRDefault="00CB540F" w:rsidP="007D5029">
            <w:pPr>
              <w:spacing w:line="240" w:lineRule="auto"/>
              <w:rPr>
                <w:rFonts w:cs="Arial"/>
                <w:color w:val="auto"/>
                <w:lang w:eastAsia="en-AU"/>
              </w:rPr>
            </w:pPr>
            <w:r w:rsidRPr="004E6EF0">
              <w:rPr>
                <w:rFonts w:cs="Arial"/>
                <w:color w:val="auto"/>
                <w:lang w:eastAsia="en-AU"/>
              </w:rPr>
              <w:t>200</w:t>
            </w:r>
          </w:p>
        </w:tc>
        <w:tc>
          <w:tcPr>
            <w:tcW w:w="7603" w:type="dxa"/>
            <w:hideMark/>
          </w:tcPr>
          <w:p w14:paraId="5E3C546D" w14:textId="77777777" w:rsidR="00CB540F" w:rsidRPr="004E6EF0" w:rsidRDefault="00CB540F" w:rsidP="007D5029">
            <w:pPr>
              <w:spacing w:line="240" w:lineRule="auto"/>
              <w:rPr>
                <w:rFonts w:cs="Arial"/>
                <w:color w:val="auto"/>
                <w:lang w:eastAsia="en-AU"/>
              </w:rPr>
            </w:pPr>
            <w:r w:rsidRPr="004E6EF0">
              <w:rPr>
                <w:rFonts w:cs="Arial"/>
                <w:color w:val="auto"/>
                <w:lang w:eastAsia="en-AU"/>
              </w:rPr>
              <w:t>Precision Pastoral</w:t>
            </w:r>
          </w:p>
        </w:tc>
      </w:tr>
      <w:tr w:rsidR="00CB540F" w:rsidRPr="004E6EF0" w14:paraId="403B11CD" w14:textId="77777777" w:rsidTr="00A2598E">
        <w:trPr>
          <w:trHeight w:val="255"/>
          <w:tblHeader/>
        </w:trPr>
        <w:tc>
          <w:tcPr>
            <w:tcW w:w="1577" w:type="dxa"/>
            <w:noWrap/>
            <w:hideMark/>
          </w:tcPr>
          <w:p w14:paraId="002E6DA4" w14:textId="77777777" w:rsidR="00CB540F" w:rsidRPr="004E6EF0" w:rsidRDefault="00CB540F" w:rsidP="007D5029">
            <w:pPr>
              <w:spacing w:line="240" w:lineRule="auto"/>
              <w:rPr>
                <w:rFonts w:cs="Arial"/>
                <w:color w:val="auto"/>
                <w:lang w:eastAsia="en-AU"/>
              </w:rPr>
            </w:pPr>
            <w:r w:rsidRPr="004E6EF0">
              <w:rPr>
                <w:rFonts w:cs="Arial"/>
                <w:color w:val="auto"/>
                <w:lang w:eastAsia="en-AU"/>
              </w:rPr>
              <w:t>201</w:t>
            </w:r>
          </w:p>
        </w:tc>
        <w:tc>
          <w:tcPr>
            <w:tcW w:w="7603" w:type="dxa"/>
            <w:hideMark/>
          </w:tcPr>
          <w:p w14:paraId="1030EE85"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Wendy </w:t>
            </w:r>
            <w:proofErr w:type="spellStart"/>
            <w:r w:rsidRPr="004E6EF0">
              <w:rPr>
                <w:rFonts w:cs="Arial"/>
                <w:color w:val="auto"/>
                <w:lang w:eastAsia="en-AU"/>
              </w:rPr>
              <w:t>Kiefel</w:t>
            </w:r>
            <w:proofErr w:type="spellEnd"/>
          </w:p>
        </w:tc>
      </w:tr>
      <w:tr w:rsidR="00CB540F" w:rsidRPr="004E6EF0" w14:paraId="73A1C2D8" w14:textId="77777777" w:rsidTr="00A2598E">
        <w:trPr>
          <w:trHeight w:val="255"/>
          <w:tblHeader/>
        </w:trPr>
        <w:tc>
          <w:tcPr>
            <w:tcW w:w="1577" w:type="dxa"/>
            <w:noWrap/>
            <w:hideMark/>
          </w:tcPr>
          <w:p w14:paraId="3526B122" w14:textId="77777777" w:rsidR="00CB540F" w:rsidRPr="004E6EF0" w:rsidRDefault="00CB540F" w:rsidP="007D5029">
            <w:pPr>
              <w:spacing w:line="240" w:lineRule="auto"/>
              <w:rPr>
                <w:rFonts w:cs="Arial"/>
                <w:color w:val="auto"/>
                <w:lang w:eastAsia="en-AU"/>
              </w:rPr>
            </w:pPr>
            <w:r w:rsidRPr="004E6EF0">
              <w:rPr>
                <w:rFonts w:cs="Arial"/>
                <w:color w:val="auto"/>
                <w:lang w:eastAsia="en-AU"/>
              </w:rPr>
              <w:t>202</w:t>
            </w:r>
          </w:p>
        </w:tc>
        <w:tc>
          <w:tcPr>
            <w:tcW w:w="7603" w:type="dxa"/>
            <w:hideMark/>
          </w:tcPr>
          <w:p w14:paraId="2866323B" w14:textId="77777777" w:rsidR="00CB540F" w:rsidRPr="004E6EF0" w:rsidRDefault="00CB540F" w:rsidP="007D5029">
            <w:pPr>
              <w:spacing w:line="240" w:lineRule="auto"/>
              <w:rPr>
                <w:rFonts w:cs="Arial"/>
                <w:color w:val="auto"/>
                <w:lang w:eastAsia="en-AU"/>
              </w:rPr>
            </w:pPr>
            <w:r w:rsidRPr="004E6EF0">
              <w:rPr>
                <w:rFonts w:cs="Arial"/>
                <w:color w:val="auto"/>
                <w:lang w:eastAsia="en-AU"/>
              </w:rPr>
              <w:t>Flow Systems</w:t>
            </w:r>
          </w:p>
        </w:tc>
      </w:tr>
      <w:tr w:rsidR="00CB540F" w:rsidRPr="004E6EF0" w14:paraId="5B2911DD" w14:textId="77777777" w:rsidTr="00A2598E">
        <w:trPr>
          <w:trHeight w:val="255"/>
          <w:tblHeader/>
        </w:trPr>
        <w:tc>
          <w:tcPr>
            <w:tcW w:w="1577" w:type="dxa"/>
            <w:noWrap/>
            <w:hideMark/>
          </w:tcPr>
          <w:p w14:paraId="1FBCC844" w14:textId="77777777" w:rsidR="00CB540F" w:rsidRPr="004E6EF0" w:rsidRDefault="00CB540F" w:rsidP="007D5029">
            <w:pPr>
              <w:spacing w:line="240" w:lineRule="auto"/>
              <w:rPr>
                <w:rFonts w:cs="Arial"/>
                <w:color w:val="auto"/>
                <w:lang w:eastAsia="en-AU"/>
              </w:rPr>
            </w:pPr>
            <w:r w:rsidRPr="004E6EF0">
              <w:rPr>
                <w:rFonts w:cs="Arial"/>
                <w:color w:val="auto"/>
                <w:lang w:eastAsia="en-AU"/>
              </w:rPr>
              <w:t>203</w:t>
            </w:r>
          </w:p>
        </w:tc>
        <w:tc>
          <w:tcPr>
            <w:tcW w:w="7603" w:type="dxa"/>
            <w:hideMark/>
          </w:tcPr>
          <w:p w14:paraId="285B8C7B"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Australian Superfine Wool Growers Association</w:t>
            </w:r>
          </w:p>
        </w:tc>
      </w:tr>
      <w:tr w:rsidR="00CB540F" w:rsidRPr="004E6EF0" w14:paraId="6FBB9FBA" w14:textId="77777777" w:rsidTr="00A2598E">
        <w:trPr>
          <w:trHeight w:val="255"/>
          <w:tblHeader/>
        </w:trPr>
        <w:tc>
          <w:tcPr>
            <w:tcW w:w="1577" w:type="dxa"/>
            <w:noWrap/>
            <w:hideMark/>
          </w:tcPr>
          <w:p w14:paraId="519F3A8E" w14:textId="77777777" w:rsidR="00CB540F" w:rsidRPr="004E6EF0" w:rsidRDefault="00CB540F" w:rsidP="007D5029">
            <w:pPr>
              <w:spacing w:line="240" w:lineRule="auto"/>
              <w:rPr>
                <w:rFonts w:cs="Arial"/>
                <w:color w:val="auto"/>
                <w:lang w:eastAsia="en-AU"/>
              </w:rPr>
            </w:pPr>
            <w:r w:rsidRPr="004E6EF0">
              <w:rPr>
                <w:rFonts w:cs="Arial"/>
                <w:color w:val="auto"/>
                <w:lang w:eastAsia="en-AU"/>
              </w:rPr>
              <w:t>204</w:t>
            </w:r>
          </w:p>
        </w:tc>
        <w:tc>
          <w:tcPr>
            <w:tcW w:w="7603" w:type="dxa"/>
            <w:hideMark/>
          </w:tcPr>
          <w:p w14:paraId="6496294F"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Helen </w:t>
            </w:r>
            <w:proofErr w:type="spellStart"/>
            <w:r w:rsidRPr="004E6EF0">
              <w:rPr>
                <w:rFonts w:cs="Arial"/>
                <w:color w:val="auto"/>
                <w:lang w:eastAsia="en-AU"/>
              </w:rPr>
              <w:t>Cathles</w:t>
            </w:r>
            <w:proofErr w:type="spellEnd"/>
          </w:p>
        </w:tc>
      </w:tr>
      <w:tr w:rsidR="00CB540F" w:rsidRPr="004E6EF0" w14:paraId="0AF392E0" w14:textId="77777777" w:rsidTr="00A2598E">
        <w:trPr>
          <w:trHeight w:val="70"/>
          <w:tblHeader/>
        </w:trPr>
        <w:tc>
          <w:tcPr>
            <w:tcW w:w="1577" w:type="dxa"/>
            <w:noWrap/>
            <w:hideMark/>
          </w:tcPr>
          <w:p w14:paraId="0BEB8F38" w14:textId="77777777" w:rsidR="00CB540F" w:rsidRPr="004E6EF0" w:rsidRDefault="00CB540F" w:rsidP="007D5029">
            <w:pPr>
              <w:spacing w:line="240" w:lineRule="auto"/>
              <w:rPr>
                <w:rFonts w:cs="Arial"/>
                <w:color w:val="auto"/>
                <w:lang w:eastAsia="en-AU"/>
              </w:rPr>
            </w:pPr>
            <w:r w:rsidRPr="004E6EF0">
              <w:rPr>
                <w:rFonts w:cs="Arial"/>
                <w:color w:val="auto"/>
                <w:lang w:eastAsia="en-AU"/>
              </w:rPr>
              <w:t>205</w:t>
            </w:r>
          </w:p>
        </w:tc>
        <w:tc>
          <w:tcPr>
            <w:tcW w:w="7603" w:type="dxa"/>
            <w:hideMark/>
          </w:tcPr>
          <w:p w14:paraId="66E2195B" w14:textId="77777777" w:rsidR="00CB540F" w:rsidRPr="004E6EF0" w:rsidRDefault="00CB540F" w:rsidP="007D5029">
            <w:pPr>
              <w:spacing w:line="240" w:lineRule="auto"/>
              <w:rPr>
                <w:rFonts w:cs="Arial"/>
                <w:color w:val="auto"/>
                <w:lang w:eastAsia="en-AU"/>
              </w:rPr>
            </w:pPr>
            <w:r w:rsidRPr="004E6EF0">
              <w:rPr>
                <w:rFonts w:cs="Arial"/>
                <w:color w:val="auto"/>
                <w:lang w:eastAsia="en-AU"/>
              </w:rPr>
              <w:t>Barrick Gold Corporation</w:t>
            </w:r>
          </w:p>
        </w:tc>
      </w:tr>
      <w:tr w:rsidR="00CB540F" w:rsidRPr="004E6EF0" w14:paraId="0A5CD7BB" w14:textId="77777777" w:rsidTr="00A2598E">
        <w:trPr>
          <w:trHeight w:val="70"/>
          <w:tblHeader/>
        </w:trPr>
        <w:tc>
          <w:tcPr>
            <w:tcW w:w="1577" w:type="dxa"/>
            <w:noWrap/>
            <w:hideMark/>
          </w:tcPr>
          <w:p w14:paraId="3D56548C" w14:textId="77777777" w:rsidR="00CB540F" w:rsidRPr="004E6EF0" w:rsidRDefault="00CB540F" w:rsidP="007D5029">
            <w:pPr>
              <w:spacing w:line="240" w:lineRule="auto"/>
              <w:rPr>
                <w:rFonts w:cs="Arial"/>
                <w:color w:val="auto"/>
                <w:lang w:eastAsia="en-AU"/>
              </w:rPr>
            </w:pPr>
            <w:r w:rsidRPr="004E6EF0">
              <w:rPr>
                <w:rFonts w:cs="Arial"/>
                <w:color w:val="auto"/>
                <w:lang w:eastAsia="en-AU"/>
              </w:rPr>
              <w:t>206</w:t>
            </w:r>
          </w:p>
        </w:tc>
        <w:tc>
          <w:tcPr>
            <w:tcW w:w="7603" w:type="dxa"/>
            <w:hideMark/>
          </w:tcPr>
          <w:p w14:paraId="33F6490A" w14:textId="77777777" w:rsidR="00CB540F" w:rsidRPr="004E6EF0" w:rsidRDefault="00CB540F" w:rsidP="007D5029">
            <w:pPr>
              <w:spacing w:line="240" w:lineRule="auto"/>
              <w:rPr>
                <w:rFonts w:cs="Arial"/>
                <w:color w:val="auto"/>
                <w:lang w:eastAsia="en-AU"/>
              </w:rPr>
            </w:pPr>
            <w:r w:rsidRPr="004E6EF0">
              <w:rPr>
                <w:rFonts w:cs="Arial"/>
                <w:color w:val="auto"/>
                <w:lang w:eastAsia="en-AU"/>
              </w:rPr>
              <w:t>Tasmania Fire Service and Tasmania State Emergency Service</w:t>
            </w:r>
          </w:p>
        </w:tc>
      </w:tr>
      <w:tr w:rsidR="00CB540F" w:rsidRPr="004E6EF0" w14:paraId="78B2E9B6" w14:textId="77777777" w:rsidTr="00A2598E">
        <w:trPr>
          <w:trHeight w:val="70"/>
          <w:tblHeader/>
        </w:trPr>
        <w:tc>
          <w:tcPr>
            <w:tcW w:w="1577" w:type="dxa"/>
            <w:noWrap/>
            <w:hideMark/>
          </w:tcPr>
          <w:p w14:paraId="26CCE545" w14:textId="77777777" w:rsidR="00CB540F" w:rsidRPr="004E6EF0" w:rsidRDefault="00CB540F" w:rsidP="007D5029">
            <w:pPr>
              <w:spacing w:line="240" w:lineRule="auto"/>
              <w:rPr>
                <w:rFonts w:cs="Arial"/>
                <w:color w:val="auto"/>
                <w:lang w:eastAsia="en-AU"/>
              </w:rPr>
            </w:pPr>
            <w:r w:rsidRPr="004E6EF0">
              <w:rPr>
                <w:rFonts w:cs="Arial"/>
                <w:color w:val="auto"/>
                <w:lang w:eastAsia="en-AU"/>
              </w:rPr>
              <w:t>207</w:t>
            </w:r>
          </w:p>
        </w:tc>
        <w:tc>
          <w:tcPr>
            <w:tcW w:w="7603" w:type="dxa"/>
            <w:hideMark/>
          </w:tcPr>
          <w:p w14:paraId="1D8454B8"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Rangeland NRM Alliance </w:t>
            </w:r>
          </w:p>
        </w:tc>
      </w:tr>
      <w:tr w:rsidR="00CB540F" w:rsidRPr="004E6EF0" w14:paraId="5F3B6408" w14:textId="77777777" w:rsidTr="00A2598E">
        <w:trPr>
          <w:trHeight w:val="255"/>
          <w:tblHeader/>
        </w:trPr>
        <w:tc>
          <w:tcPr>
            <w:tcW w:w="1577" w:type="dxa"/>
            <w:noWrap/>
            <w:hideMark/>
          </w:tcPr>
          <w:p w14:paraId="02BCE747" w14:textId="77777777" w:rsidR="00CB540F" w:rsidRPr="004E6EF0" w:rsidRDefault="00CB540F" w:rsidP="007D5029">
            <w:pPr>
              <w:spacing w:line="240" w:lineRule="auto"/>
              <w:rPr>
                <w:rFonts w:cs="Arial"/>
                <w:color w:val="auto"/>
                <w:lang w:eastAsia="en-AU"/>
              </w:rPr>
            </w:pPr>
            <w:r w:rsidRPr="004E6EF0">
              <w:rPr>
                <w:rFonts w:cs="Arial"/>
                <w:color w:val="auto"/>
                <w:lang w:eastAsia="en-AU"/>
              </w:rPr>
              <w:t>208</w:t>
            </w:r>
          </w:p>
        </w:tc>
        <w:tc>
          <w:tcPr>
            <w:tcW w:w="7603" w:type="dxa"/>
            <w:hideMark/>
          </w:tcPr>
          <w:p w14:paraId="24014185" w14:textId="77777777" w:rsidR="00CB540F" w:rsidRPr="004E6EF0" w:rsidRDefault="00CB540F" w:rsidP="007D5029">
            <w:pPr>
              <w:spacing w:line="240" w:lineRule="auto"/>
              <w:rPr>
                <w:rFonts w:cs="Arial"/>
                <w:color w:val="auto"/>
                <w:lang w:eastAsia="en-AU"/>
              </w:rPr>
            </w:pPr>
            <w:r w:rsidRPr="004E6EF0">
              <w:rPr>
                <w:rFonts w:cs="Arial"/>
                <w:color w:val="auto"/>
                <w:lang w:eastAsia="en-AU"/>
              </w:rPr>
              <w:t>University of Newcastle</w:t>
            </w:r>
          </w:p>
        </w:tc>
      </w:tr>
      <w:tr w:rsidR="00CB540F" w:rsidRPr="004E6EF0" w14:paraId="664DBEC5" w14:textId="77777777" w:rsidTr="00A2598E">
        <w:trPr>
          <w:trHeight w:val="255"/>
          <w:tblHeader/>
        </w:trPr>
        <w:tc>
          <w:tcPr>
            <w:tcW w:w="1577" w:type="dxa"/>
            <w:noWrap/>
            <w:hideMark/>
          </w:tcPr>
          <w:p w14:paraId="04797A26" w14:textId="77777777" w:rsidR="00CB540F" w:rsidRPr="004E6EF0" w:rsidRDefault="00CB540F" w:rsidP="007D5029">
            <w:pPr>
              <w:spacing w:line="240" w:lineRule="auto"/>
              <w:rPr>
                <w:rFonts w:cs="Arial"/>
                <w:color w:val="auto"/>
                <w:lang w:eastAsia="en-AU"/>
              </w:rPr>
            </w:pPr>
            <w:r w:rsidRPr="004E6EF0">
              <w:rPr>
                <w:rFonts w:cs="Arial"/>
                <w:color w:val="auto"/>
                <w:lang w:eastAsia="en-AU"/>
              </w:rPr>
              <w:t>209</w:t>
            </w:r>
          </w:p>
        </w:tc>
        <w:tc>
          <w:tcPr>
            <w:tcW w:w="7603" w:type="dxa"/>
            <w:hideMark/>
          </w:tcPr>
          <w:p w14:paraId="434FC538" w14:textId="77777777" w:rsidR="00CB540F" w:rsidRPr="004E6EF0" w:rsidRDefault="00CB540F" w:rsidP="007D5029">
            <w:pPr>
              <w:spacing w:line="240" w:lineRule="auto"/>
              <w:rPr>
                <w:rFonts w:cs="Arial"/>
                <w:color w:val="auto"/>
                <w:lang w:eastAsia="en-AU"/>
              </w:rPr>
            </w:pPr>
            <w:r w:rsidRPr="004E6EF0">
              <w:rPr>
                <w:rFonts w:cs="Arial"/>
                <w:color w:val="auto"/>
                <w:lang w:eastAsia="en-AU"/>
              </w:rPr>
              <w:t>University of New South Wales</w:t>
            </w:r>
          </w:p>
        </w:tc>
      </w:tr>
      <w:tr w:rsidR="00CB540F" w:rsidRPr="004E6EF0" w14:paraId="4503631D" w14:textId="77777777" w:rsidTr="00A2598E">
        <w:trPr>
          <w:trHeight w:val="255"/>
          <w:tblHeader/>
        </w:trPr>
        <w:tc>
          <w:tcPr>
            <w:tcW w:w="1577" w:type="dxa"/>
            <w:noWrap/>
            <w:hideMark/>
          </w:tcPr>
          <w:p w14:paraId="4F9C8C11" w14:textId="77777777" w:rsidR="00CB540F" w:rsidRPr="004E6EF0" w:rsidRDefault="00CB540F" w:rsidP="007D5029">
            <w:pPr>
              <w:spacing w:line="240" w:lineRule="auto"/>
              <w:rPr>
                <w:rFonts w:cs="Arial"/>
                <w:color w:val="auto"/>
                <w:lang w:eastAsia="en-AU"/>
              </w:rPr>
            </w:pPr>
            <w:r w:rsidRPr="004E6EF0">
              <w:rPr>
                <w:rFonts w:cs="Arial"/>
                <w:color w:val="auto"/>
                <w:lang w:eastAsia="en-AU"/>
              </w:rPr>
              <w:t>210</w:t>
            </w:r>
          </w:p>
        </w:tc>
        <w:tc>
          <w:tcPr>
            <w:tcW w:w="7603" w:type="dxa"/>
            <w:hideMark/>
          </w:tcPr>
          <w:p w14:paraId="43B655B9" w14:textId="77777777" w:rsidR="00CB540F" w:rsidRPr="004E6EF0" w:rsidRDefault="00CB540F" w:rsidP="007D5029">
            <w:pPr>
              <w:spacing w:line="240" w:lineRule="auto"/>
              <w:rPr>
                <w:rFonts w:cs="Arial"/>
                <w:color w:val="auto"/>
                <w:lang w:eastAsia="en-AU"/>
              </w:rPr>
            </w:pPr>
            <w:r w:rsidRPr="004E6EF0">
              <w:rPr>
                <w:rFonts w:cs="Arial"/>
                <w:color w:val="auto"/>
                <w:lang w:eastAsia="en-AU"/>
              </w:rPr>
              <w:t>Abalone Council Australia Ltd</w:t>
            </w:r>
          </w:p>
        </w:tc>
      </w:tr>
      <w:tr w:rsidR="00CB540F" w:rsidRPr="004E6EF0" w14:paraId="2E6D1203" w14:textId="77777777" w:rsidTr="00A2598E">
        <w:trPr>
          <w:trHeight w:val="255"/>
          <w:tblHeader/>
        </w:trPr>
        <w:tc>
          <w:tcPr>
            <w:tcW w:w="1577" w:type="dxa"/>
            <w:noWrap/>
            <w:hideMark/>
          </w:tcPr>
          <w:p w14:paraId="2DFE1F43" w14:textId="77777777" w:rsidR="00CB540F" w:rsidRPr="004E6EF0" w:rsidRDefault="00CB540F" w:rsidP="007D5029">
            <w:pPr>
              <w:spacing w:line="240" w:lineRule="auto"/>
              <w:rPr>
                <w:rFonts w:cs="Arial"/>
                <w:color w:val="auto"/>
                <w:lang w:eastAsia="en-AU"/>
              </w:rPr>
            </w:pPr>
            <w:r w:rsidRPr="004E6EF0">
              <w:rPr>
                <w:rFonts w:cs="Arial"/>
                <w:color w:val="auto"/>
                <w:lang w:eastAsia="en-AU"/>
              </w:rPr>
              <w:t>211</w:t>
            </w:r>
          </w:p>
        </w:tc>
        <w:tc>
          <w:tcPr>
            <w:tcW w:w="7603" w:type="dxa"/>
            <w:hideMark/>
          </w:tcPr>
          <w:p w14:paraId="09020B02"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Australian Industry Group</w:t>
            </w:r>
          </w:p>
        </w:tc>
      </w:tr>
      <w:tr w:rsidR="00CB540F" w:rsidRPr="004E6EF0" w14:paraId="695D7A82" w14:textId="77777777" w:rsidTr="00A2598E">
        <w:trPr>
          <w:trHeight w:val="255"/>
          <w:tblHeader/>
        </w:trPr>
        <w:tc>
          <w:tcPr>
            <w:tcW w:w="1577" w:type="dxa"/>
            <w:noWrap/>
            <w:hideMark/>
          </w:tcPr>
          <w:p w14:paraId="2958BF1A" w14:textId="77777777" w:rsidR="00CB540F" w:rsidRPr="004E6EF0" w:rsidRDefault="00CB540F" w:rsidP="007D5029">
            <w:pPr>
              <w:spacing w:line="240" w:lineRule="auto"/>
              <w:rPr>
                <w:rFonts w:cs="Arial"/>
                <w:color w:val="auto"/>
                <w:lang w:eastAsia="en-AU"/>
              </w:rPr>
            </w:pPr>
            <w:r w:rsidRPr="004E6EF0">
              <w:rPr>
                <w:rFonts w:cs="Arial"/>
                <w:color w:val="auto"/>
                <w:lang w:eastAsia="en-AU"/>
              </w:rPr>
              <w:t>212</w:t>
            </w:r>
          </w:p>
        </w:tc>
        <w:tc>
          <w:tcPr>
            <w:tcW w:w="7603" w:type="dxa"/>
            <w:hideMark/>
          </w:tcPr>
          <w:p w14:paraId="4CA82342" w14:textId="77777777" w:rsidR="00CB540F" w:rsidRPr="004E6EF0" w:rsidRDefault="00CB540F" w:rsidP="007D5029">
            <w:pPr>
              <w:spacing w:line="240" w:lineRule="auto"/>
              <w:rPr>
                <w:rFonts w:cs="Arial"/>
                <w:color w:val="auto"/>
                <w:lang w:eastAsia="en-AU"/>
              </w:rPr>
            </w:pPr>
            <w:r w:rsidRPr="004E6EF0">
              <w:rPr>
                <w:rFonts w:cs="Arial"/>
                <w:color w:val="auto"/>
                <w:lang w:eastAsia="en-AU"/>
              </w:rPr>
              <w:t>National Farmers' Federation</w:t>
            </w:r>
          </w:p>
        </w:tc>
      </w:tr>
      <w:tr w:rsidR="00CB540F" w:rsidRPr="004E6EF0" w14:paraId="772E9B17" w14:textId="77777777" w:rsidTr="00A2598E">
        <w:trPr>
          <w:trHeight w:val="255"/>
          <w:tblHeader/>
        </w:trPr>
        <w:tc>
          <w:tcPr>
            <w:tcW w:w="1577" w:type="dxa"/>
            <w:noWrap/>
            <w:hideMark/>
          </w:tcPr>
          <w:p w14:paraId="4231BDC5" w14:textId="77777777" w:rsidR="00CB540F" w:rsidRPr="004E6EF0" w:rsidRDefault="00CB540F" w:rsidP="007D5029">
            <w:pPr>
              <w:spacing w:line="240" w:lineRule="auto"/>
              <w:rPr>
                <w:rFonts w:cs="Arial"/>
                <w:color w:val="auto"/>
                <w:lang w:eastAsia="en-AU"/>
              </w:rPr>
            </w:pPr>
            <w:r w:rsidRPr="004E6EF0">
              <w:rPr>
                <w:rFonts w:cs="Arial"/>
                <w:color w:val="auto"/>
                <w:lang w:eastAsia="en-AU"/>
              </w:rPr>
              <w:t>213</w:t>
            </w:r>
          </w:p>
        </w:tc>
        <w:tc>
          <w:tcPr>
            <w:tcW w:w="7603" w:type="dxa"/>
            <w:hideMark/>
          </w:tcPr>
          <w:p w14:paraId="094A01AA" w14:textId="77777777" w:rsidR="00CB540F" w:rsidRPr="004E6EF0" w:rsidRDefault="00CB540F" w:rsidP="007D5029">
            <w:pPr>
              <w:spacing w:line="240" w:lineRule="auto"/>
              <w:rPr>
                <w:rFonts w:cs="Arial"/>
                <w:color w:val="auto"/>
                <w:lang w:eastAsia="en-AU"/>
              </w:rPr>
            </w:pPr>
            <w:r w:rsidRPr="004E6EF0">
              <w:rPr>
                <w:rFonts w:cs="Arial"/>
                <w:color w:val="auto"/>
                <w:lang w:eastAsia="en-AU"/>
              </w:rPr>
              <w:t>Insight GIS</w:t>
            </w:r>
          </w:p>
        </w:tc>
      </w:tr>
      <w:tr w:rsidR="00CB540F" w:rsidRPr="004E6EF0" w14:paraId="2B9E2C44" w14:textId="77777777" w:rsidTr="00A2598E">
        <w:trPr>
          <w:trHeight w:val="255"/>
          <w:tblHeader/>
        </w:trPr>
        <w:tc>
          <w:tcPr>
            <w:tcW w:w="1577" w:type="dxa"/>
            <w:noWrap/>
            <w:hideMark/>
          </w:tcPr>
          <w:p w14:paraId="5200B45F" w14:textId="77777777" w:rsidR="00CB540F" w:rsidRPr="004E6EF0" w:rsidRDefault="00CB540F" w:rsidP="007D5029">
            <w:pPr>
              <w:spacing w:line="240" w:lineRule="auto"/>
              <w:rPr>
                <w:rFonts w:cs="Arial"/>
                <w:color w:val="auto"/>
                <w:lang w:eastAsia="en-AU"/>
              </w:rPr>
            </w:pPr>
            <w:r w:rsidRPr="004E6EF0">
              <w:rPr>
                <w:rFonts w:cs="Arial"/>
                <w:color w:val="auto"/>
                <w:lang w:eastAsia="en-AU"/>
              </w:rPr>
              <w:t>214</w:t>
            </w:r>
          </w:p>
        </w:tc>
        <w:tc>
          <w:tcPr>
            <w:tcW w:w="7603" w:type="dxa"/>
            <w:hideMark/>
          </w:tcPr>
          <w:p w14:paraId="00147376"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Whelans</w:t>
            </w:r>
            <w:proofErr w:type="spellEnd"/>
            <w:r w:rsidRPr="004E6EF0">
              <w:rPr>
                <w:rFonts w:cs="Arial"/>
                <w:color w:val="auto"/>
                <w:lang w:eastAsia="en-AU"/>
              </w:rPr>
              <w:t xml:space="preserve"> Australia</w:t>
            </w:r>
          </w:p>
        </w:tc>
      </w:tr>
      <w:tr w:rsidR="00CB540F" w:rsidRPr="004E6EF0" w14:paraId="76C42AB0" w14:textId="77777777" w:rsidTr="00A2598E">
        <w:trPr>
          <w:trHeight w:val="255"/>
          <w:tblHeader/>
        </w:trPr>
        <w:tc>
          <w:tcPr>
            <w:tcW w:w="1577" w:type="dxa"/>
            <w:noWrap/>
            <w:hideMark/>
          </w:tcPr>
          <w:p w14:paraId="6E150199" w14:textId="77777777" w:rsidR="00CB540F" w:rsidRPr="004E6EF0" w:rsidRDefault="00CB540F" w:rsidP="007D5029">
            <w:pPr>
              <w:spacing w:line="240" w:lineRule="auto"/>
              <w:rPr>
                <w:rFonts w:cs="Arial"/>
                <w:color w:val="auto"/>
                <w:lang w:eastAsia="en-AU"/>
              </w:rPr>
            </w:pPr>
            <w:r w:rsidRPr="004E6EF0">
              <w:rPr>
                <w:rFonts w:cs="Arial"/>
                <w:color w:val="auto"/>
                <w:lang w:eastAsia="en-AU"/>
              </w:rPr>
              <w:t>215</w:t>
            </w:r>
          </w:p>
        </w:tc>
        <w:tc>
          <w:tcPr>
            <w:tcW w:w="7603" w:type="dxa"/>
            <w:hideMark/>
          </w:tcPr>
          <w:p w14:paraId="36EB2A57" w14:textId="77777777" w:rsidR="00CB540F" w:rsidRPr="004E6EF0" w:rsidRDefault="00CB540F" w:rsidP="007D5029">
            <w:pPr>
              <w:spacing w:line="240" w:lineRule="auto"/>
              <w:rPr>
                <w:rFonts w:cs="Arial"/>
                <w:color w:val="auto"/>
                <w:lang w:eastAsia="en-AU"/>
              </w:rPr>
            </w:pPr>
            <w:r w:rsidRPr="004E6EF0">
              <w:rPr>
                <w:rFonts w:cs="Arial"/>
                <w:color w:val="auto"/>
                <w:lang w:eastAsia="en-AU"/>
              </w:rPr>
              <w:t>Dr Laurie Hammond</w:t>
            </w:r>
          </w:p>
        </w:tc>
      </w:tr>
      <w:tr w:rsidR="00CB540F" w:rsidRPr="004E6EF0" w14:paraId="0116F506" w14:textId="77777777" w:rsidTr="00A2598E">
        <w:trPr>
          <w:trHeight w:val="255"/>
          <w:tblHeader/>
        </w:trPr>
        <w:tc>
          <w:tcPr>
            <w:tcW w:w="1577" w:type="dxa"/>
            <w:noWrap/>
            <w:hideMark/>
          </w:tcPr>
          <w:p w14:paraId="5EA68F08" w14:textId="77777777" w:rsidR="00CB540F" w:rsidRPr="004E6EF0" w:rsidRDefault="00CB540F" w:rsidP="007D5029">
            <w:pPr>
              <w:spacing w:line="240" w:lineRule="auto"/>
              <w:rPr>
                <w:rFonts w:cs="Arial"/>
                <w:color w:val="auto"/>
                <w:lang w:eastAsia="en-AU"/>
              </w:rPr>
            </w:pPr>
            <w:r w:rsidRPr="004E6EF0">
              <w:rPr>
                <w:rFonts w:cs="Arial"/>
                <w:color w:val="auto"/>
                <w:lang w:eastAsia="en-AU"/>
              </w:rPr>
              <w:t>216</w:t>
            </w:r>
          </w:p>
        </w:tc>
        <w:tc>
          <w:tcPr>
            <w:tcW w:w="7603" w:type="dxa"/>
            <w:hideMark/>
          </w:tcPr>
          <w:p w14:paraId="36CA11BB"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National Disability Services </w:t>
            </w:r>
          </w:p>
        </w:tc>
      </w:tr>
      <w:tr w:rsidR="00CB540F" w:rsidRPr="004E6EF0" w14:paraId="174DE6A8" w14:textId="77777777" w:rsidTr="00A2598E">
        <w:trPr>
          <w:trHeight w:val="255"/>
          <w:tblHeader/>
        </w:trPr>
        <w:tc>
          <w:tcPr>
            <w:tcW w:w="1577" w:type="dxa"/>
            <w:noWrap/>
            <w:hideMark/>
          </w:tcPr>
          <w:p w14:paraId="68C2A298" w14:textId="77777777" w:rsidR="00CB540F" w:rsidRPr="004E6EF0" w:rsidRDefault="00CB540F" w:rsidP="007D5029">
            <w:pPr>
              <w:spacing w:line="240" w:lineRule="auto"/>
              <w:rPr>
                <w:rFonts w:cs="Arial"/>
                <w:color w:val="auto"/>
                <w:lang w:eastAsia="en-AU"/>
              </w:rPr>
            </w:pPr>
            <w:r w:rsidRPr="004E6EF0">
              <w:rPr>
                <w:rFonts w:cs="Arial"/>
                <w:color w:val="auto"/>
                <w:lang w:eastAsia="en-AU"/>
              </w:rPr>
              <w:t>217</w:t>
            </w:r>
          </w:p>
        </w:tc>
        <w:tc>
          <w:tcPr>
            <w:tcW w:w="7603" w:type="dxa"/>
            <w:hideMark/>
          </w:tcPr>
          <w:p w14:paraId="0DE4A300"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Australian Institute of Marine Science</w:t>
            </w:r>
          </w:p>
        </w:tc>
      </w:tr>
      <w:tr w:rsidR="00CB540F" w:rsidRPr="004E6EF0" w14:paraId="7C3C25A3" w14:textId="77777777" w:rsidTr="00A2598E">
        <w:trPr>
          <w:trHeight w:val="255"/>
          <w:tblHeader/>
        </w:trPr>
        <w:tc>
          <w:tcPr>
            <w:tcW w:w="1577" w:type="dxa"/>
            <w:noWrap/>
            <w:hideMark/>
          </w:tcPr>
          <w:p w14:paraId="22968297" w14:textId="77777777" w:rsidR="00CB540F" w:rsidRPr="004E6EF0" w:rsidRDefault="00CB540F" w:rsidP="007D5029">
            <w:pPr>
              <w:spacing w:line="240" w:lineRule="auto"/>
              <w:rPr>
                <w:rFonts w:cs="Arial"/>
                <w:color w:val="auto"/>
                <w:lang w:eastAsia="en-AU"/>
              </w:rPr>
            </w:pPr>
            <w:r w:rsidRPr="004E6EF0">
              <w:rPr>
                <w:rFonts w:cs="Arial"/>
                <w:color w:val="auto"/>
                <w:lang w:eastAsia="en-AU"/>
              </w:rPr>
              <w:t>218</w:t>
            </w:r>
          </w:p>
        </w:tc>
        <w:tc>
          <w:tcPr>
            <w:tcW w:w="7603" w:type="dxa"/>
            <w:hideMark/>
          </w:tcPr>
          <w:p w14:paraId="031CA03E" w14:textId="77777777" w:rsidR="00CB540F" w:rsidRPr="004E6EF0" w:rsidRDefault="00CB540F" w:rsidP="007D5029">
            <w:pPr>
              <w:spacing w:line="240" w:lineRule="auto"/>
              <w:rPr>
                <w:rFonts w:cs="Arial"/>
                <w:color w:val="auto"/>
                <w:lang w:eastAsia="en-AU"/>
              </w:rPr>
            </w:pPr>
            <w:r w:rsidRPr="004E6EF0">
              <w:rPr>
                <w:rFonts w:cs="Arial"/>
                <w:color w:val="auto"/>
                <w:lang w:eastAsia="en-AU"/>
              </w:rPr>
              <w:t>Academy of Technological Sciences and Engineering</w:t>
            </w:r>
          </w:p>
        </w:tc>
      </w:tr>
      <w:tr w:rsidR="00CB540F" w:rsidRPr="004E6EF0" w14:paraId="48A15EB5" w14:textId="77777777" w:rsidTr="00A2598E">
        <w:trPr>
          <w:trHeight w:val="255"/>
          <w:tblHeader/>
        </w:trPr>
        <w:tc>
          <w:tcPr>
            <w:tcW w:w="1577" w:type="dxa"/>
            <w:noWrap/>
            <w:hideMark/>
          </w:tcPr>
          <w:p w14:paraId="2A7CEA7C" w14:textId="77777777" w:rsidR="00CB540F" w:rsidRPr="004E6EF0" w:rsidRDefault="00CB540F" w:rsidP="007D5029">
            <w:pPr>
              <w:spacing w:line="240" w:lineRule="auto"/>
              <w:rPr>
                <w:rFonts w:cs="Arial"/>
                <w:color w:val="auto"/>
                <w:lang w:eastAsia="en-AU"/>
              </w:rPr>
            </w:pPr>
            <w:r w:rsidRPr="004E6EF0">
              <w:rPr>
                <w:rFonts w:cs="Arial"/>
                <w:color w:val="auto"/>
                <w:lang w:eastAsia="en-AU"/>
              </w:rPr>
              <w:t>219</w:t>
            </w:r>
          </w:p>
        </w:tc>
        <w:tc>
          <w:tcPr>
            <w:tcW w:w="7603" w:type="dxa"/>
            <w:hideMark/>
          </w:tcPr>
          <w:p w14:paraId="153C62A7"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ResMed</w:t>
            </w:r>
            <w:proofErr w:type="spellEnd"/>
            <w:r w:rsidRPr="004E6EF0">
              <w:rPr>
                <w:rFonts w:cs="Arial"/>
                <w:color w:val="auto"/>
                <w:lang w:eastAsia="en-AU"/>
              </w:rPr>
              <w:t xml:space="preserve"> </w:t>
            </w:r>
            <w:proofErr w:type="spellStart"/>
            <w:r w:rsidRPr="004E6EF0">
              <w:rPr>
                <w:rFonts w:cs="Arial"/>
                <w:color w:val="auto"/>
                <w:lang w:eastAsia="en-AU"/>
              </w:rPr>
              <w:t>Inc</w:t>
            </w:r>
            <w:proofErr w:type="spellEnd"/>
          </w:p>
        </w:tc>
      </w:tr>
      <w:tr w:rsidR="00CB540F" w:rsidRPr="004E6EF0" w14:paraId="3297F4EA" w14:textId="77777777" w:rsidTr="00A2598E">
        <w:trPr>
          <w:trHeight w:val="255"/>
          <w:tblHeader/>
        </w:trPr>
        <w:tc>
          <w:tcPr>
            <w:tcW w:w="1577" w:type="dxa"/>
            <w:noWrap/>
            <w:hideMark/>
          </w:tcPr>
          <w:p w14:paraId="71BB2EE0" w14:textId="77777777" w:rsidR="00CB540F" w:rsidRPr="004E6EF0" w:rsidRDefault="00CB540F" w:rsidP="007D5029">
            <w:pPr>
              <w:spacing w:line="240" w:lineRule="auto"/>
              <w:rPr>
                <w:rFonts w:cs="Arial"/>
                <w:color w:val="auto"/>
                <w:lang w:eastAsia="en-AU"/>
              </w:rPr>
            </w:pPr>
            <w:r w:rsidRPr="004E6EF0">
              <w:rPr>
                <w:rFonts w:cs="Arial"/>
                <w:color w:val="auto"/>
                <w:lang w:eastAsia="en-AU"/>
              </w:rPr>
              <w:t>220</w:t>
            </w:r>
          </w:p>
        </w:tc>
        <w:tc>
          <w:tcPr>
            <w:tcW w:w="7603" w:type="dxa"/>
            <w:hideMark/>
          </w:tcPr>
          <w:p w14:paraId="35024182" w14:textId="77777777" w:rsidR="00CB540F" w:rsidRPr="004E6EF0" w:rsidRDefault="00CB540F" w:rsidP="007D5029">
            <w:pPr>
              <w:spacing w:line="240" w:lineRule="auto"/>
              <w:rPr>
                <w:rFonts w:cs="Arial"/>
                <w:color w:val="auto"/>
                <w:lang w:eastAsia="en-AU"/>
              </w:rPr>
            </w:pPr>
            <w:r w:rsidRPr="004E6EF0">
              <w:rPr>
                <w:rFonts w:cs="Arial"/>
                <w:color w:val="auto"/>
                <w:lang w:eastAsia="en-AU"/>
              </w:rPr>
              <w:t>Innovative Research Universities</w:t>
            </w:r>
          </w:p>
        </w:tc>
      </w:tr>
      <w:tr w:rsidR="00CB540F" w:rsidRPr="004E6EF0" w14:paraId="559925A3" w14:textId="77777777" w:rsidTr="00A2598E">
        <w:trPr>
          <w:trHeight w:val="255"/>
          <w:tblHeader/>
        </w:trPr>
        <w:tc>
          <w:tcPr>
            <w:tcW w:w="1577" w:type="dxa"/>
            <w:noWrap/>
            <w:hideMark/>
          </w:tcPr>
          <w:p w14:paraId="0A9B82F0" w14:textId="77777777" w:rsidR="00CB540F" w:rsidRPr="004E6EF0" w:rsidRDefault="00CB540F" w:rsidP="007D5029">
            <w:pPr>
              <w:spacing w:line="240" w:lineRule="auto"/>
              <w:rPr>
                <w:rFonts w:cs="Arial"/>
                <w:color w:val="auto"/>
                <w:lang w:eastAsia="en-AU"/>
              </w:rPr>
            </w:pPr>
            <w:r w:rsidRPr="004E6EF0">
              <w:rPr>
                <w:rFonts w:cs="Arial"/>
                <w:color w:val="auto"/>
                <w:lang w:eastAsia="en-AU"/>
              </w:rPr>
              <w:t>221</w:t>
            </w:r>
          </w:p>
        </w:tc>
        <w:tc>
          <w:tcPr>
            <w:tcW w:w="7603" w:type="dxa"/>
            <w:hideMark/>
          </w:tcPr>
          <w:p w14:paraId="0AFAE112"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Brazier </w:t>
            </w:r>
            <w:proofErr w:type="spellStart"/>
            <w:r w:rsidRPr="004E6EF0">
              <w:rPr>
                <w:rFonts w:cs="Arial"/>
                <w:color w:val="auto"/>
                <w:lang w:eastAsia="en-AU"/>
              </w:rPr>
              <w:t>Motti</w:t>
            </w:r>
            <w:proofErr w:type="spellEnd"/>
            <w:r w:rsidRPr="004E6EF0">
              <w:rPr>
                <w:rFonts w:cs="Arial"/>
                <w:color w:val="auto"/>
                <w:lang w:eastAsia="en-AU"/>
              </w:rPr>
              <w:t xml:space="preserve"> </w:t>
            </w:r>
          </w:p>
        </w:tc>
      </w:tr>
      <w:tr w:rsidR="00CB540F" w:rsidRPr="004E6EF0" w14:paraId="254101C7" w14:textId="77777777" w:rsidTr="00A2598E">
        <w:trPr>
          <w:trHeight w:val="255"/>
          <w:tblHeader/>
        </w:trPr>
        <w:tc>
          <w:tcPr>
            <w:tcW w:w="1577" w:type="dxa"/>
            <w:noWrap/>
            <w:hideMark/>
          </w:tcPr>
          <w:p w14:paraId="6F45BD99" w14:textId="77777777" w:rsidR="00CB540F" w:rsidRPr="004E6EF0" w:rsidRDefault="00CB540F" w:rsidP="007D5029">
            <w:pPr>
              <w:spacing w:line="240" w:lineRule="auto"/>
              <w:rPr>
                <w:rFonts w:cs="Arial"/>
                <w:color w:val="auto"/>
                <w:lang w:eastAsia="en-AU"/>
              </w:rPr>
            </w:pPr>
            <w:r w:rsidRPr="004E6EF0">
              <w:rPr>
                <w:rFonts w:cs="Arial"/>
                <w:color w:val="auto"/>
                <w:lang w:eastAsia="en-AU"/>
              </w:rPr>
              <w:t>222</w:t>
            </w:r>
          </w:p>
        </w:tc>
        <w:tc>
          <w:tcPr>
            <w:tcW w:w="7603" w:type="dxa"/>
            <w:hideMark/>
          </w:tcPr>
          <w:p w14:paraId="61877930" w14:textId="77777777" w:rsidR="00CB540F" w:rsidRPr="004E6EF0" w:rsidRDefault="00CB540F" w:rsidP="007D5029">
            <w:pPr>
              <w:spacing w:line="240" w:lineRule="auto"/>
              <w:rPr>
                <w:rFonts w:cs="Arial"/>
                <w:color w:val="auto"/>
                <w:lang w:eastAsia="en-AU"/>
              </w:rPr>
            </w:pPr>
            <w:r w:rsidRPr="004E6EF0">
              <w:rPr>
                <w:rFonts w:cs="Arial"/>
                <w:color w:val="auto"/>
                <w:lang w:eastAsia="en-AU"/>
              </w:rPr>
              <w:t>Brien Holden Vision Institute</w:t>
            </w:r>
          </w:p>
        </w:tc>
      </w:tr>
      <w:tr w:rsidR="00CB540F" w:rsidRPr="004E6EF0" w14:paraId="2924F90B" w14:textId="77777777" w:rsidTr="00A2598E">
        <w:trPr>
          <w:trHeight w:val="255"/>
          <w:tblHeader/>
        </w:trPr>
        <w:tc>
          <w:tcPr>
            <w:tcW w:w="1577" w:type="dxa"/>
            <w:noWrap/>
            <w:hideMark/>
          </w:tcPr>
          <w:p w14:paraId="49EDF2E1" w14:textId="77777777" w:rsidR="00CB540F" w:rsidRPr="004E6EF0" w:rsidRDefault="00CB540F" w:rsidP="007D5029">
            <w:pPr>
              <w:spacing w:line="240" w:lineRule="auto"/>
              <w:rPr>
                <w:rFonts w:cs="Arial"/>
                <w:color w:val="auto"/>
                <w:lang w:eastAsia="en-AU"/>
              </w:rPr>
            </w:pPr>
            <w:r w:rsidRPr="004E6EF0">
              <w:rPr>
                <w:rFonts w:cs="Arial"/>
                <w:color w:val="auto"/>
                <w:lang w:eastAsia="en-AU"/>
              </w:rPr>
              <w:t>223</w:t>
            </w:r>
          </w:p>
        </w:tc>
        <w:tc>
          <w:tcPr>
            <w:tcW w:w="7603" w:type="dxa"/>
            <w:hideMark/>
          </w:tcPr>
          <w:p w14:paraId="488B756F"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Scolexia</w:t>
            </w:r>
            <w:proofErr w:type="spellEnd"/>
            <w:r w:rsidRPr="004E6EF0">
              <w:rPr>
                <w:rFonts w:cs="Arial"/>
                <w:color w:val="auto"/>
                <w:lang w:eastAsia="en-AU"/>
              </w:rPr>
              <w:t xml:space="preserve"> Pty Ltd</w:t>
            </w:r>
          </w:p>
        </w:tc>
      </w:tr>
      <w:tr w:rsidR="00CB540F" w:rsidRPr="004E6EF0" w14:paraId="75E7C244" w14:textId="77777777" w:rsidTr="00A2598E">
        <w:trPr>
          <w:trHeight w:val="255"/>
          <w:tblHeader/>
        </w:trPr>
        <w:tc>
          <w:tcPr>
            <w:tcW w:w="1577" w:type="dxa"/>
            <w:noWrap/>
            <w:hideMark/>
          </w:tcPr>
          <w:p w14:paraId="0A72ED0C" w14:textId="77777777" w:rsidR="00CB540F" w:rsidRPr="004E6EF0" w:rsidRDefault="00CB540F" w:rsidP="007D5029">
            <w:pPr>
              <w:spacing w:line="240" w:lineRule="auto"/>
              <w:rPr>
                <w:rFonts w:cs="Arial"/>
                <w:color w:val="auto"/>
                <w:lang w:eastAsia="en-AU"/>
              </w:rPr>
            </w:pPr>
            <w:r w:rsidRPr="004E6EF0">
              <w:rPr>
                <w:rFonts w:cs="Arial"/>
                <w:color w:val="auto"/>
                <w:lang w:eastAsia="en-AU"/>
              </w:rPr>
              <w:t>224</w:t>
            </w:r>
          </w:p>
        </w:tc>
        <w:tc>
          <w:tcPr>
            <w:tcW w:w="7603" w:type="dxa"/>
            <w:hideMark/>
          </w:tcPr>
          <w:p w14:paraId="75FC94DC" w14:textId="77777777" w:rsidR="00CB540F" w:rsidRPr="004E6EF0" w:rsidRDefault="00CB540F" w:rsidP="007D5029">
            <w:pPr>
              <w:spacing w:line="240" w:lineRule="auto"/>
              <w:rPr>
                <w:rFonts w:cs="Arial"/>
                <w:color w:val="auto"/>
                <w:lang w:eastAsia="en-AU"/>
              </w:rPr>
            </w:pPr>
            <w:r w:rsidRPr="004E6EF0">
              <w:rPr>
                <w:rFonts w:cs="Arial"/>
                <w:color w:val="auto"/>
                <w:lang w:eastAsia="en-AU"/>
              </w:rPr>
              <w:t>Peter Andrews</w:t>
            </w:r>
          </w:p>
        </w:tc>
      </w:tr>
      <w:tr w:rsidR="00CB540F" w:rsidRPr="004E6EF0" w14:paraId="39C7E29D" w14:textId="77777777" w:rsidTr="00A2598E">
        <w:trPr>
          <w:trHeight w:val="255"/>
          <w:tblHeader/>
        </w:trPr>
        <w:tc>
          <w:tcPr>
            <w:tcW w:w="1577" w:type="dxa"/>
            <w:noWrap/>
            <w:hideMark/>
          </w:tcPr>
          <w:p w14:paraId="57149EC4" w14:textId="77777777" w:rsidR="00CB540F" w:rsidRPr="004E6EF0" w:rsidRDefault="00CB540F" w:rsidP="007D5029">
            <w:pPr>
              <w:spacing w:line="240" w:lineRule="auto"/>
              <w:rPr>
                <w:rFonts w:cs="Arial"/>
                <w:color w:val="auto"/>
                <w:lang w:eastAsia="en-AU"/>
              </w:rPr>
            </w:pPr>
            <w:r w:rsidRPr="004E6EF0">
              <w:rPr>
                <w:rFonts w:cs="Arial"/>
                <w:color w:val="auto"/>
                <w:lang w:eastAsia="en-AU"/>
              </w:rPr>
              <w:t>225</w:t>
            </w:r>
          </w:p>
        </w:tc>
        <w:tc>
          <w:tcPr>
            <w:tcW w:w="7603" w:type="dxa"/>
            <w:hideMark/>
          </w:tcPr>
          <w:p w14:paraId="4D1BACFA"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Crispin </w:t>
            </w:r>
            <w:proofErr w:type="spellStart"/>
            <w:r w:rsidRPr="004E6EF0">
              <w:rPr>
                <w:rFonts w:cs="Arial"/>
                <w:color w:val="auto"/>
                <w:lang w:eastAsia="en-AU"/>
              </w:rPr>
              <w:t>Smythe</w:t>
            </w:r>
            <w:proofErr w:type="spellEnd"/>
            <w:r w:rsidRPr="004E6EF0">
              <w:rPr>
                <w:rFonts w:cs="Arial"/>
                <w:color w:val="auto"/>
                <w:lang w:eastAsia="en-AU"/>
              </w:rPr>
              <w:t xml:space="preserve"> </w:t>
            </w:r>
          </w:p>
        </w:tc>
      </w:tr>
      <w:tr w:rsidR="00CB540F" w:rsidRPr="004E6EF0" w14:paraId="709B0E4F" w14:textId="77777777" w:rsidTr="00A2598E">
        <w:trPr>
          <w:trHeight w:val="255"/>
          <w:tblHeader/>
        </w:trPr>
        <w:tc>
          <w:tcPr>
            <w:tcW w:w="1577" w:type="dxa"/>
            <w:noWrap/>
            <w:hideMark/>
          </w:tcPr>
          <w:p w14:paraId="444D7B2D" w14:textId="77777777" w:rsidR="00CB540F" w:rsidRPr="004E6EF0" w:rsidRDefault="00CB540F" w:rsidP="007D5029">
            <w:pPr>
              <w:spacing w:line="240" w:lineRule="auto"/>
              <w:rPr>
                <w:rFonts w:cs="Arial"/>
                <w:color w:val="auto"/>
                <w:lang w:eastAsia="en-AU"/>
              </w:rPr>
            </w:pPr>
            <w:r w:rsidRPr="004E6EF0">
              <w:rPr>
                <w:rFonts w:cs="Arial"/>
                <w:color w:val="auto"/>
                <w:lang w:eastAsia="en-AU"/>
              </w:rPr>
              <w:t>226</w:t>
            </w:r>
          </w:p>
        </w:tc>
        <w:tc>
          <w:tcPr>
            <w:tcW w:w="7603" w:type="dxa"/>
            <w:hideMark/>
          </w:tcPr>
          <w:p w14:paraId="6B7B3487"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Australian Abalone Growers Association</w:t>
            </w:r>
          </w:p>
        </w:tc>
      </w:tr>
      <w:tr w:rsidR="00CB540F" w:rsidRPr="004E6EF0" w14:paraId="73758BC4" w14:textId="77777777" w:rsidTr="00A2598E">
        <w:trPr>
          <w:trHeight w:val="70"/>
          <w:tblHeader/>
        </w:trPr>
        <w:tc>
          <w:tcPr>
            <w:tcW w:w="1577" w:type="dxa"/>
            <w:noWrap/>
            <w:hideMark/>
          </w:tcPr>
          <w:p w14:paraId="0780E2DD" w14:textId="77777777" w:rsidR="00CB540F" w:rsidRPr="004E6EF0" w:rsidRDefault="00CB540F" w:rsidP="007D5029">
            <w:pPr>
              <w:spacing w:line="240" w:lineRule="auto"/>
              <w:rPr>
                <w:rFonts w:cs="Arial"/>
                <w:color w:val="auto"/>
                <w:lang w:eastAsia="en-AU"/>
              </w:rPr>
            </w:pPr>
            <w:r w:rsidRPr="004E6EF0">
              <w:rPr>
                <w:rFonts w:cs="Arial"/>
                <w:color w:val="auto"/>
                <w:lang w:eastAsia="en-AU"/>
              </w:rPr>
              <w:t>227</w:t>
            </w:r>
          </w:p>
        </w:tc>
        <w:tc>
          <w:tcPr>
            <w:tcW w:w="7603" w:type="dxa"/>
            <w:hideMark/>
          </w:tcPr>
          <w:p w14:paraId="768BFCFE" w14:textId="77777777" w:rsidR="00CB540F" w:rsidRPr="004E6EF0" w:rsidRDefault="00CB540F" w:rsidP="007D5029">
            <w:pPr>
              <w:spacing w:line="240" w:lineRule="auto"/>
              <w:rPr>
                <w:rFonts w:cs="Arial"/>
                <w:color w:val="auto"/>
                <w:lang w:eastAsia="en-AU"/>
              </w:rPr>
            </w:pPr>
            <w:r w:rsidRPr="004E6EF0">
              <w:rPr>
                <w:rFonts w:cs="Arial"/>
                <w:color w:val="auto"/>
                <w:lang w:eastAsia="en-AU"/>
              </w:rPr>
              <w:t>Sydney Fish Market</w:t>
            </w:r>
          </w:p>
        </w:tc>
      </w:tr>
      <w:tr w:rsidR="00CB540F" w:rsidRPr="004E6EF0" w14:paraId="4ACF9CB6" w14:textId="77777777" w:rsidTr="00A2598E">
        <w:trPr>
          <w:trHeight w:val="255"/>
          <w:tblHeader/>
        </w:trPr>
        <w:tc>
          <w:tcPr>
            <w:tcW w:w="1577" w:type="dxa"/>
            <w:noWrap/>
            <w:hideMark/>
          </w:tcPr>
          <w:p w14:paraId="7F7FC2D4" w14:textId="77777777" w:rsidR="00CB540F" w:rsidRPr="004E6EF0" w:rsidRDefault="00CB540F" w:rsidP="007D5029">
            <w:pPr>
              <w:spacing w:line="240" w:lineRule="auto"/>
              <w:rPr>
                <w:rFonts w:cs="Arial"/>
                <w:color w:val="auto"/>
                <w:lang w:eastAsia="en-AU"/>
              </w:rPr>
            </w:pPr>
            <w:r w:rsidRPr="004E6EF0">
              <w:rPr>
                <w:rFonts w:cs="Arial"/>
                <w:color w:val="auto"/>
                <w:lang w:eastAsia="en-AU"/>
              </w:rPr>
              <w:t>228</w:t>
            </w:r>
          </w:p>
        </w:tc>
        <w:tc>
          <w:tcPr>
            <w:tcW w:w="7603" w:type="dxa"/>
            <w:hideMark/>
          </w:tcPr>
          <w:p w14:paraId="63623D1E"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Australian Research Council</w:t>
            </w:r>
          </w:p>
        </w:tc>
      </w:tr>
      <w:tr w:rsidR="00CB540F" w:rsidRPr="004E6EF0" w14:paraId="57AE3549" w14:textId="77777777" w:rsidTr="00A2598E">
        <w:trPr>
          <w:trHeight w:val="255"/>
          <w:tblHeader/>
        </w:trPr>
        <w:tc>
          <w:tcPr>
            <w:tcW w:w="1577" w:type="dxa"/>
            <w:noWrap/>
            <w:hideMark/>
          </w:tcPr>
          <w:p w14:paraId="19BBD2C7" w14:textId="77777777" w:rsidR="00CB540F" w:rsidRPr="004E6EF0" w:rsidRDefault="00CB540F" w:rsidP="007D5029">
            <w:pPr>
              <w:spacing w:line="240" w:lineRule="auto"/>
              <w:rPr>
                <w:rFonts w:cs="Arial"/>
                <w:color w:val="auto"/>
                <w:lang w:eastAsia="en-AU"/>
              </w:rPr>
            </w:pPr>
            <w:r w:rsidRPr="004E6EF0">
              <w:rPr>
                <w:rFonts w:cs="Arial"/>
                <w:color w:val="auto"/>
                <w:lang w:eastAsia="en-AU"/>
              </w:rPr>
              <w:t>229</w:t>
            </w:r>
          </w:p>
        </w:tc>
        <w:tc>
          <w:tcPr>
            <w:tcW w:w="7603" w:type="dxa"/>
            <w:hideMark/>
          </w:tcPr>
          <w:p w14:paraId="5591DBE8"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University of Melbourne </w:t>
            </w:r>
          </w:p>
        </w:tc>
      </w:tr>
      <w:tr w:rsidR="00CB540F" w:rsidRPr="004E6EF0" w14:paraId="2BDF7B4F" w14:textId="77777777" w:rsidTr="00A2598E">
        <w:trPr>
          <w:trHeight w:val="255"/>
          <w:tblHeader/>
        </w:trPr>
        <w:tc>
          <w:tcPr>
            <w:tcW w:w="1577" w:type="dxa"/>
            <w:noWrap/>
            <w:hideMark/>
          </w:tcPr>
          <w:p w14:paraId="513F21D6" w14:textId="77777777" w:rsidR="00CB540F" w:rsidRPr="004E6EF0" w:rsidRDefault="00CB540F" w:rsidP="007D5029">
            <w:pPr>
              <w:spacing w:line="240" w:lineRule="auto"/>
              <w:rPr>
                <w:rFonts w:cs="Arial"/>
                <w:color w:val="auto"/>
                <w:lang w:eastAsia="en-AU"/>
              </w:rPr>
            </w:pPr>
            <w:r w:rsidRPr="004E6EF0">
              <w:rPr>
                <w:rFonts w:cs="Arial"/>
                <w:color w:val="auto"/>
                <w:lang w:eastAsia="en-AU"/>
              </w:rPr>
              <w:t>230</w:t>
            </w:r>
          </w:p>
        </w:tc>
        <w:tc>
          <w:tcPr>
            <w:tcW w:w="7603" w:type="dxa"/>
            <w:hideMark/>
          </w:tcPr>
          <w:p w14:paraId="7E01F34B" w14:textId="77777777" w:rsidR="00CB540F" w:rsidRPr="004E6EF0" w:rsidRDefault="00CB540F" w:rsidP="007D5029">
            <w:pPr>
              <w:spacing w:line="240" w:lineRule="auto"/>
              <w:rPr>
                <w:rFonts w:cs="Arial"/>
                <w:color w:val="auto"/>
                <w:lang w:eastAsia="en-AU"/>
              </w:rPr>
            </w:pPr>
            <w:r w:rsidRPr="004E6EF0">
              <w:rPr>
                <w:rFonts w:cs="Arial"/>
                <w:color w:val="auto"/>
                <w:lang w:eastAsia="en-AU"/>
              </w:rPr>
              <w:t>Oysters Australia</w:t>
            </w:r>
          </w:p>
        </w:tc>
      </w:tr>
      <w:tr w:rsidR="00CB540F" w:rsidRPr="004E6EF0" w14:paraId="3BB5DB00" w14:textId="77777777" w:rsidTr="00A2598E">
        <w:trPr>
          <w:trHeight w:val="255"/>
          <w:tblHeader/>
        </w:trPr>
        <w:tc>
          <w:tcPr>
            <w:tcW w:w="1577" w:type="dxa"/>
            <w:noWrap/>
            <w:hideMark/>
          </w:tcPr>
          <w:p w14:paraId="378A514D" w14:textId="77777777" w:rsidR="00CB540F" w:rsidRPr="004E6EF0" w:rsidRDefault="00CB540F" w:rsidP="007D5029">
            <w:pPr>
              <w:spacing w:line="240" w:lineRule="auto"/>
              <w:rPr>
                <w:rFonts w:cs="Arial"/>
                <w:color w:val="auto"/>
                <w:lang w:eastAsia="en-AU"/>
              </w:rPr>
            </w:pPr>
            <w:r w:rsidRPr="004E6EF0">
              <w:rPr>
                <w:rFonts w:cs="Arial"/>
                <w:color w:val="auto"/>
                <w:lang w:eastAsia="en-AU"/>
              </w:rPr>
              <w:t>231</w:t>
            </w:r>
          </w:p>
        </w:tc>
        <w:tc>
          <w:tcPr>
            <w:tcW w:w="7603" w:type="dxa"/>
            <w:hideMark/>
          </w:tcPr>
          <w:p w14:paraId="505DDB60"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Sheepmeat</w:t>
            </w:r>
            <w:proofErr w:type="spellEnd"/>
            <w:r w:rsidRPr="004E6EF0">
              <w:rPr>
                <w:rFonts w:cs="Arial"/>
                <w:color w:val="auto"/>
                <w:lang w:eastAsia="en-AU"/>
              </w:rPr>
              <w:t xml:space="preserve"> Council of Australia</w:t>
            </w:r>
          </w:p>
        </w:tc>
      </w:tr>
      <w:tr w:rsidR="00CB540F" w:rsidRPr="004E6EF0" w14:paraId="2486178A" w14:textId="77777777" w:rsidTr="00A2598E">
        <w:trPr>
          <w:trHeight w:val="255"/>
          <w:tblHeader/>
        </w:trPr>
        <w:tc>
          <w:tcPr>
            <w:tcW w:w="1577" w:type="dxa"/>
            <w:noWrap/>
            <w:hideMark/>
          </w:tcPr>
          <w:p w14:paraId="4A9F62C5" w14:textId="77777777" w:rsidR="00CB540F" w:rsidRPr="004E6EF0" w:rsidRDefault="00CB540F" w:rsidP="007D5029">
            <w:pPr>
              <w:spacing w:line="240" w:lineRule="auto"/>
              <w:rPr>
                <w:rFonts w:cs="Arial"/>
                <w:color w:val="auto"/>
                <w:lang w:eastAsia="en-AU"/>
              </w:rPr>
            </w:pPr>
            <w:r w:rsidRPr="004E6EF0">
              <w:rPr>
                <w:rFonts w:cs="Arial"/>
                <w:color w:val="auto"/>
                <w:lang w:eastAsia="en-AU"/>
              </w:rPr>
              <w:t>232</w:t>
            </w:r>
          </w:p>
        </w:tc>
        <w:tc>
          <w:tcPr>
            <w:tcW w:w="7603" w:type="dxa"/>
            <w:hideMark/>
          </w:tcPr>
          <w:p w14:paraId="5F9CFC40" w14:textId="77777777" w:rsidR="00CB540F" w:rsidRPr="004E6EF0" w:rsidRDefault="00CB540F" w:rsidP="007D5029">
            <w:pPr>
              <w:spacing w:line="240" w:lineRule="auto"/>
              <w:rPr>
                <w:rFonts w:cs="Arial"/>
                <w:color w:val="auto"/>
                <w:lang w:eastAsia="en-AU"/>
              </w:rPr>
            </w:pPr>
            <w:r w:rsidRPr="004E6EF0">
              <w:rPr>
                <w:rFonts w:cs="Arial"/>
                <w:color w:val="auto"/>
                <w:lang w:eastAsia="en-AU"/>
              </w:rPr>
              <w:t>CRC for Greenhouse Gas Technologies (CO2CRC)</w:t>
            </w:r>
          </w:p>
        </w:tc>
      </w:tr>
      <w:tr w:rsidR="00CB540F" w:rsidRPr="004E6EF0" w14:paraId="74B4BC9F" w14:textId="77777777" w:rsidTr="00A2598E">
        <w:trPr>
          <w:trHeight w:val="70"/>
          <w:tblHeader/>
        </w:trPr>
        <w:tc>
          <w:tcPr>
            <w:tcW w:w="1577" w:type="dxa"/>
            <w:noWrap/>
            <w:hideMark/>
          </w:tcPr>
          <w:p w14:paraId="4741DF60" w14:textId="77777777" w:rsidR="00CB540F" w:rsidRPr="004E6EF0" w:rsidRDefault="00CB540F" w:rsidP="007D5029">
            <w:pPr>
              <w:spacing w:line="240" w:lineRule="auto"/>
              <w:rPr>
                <w:rFonts w:cs="Arial"/>
                <w:color w:val="auto"/>
                <w:lang w:eastAsia="en-AU"/>
              </w:rPr>
            </w:pPr>
            <w:r w:rsidRPr="004E6EF0">
              <w:rPr>
                <w:rFonts w:cs="Arial"/>
                <w:color w:val="auto"/>
                <w:lang w:eastAsia="en-AU"/>
              </w:rPr>
              <w:t>233</w:t>
            </w:r>
          </w:p>
        </w:tc>
        <w:tc>
          <w:tcPr>
            <w:tcW w:w="7603" w:type="dxa"/>
            <w:hideMark/>
          </w:tcPr>
          <w:p w14:paraId="45234256" w14:textId="77777777" w:rsidR="00CB540F" w:rsidRPr="004E6EF0" w:rsidRDefault="00CB540F" w:rsidP="007D5029">
            <w:pPr>
              <w:spacing w:line="240" w:lineRule="auto"/>
              <w:rPr>
                <w:rFonts w:cs="Arial"/>
                <w:color w:val="auto"/>
                <w:lang w:eastAsia="en-AU"/>
              </w:rPr>
            </w:pPr>
            <w:r w:rsidRPr="004E6EF0">
              <w:rPr>
                <w:rFonts w:cs="Arial"/>
                <w:color w:val="auto"/>
                <w:lang w:eastAsia="en-AU"/>
              </w:rPr>
              <w:t>Orica</w:t>
            </w:r>
          </w:p>
        </w:tc>
      </w:tr>
      <w:tr w:rsidR="00CB540F" w:rsidRPr="004E6EF0" w14:paraId="231B6604" w14:textId="77777777" w:rsidTr="00A2598E">
        <w:trPr>
          <w:trHeight w:val="255"/>
          <w:tblHeader/>
        </w:trPr>
        <w:tc>
          <w:tcPr>
            <w:tcW w:w="1577" w:type="dxa"/>
            <w:noWrap/>
            <w:hideMark/>
          </w:tcPr>
          <w:p w14:paraId="54B528BB" w14:textId="77777777" w:rsidR="00CB540F" w:rsidRPr="004E6EF0" w:rsidRDefault="00CB540F" w:rsidP="007D5029">
            <w:pPr>
              <w:spacing w:line="240" w:lineRule="auto"/>
              <w:rPr>
                <w:rFonts w:cs="Arial"/>
                <w:color w:val="auto"/>
                <w:lang w:eastAsia="en-AU"/>
              </w:rPr>
            </w:pPr>
            <w:r w:rsidRPr="004E6EF0">
              <w:rPr>
                <w:rFonts w:cs="Arial"/>
                <w:color w:val="auto"/>
                <w:lang w:eastAsia="en-AU"/>
              </w:rPr>
              <w:t>234</w:t>
            </w:r>
          </w:p>
        </w:tc>
        <w:tc>
          <w:tcPr>
            <w:tcW w:w="7603" w:type="dxa"/>
            <w:hideMark/>
          </w:tcPr>
          <w:p w14:paraId="44E86945"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Stormwater Australia </w:t>
            </w:r>
          </w:p>
        </w:tc>
      </w:tr>
      <w:tr w:rsidR="00CB540F" w:rsidRPr="004E6EF0" w14:paraId="542284BA" w14:textId="77777777" w:rsidTr="00A2598E">
        <w:trPr>
          <w:trHeight w:val="255"/>
          <w:tblHeader/>
        </w:trPr>
        <w:tc>
          <w:tcPr>
            <w:tcW w:w="1577" w:type="dxa"/>
            <w:noWrap/>
            <w:hideMark/>
          </w:tcPr>
          <w:p w14:paraId="6D257B25" w14:textId="77777777" w:rsidR="00CB540F" w:rsidRPr="004E6EF0" w:rsidRDefault="00CB540F" w:rsidP="007D5029">
            <w:pPr>
              <w:spacing w:line="240" w:lineRule="auto"/>
              <w:rPr>
                <w:rFonts w:cs="Arial"/>
                <w:color w:val="auto"/>
                <w:lang w:eastAsia="en-AU"/>
              </w:rPr>
            </w:pPr>
            <w:r w:rsidRPr="004E6EF0">
              <w:rPr>
                <w:rFonts w:cs="Arial"/>
                <w:color w:val="auto"/>
                <w:lang w:eastAsia="en-AU"/>
              </w:rPr>
              <w:lastRenderedPageBreak/>
              <w:t>235</w:t>
            </w:r>
          </w:p>
        </w:tc>
        <w:tc>
          <w:tcPr>
            <w:tcW w:w="7603" w:type="dxa"/>
            <w:hideMark/>
          </w:tcPr>
          <w:p w14:paraId="51F23686" w14:textId="77777777" w:rsidR="00CB540F" w:rsidRPr="004E6EF0" w:rsidRDefault="00CB540F" w:rsidP="007D5029">
            <w:pPr>
              <w:spacing w:line="240" w:lineRule="auto"/>
              <w:rPr>
                <w:rFonts w:cs="Arial"/>
                <w:color w:val="auto"/>
                <w:lang w:eastAsia="en-AU"/>
              </w:rPr>
            </w:pPr>
            <w:r w:rsidRPr="004E6EF0">
              <w:rPr>
                <w:rFonts w:cs="Arial"/>
                <w:color w:val="auto"/>
                <w:lang w:eastAsia="en-AU"/>
              </w:rPr>
              <w:t>Dairy Australia</w:t>
            </w:r>
          </w:p>
        </w:tc>
      </w:tr>
      <w:tr w:rsidR="00CB540F" w:rsidRPr="004E6EF0" w14:paraId="2F404D1D" w14:textId="77777777" w:rsidTr="00A2598E">
        <w:trPr>
          <w:trHeight w:val="255"/>
          <w:tblHeader/>
        </w:trPr>
        <w:tc>
          <w:tcPr>
            <w:tcW w:w="1577" w:type="dxa"/>
            <w:noWrap/>
            <w:hideMark/>
          </w:tcPr>
          <w:p w14:paraId="4B4AA970" w14:textId="77777777" w:rsidR="00CB540F" w:rsidRPr="004E6EF0" w:rsidRDefault="00CB540F" w:rsidP="007D5029">
            <w:pPr>
              <w:spacing w:line="240" w:lineRule="auto"/>
              <w:rPr>
                <w:rFonts w:cs="Arial"/>
                <w:color w:val="auto"/>
                <w:lang w:eastAsia="en-AU"/>
              </w:rPr>
            </w:pPr>
            <w:r w:rsidRPr="004E6EF0">
              <w:rPr>
                <w:rFonts w:cs="Arial"/>
                <w:color w:val="auto"/>
                <w:lang w:eastAsia="en-AU"/>
              </w:rPr>
              <w:t>236</w:t>
            </w:r>
          </w:p>
        </w:tc>
        <w:tc>
          <w:tcPr>
            <w:tcW w:w="7603" w:type="dxa"/>
            <w:hideMark/>
          </w:tcPr>
          <w:p w14:paraId="0A530DAD" w14:textId="77777777" w:rsidR="00CB540F" w:rsidRPr="004E6EF0" w:rsidRDefault="00CB540F" w:rsidP="007D5029">
            <w:pPr>
              <w:spacing w:line="240" w:lineRule="auto"/>
              <w:rPr>
                <w:rFonts w:cs="Arial"/>
                <w:color w:val="auto"/>
                <w:lang w:eastAsia="en-AU"/>
              </w:rPr>
            </w:pPr>
            <w:r w:rsidRPr="004E6EF0">
              <w:rPr>
                <w:rFonts w:cs="Arial"/>
                <w:color w:val="auto"/>
                <w:lang w:eastAsia="en-AU"/>
              </w:rPr>
              <w:t>CSIRO</w:t>
            </w:r>
          </w:p>
        </w:tc>
      </w:tr>
      <w:tr w:rsidR="00CB540F" w:rsidRPr="004E6EF0" w14:paraId="7209C12B" w14:textId="77777777" w:rsidTr="00A2598E">
        <w:trPr>
          <w:trHeight w:val="255"/>
          <w:tblHeader/>
        </w:trPr>
        <w:tc>
          <w:tcPr>
            <w:tcW w:w="1577" w:type="dxa"/>
            <w:noWrap/>
            <w:hideMark/>
          </w:tcPr>
          <w:p w14:paraId="50DB0BE7" w14:textId="77777777" w:rsidR="00CB540F" w:rsidRPr="004E6EF0" w:rsidRDefault="00CB540F" w:rsidP="007D5029">
            <w:pPr>
              <w:spacing w:line="240" w:lineRule="auto"/>
              <w:rPr>
                <w:rFonts w:cs="Arial"/>
                <w:color w:val="auto"/>
                <w:lang w:eastAsia="en-AU"/>
              </w:rPr>
            </w:pPr>
            <w:r w:rsidRPr="004E6EF0">
              <w:rPr>
                <w:rFonts w:cs="Arial"/>
                <w:color w:val="auto"/>
                <w:lang w:eastAsia="en-AU"/>
              </w:rPr>
              <w:t>237</w:t>
            </w:r>
          </w:p>
        </w:tc>
        <w:tc>
          <w:tcPr>
            <w:tcW w:w="7603" w:type="dxa"/>
            <w:hideMark/>
          </w:tcPr>
          <w:p w14:paraId="7E6489DC" w14:textId="77777777" w:rsidR="00CB540F" w:rsidRPr="004E6EF0" w:rsidRDefault="00CB540F" w:rsidP="007D5029">
            <w:pPr>
              <w:spacing w:line="240" w:lineRule="auto"/>
              <w:rPr>
                <w:rFonts w:cs="Arial"/>
                <w:color w:val="auto"/>
                <w:lang w:eastAsia="en-AU"/>
              </w:rPr>
            </w:pPr>
            <w:r w:rsidRPr="004E6EF0">
              <w:rPr>
                <w:rFonts w:cs="Arial"/>
                <w:color w:val="auto"/>
                <w:lang w:eastAsia="en-AU"/>
              </w:rPr>
              <w:t>Neville Sawyer</w:t>
            </w:r>
          </w:p>
        </w:tc>
      </w:tr>
      <w:tr w:rsidR="00CB540F" w:rsidRPr="004E6EF0" w14:paraId="2DE12203" w14:textId="77777777" w:rsidTr="00A2598E">
        <w:trPr>
          <w:trHeight w:val="255"/>
          <w:tblHeader/>
        </w:trPr>
        <w:tc>
          <w:tcPr>
            <w:tcW w:w="1577" w:type="dxa"/>
            <w:noWrap/>
            <w:hideMark/>
          </w:tcPr>
          <w:p w14:paraId="7B447F63" w14:textId="77777777" w:rsidR="00CB540F" w:rsidRPr="004E6EF0" w:rsidRDefault="00CB540F" w:rsidP="007D5029">
            <w:pPr>
              <w:spacing w:line="240" w:lineRule="auto"/>
              <w:rPr>
                <w:rFonts w:cs="Arial"/>
                <w:color w:val="auto"/>
                <w:lang w:eastAsia="en-AU"/>
              </w:rPr>
            </w:pPr>
            <w:r w:rsidRPr="004E6EF0">
              <w:rPr>
                <w:rFonts w:cs="Arial"/>
                <w:color w:val="auto"/>
                <w:lang w:eastAsia="en-AU"/>
              </w:rPr>
              <w:t>238</w:t>
            </w:r>
          </w:p>
        </w:tc>
        <w:tc>
          <w:tcPr>
            <w:tcW w:w="7603" w:type="dxa"/>
            <w:hideMark/>
          </w:tcPr>
          <w:p w14:paraId="0DD7E10B"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Thomas Foods International </w:t>
            </w:r>
          </w:p>
        </w:tc>
      </w:tr>
      <w:tr w:rsidR="00CB540F" w:rsidRPr="004E6EF0" w14:paraId="42C47331" w14:textId="77777777" w:rsidTr="00A2598E">
        <w:trPr>
          <w:trHeight w:val="255"/>
          <w:tblHeader/>
        </w:trPr>
        <w:tc>
          <w:tcPr>
            <w:tcW w:w="1577" w:type="dxa"/>
            <w:noWrap/>
            <w:hideMark/>
          </w:tcPr>
          <w:p w14:paraId="30E29DB7" w14:textId="77777777" w:rsidR="00CB540F" w:rsidRPr="004E6EF0" w:rsidRDefault="00CB540F" w:rsidP="007D5029">
            <w:pPr>
              <w:spacing w:line="240" w:lineRule="auto"/>
              <w:rPr>
                <w:rFonts w:cs="Arial"/>
                <w:color w:val="auto"/>
                <w:lang w:eastAsia="en-AU"/>
              </w:rPr>
            </w:pPr>
            <w:r w:rsidRPr="004E6EF0">
              <w:rPr>
                <w:rFonts w:cs="Arial"/>
                <w:color w:val="auto"/>
                <w:lang w:eastAsia="en-AU"/>
              </w:rPr>
              <w:t>239</w:t>
            </w:r>
          </w:p>
        </w:tc>
        <w:tc>
          <w:tcPr>
            <w:tcW w:w="7603" w:type="dxa"/>
            <w:hideMark/>
          </w:tcPr>
          <w:p w14:paraId="00C93A0B" w14:textId="77777777" w:rsidR="00CB540F" w:rsidRPr="004E6EF0" w:rsidRDefault="00CB540F" w:rsidP="007D5029">
            <w:pPr>
              <w:spacing w:line="240" w:lineRule="auto"/>
              <w:rPr>
                <w:rFonts w:cs="Arial"/>
                <w:color w:val="auto"/>
                <w:lang w:eastAsia="en-AU"/>
              </w:rPr>
            </w:pPr>
            <w:r w:rsidRPr="004E6EF0">
              <w:rPr>
                <w:rFonts w:cs="Arial"/>
                <w:color w:val="auto"/>
                <w:lang w:eastAsia="en-AU"/>
              </w:rPr>
              <w:t>Innovation Australia</w:t>
            </w:r>
          </w:p>
        </w:tc>
      </w:tr>
      <w:tr w:rsidR="00CB540F" w:rsidRPr="004E6EF0" w14:paraId="2E20EE10" w14:textId="77777777" w:rsidTr="00A2598E">
        <w:trPr>
          <w:trHeight w:val="255"/>
          <w:tblHeader/>
        </w:trPr>
        <w:tc>
          <w:tcPr>
            <w:tcW w:w="1577" w:type="dxa"/>
            <w:noWrap/>
            <w:hideMark/>
          </w:tcPr>
          <w:p w14:paraId="0583E550" w14:textId="77777777" w:rsidR="00CB540F" w:rsidRPr="004E6EF0" w:rsidRDefault="00CB540F" w:rsidP="007D5029">
            <w:pPr>
              <w:spacing w:line="240" w:lineRule="auto"/>
              <w:rPr>
                <w:rFonts w:cs="Arial"/>
                <w:color w:val="auto"/>
                <w:lang w:eastAsia="en-AU"/>
              </w:rPr>
            </w:pPr>
            <w:r w:rsidRPr="004E6EF0">
              <w:rPr>
                <w:rFonts w:cs="Arial"/>
                <w:color w:val="auto"/>
                <w:lang w:eastAsia="en-AU"/>
              </w:rPr>
              <w:t>240</w:t>
            </w:r>
          </w:p>
        </w:tc>
        <w:tc>
          <w:tcPr>
            <w:tcW w:w="7603" w:type="dxa"/>
            <w:hideMark/>
          </w:tcPr>
          <w:p w14:paraId="3000EA15" w14:textId="77777777" w:rsidR="00CB540F" w:rsidRPr="004E6EF0" w:rsidRDefault="00CB540F" w:rsidP="007D5029">
            <w:pPr>
              <w:spacing w:line="240" w:lineRule="auto"/>
              <w:rPr>
                <w:rFonts w:cs="Arial"/>
                <w:color w:val="auto"/>
                <w:lang w:eastAsia="en-AU"/>
              </w:rPr>
            </w:pPr>
            <w:r w:rsidRPr="004E6EF0">
              <w:rPr>
                <w:rFonts w:cs="Arial"/>
                <w:color w:val="auto"/>
                <w:lang w:eastAsia="en-AU"/>
              </w:rPr>
              <w:t>Swan River Trust</w:t>
            </w:r>
          </w:p>
        </w:tc>
      </w:tr>
      <w:tr w:rsidR="00CB540F" w:rsidRPr="004E6EF0" w14:paraId="05AADE6E" w14:textId="77777777" w:rsidTr="00A2598E">
        <w:trPr>
          <w:trHeight w:val="255"/>
          <w:tblHeader/>
        </w:trPr>
        <w:tc>
          <w:tcPr>
            <w:tcW w:w="1577" w:type="dxa"/>
            <w:noWrap/>
            <w:hideMark/>
          </w:tcPr>
          <w:p w14:paraId="4059ABC3" w14:textId="77777777" w:rsidR="00CB540F" w:rsidRPr="004E6EF0" w:rsidRDefault="00CB540F" w:rsidP="007D5029">
            <w:pPr>
              <w:spacing w:line="240" w:lineRule="auto"/>
              <w:rPr>
                <w:rFonts w:cs="Arial"/>
                <w:color w:val="auto"/>
                <w:lang w:eastAsia="en-AU"/>
              </w:rPr>
            </w:pPr>
            <w:r w:rsidRPr="004E6EF0">
              <w:rPr>
                <w:rFonts w:cs="Arial"/>
                <w:color w:val="auto"/>
                <w:lang w:eastAsia="en-AU"/>
              </w:rPr>
              <w:t>241</w:t>
            </w:r>
          </w:p>
        </w:tc>
        <w:tc>
          <w:tcPr>
            <w:tcW w:w="7603" w:type="dxa"/>
            <w:hideMark/>
          </w:tcPr>
          <w:p w14:paraId="4B1F2A69" w14:textId="77777777" w:rsidR="00CB540F" w:rsidRPr="004E6EF0" w:rsidRDefault="00CB540F" w:rsidP="007D5029">
            <w:pPr>
              <w:spacing w:line="240" w:lineRule="auto"/>
              <w:rPr>
                <w:rFonts w:cs="Arial"/>
                <w:color w:val="auto"/>
                <w:lang w:eastAsia="en-AU"/>
              </w:rPr>
            </w:pPr>
            <w:r w:rsidRPr="004E6EF0">
              <w:rPr>
                <w:rFonts w:cs="Arial"/>
                <w:color w:val="auto"/>
                <w:lang w:eastAsia="en-AU"/>
              </w:rPr>
              <w:t>AusNet Services</w:t>
            </w:r>
          </w:p>
        </w:tc>
      </w:tr>
      <w:tr w:rsidR="00CB540F" w:rsidRPr="004E6EF0" w14:paraId="5B9744F5" w14:textId="77777777" w:rsidTr="00A2598E">
        <w:trPr>
          <w:trHeight w:val="255"/>
          <w:tblHeader/>
        </w:trPr>
        <w:tc>
          <w:tcPr>
            <w:tcW w:w="1577" w:type="dxa"/>
            <w:noWrap/>
            <w:hideMark/>
          </w:tcPr>
          <w:p w14:paraId="0723E51A" w14:textId="77777777" w:rsidR="00CB540F" w:rsidRPr="004E6EF0" w:rsidRDefault="00CB540F" w:rsidP="007D5029">
            <w:pPr>
              <w:spacing w:line="240" w:lineRule="auto"/>
              <w:rPr>
                <w:rFonts w:cs="Arial"/>
                <w:color w:val="auto"/>
                <w:lang w:eastAsia="en-AU"/>
              </w:rPr>
            </w:pPr>
            <w:r w:rsidRPr="004E6EF0">
              <w:rPr>
                <w:rFonts w:cs="Arial"/>
                <w:color w:val="auto"/>
                <w:lang w:eastAsia="en-AU"/>
              </w:rPr>
              <w:t>242</w:t>
            </w:r>
          </w:p>
        </w:tc>
        <w:tc>
          <w:tcPr>
            <w:tcW w:w="7603" w:type="dxa"/>
            <w:hideMark/>
          </w:tcPr>
          <w:p w14:paraId="0718C056" w14:textId="77777777" w:rsidR="00CB540F" w:rsidRPr="004E6EF0" w:rsidRDefault="00CB540F" w:rsidP="007D5029">
            <w:pPr>
              <w:spacing w:line="240" w:lineRule="auto"/>
              <w:rPr>
                <w:rFonts w:cs="Arial"/>
                <w:color w:val="auto"/>
                <w:lang w:eastAsia="en-AU"/>
              </w:rPr>
            </w:pPr>
            <w:r w:rsidRPr="004E6EF0">
              <w:rPr>
                <w:rFonts w:cs="Arial"/>
                <w:color w:val="auto"/>
                <w:lang w:eastAsia="en-AU"/>
              </w:rPr>
              <w:t>Western Australian Government</w:t>
            </w:r>
          </w:p>
        </w:tc>
      </w:tr>
      <w:tr w:rsidR="00CB540F" w:rsidRPr="004E6EF0" w14:paraId="67E36D23" w14:textId="77777777" w:rsidTr="00A2598E">
        <w:trPr>
          <w:trHeight w:val="255"/>
          <w:tblHeader/>
        </w:trPr>
        <w:tc>
          <w:tcPr>
            <w:tcW w:w="1577" w:type="dxa"/>
            <w:noWrap/>
            <w:hideMark/>
          </w:tcPr>
          <w:p w14:paraId="553D612A" w14:textId="77777777" w:rsidR="00CB540F" w:rsidRPr="004E6EF0" w:rsidRDefault="00CB540F" w:rsidP="007D5029">
            <w:pPr>
              <w:spacing w:line="240" w:lineRule="auto"/>
              <w:rPr>
                <w:rFonts w:cs="Arial"/>
                <w:color w:val="auto"/>
                <w:lang w:eastAsia="en-AU"/>
              </w:rPr>
            </w:pPr>
            <w:r w:rsidRPr="004E6EF0">
              <w:rPr>
                <w:rFonts w:cs="Arial"/>
                <w:color w:val="auto"/>
                <w:lang w:eastAsia="en-AU"/>
              </w:rPr>
              <w:t>243</w:t>
            </w:r>
          </w:p>
        </w:tc>
        <w:tc>
          <w:tcPr>
            <w:tcW w:w="7603" w:type="dxa"/>
            <w:hideMark/>
          </w:tcPr>
          <w:p w14:paraId="2EC57342"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Cell Therapies Pty Ltd </w:t>
            </w:r>
          </w:p>
        </w:tc>
      </w:tr>
      <w:tr w:rsidR="00CB540F" w:rsidRPr="004E6EF0" w14:paraId="4F721B9B" w14:textId="77777777" w:rsidTr="00A2598E">
        <w:trPr>
          <w:trHeight w:val="255"/>
          <w:tblHeader/>
        </w:trPr>
        <w:tc>
          <w:tcPr>
            <w:tcW w:w="1577" w:type="dxa"/>
            <w:noWrap/>
            <w:hideMark/>
          </w:tcPr>
          <w:p w14:paraId="1ADEC078" w14:textId="77777777" w:rsidR="00CB540F" w:rsidRPr="004E6EF0" w:rsidRDefault="00CB540F" w:rsidP="007D5029">
            <w:pPr>
              <w:spacing w:line="240" w:lineRule="auto"/>
              <w:rPr>
                <w:rFonts w:cs="Arial"/>
                <w:color w:val="auto"/>
                <w:lang w:eastAsia="en-AU"/>
              </w:rPr>
            </w:pPr>
            <w:r w:rsidRPr="004E6EF0">
              <w:rPr>
                <w:rFonts w:cs="Arial"/>
                <w:color w:val="auto"/>
                <w:lang w:eastAsia="en-AU"/>
              </w:rPr>
              <w:t>244</w:t>
            </w:r>
          </w:p>
        </w:tc>
        <w:tc>
          <w:tcPr>
            <w:tcW w:w="7603" w:type="dxa"/>
            <w:hideMark/>
          </w:tcPr>
          <w:p w14:paraId="6E8A6C85" w14:textId="77777777" w:rsidR="00CB540F" w:rsidRPr="004E6EF0" w:rsidRDefault="00CB540F" w:rsidP="007D5029">
            <w:pPr>
              <w:spacing w:line="240" w:lineRule="auto"/>
              <w:rPr>
                <w:rFonts w:cs="Arial"/>
                <w:color w:val="auto"/>
                <w:lang w:eastAsia="en-AU"/>
              </w:rPr>
            </w:pPr>
            <w:r w:rsidRPr="004E6EF0">
              <w:rPr>
                <w:rFonts w:cs="Arial"/>
                <w:color w:val="auto"/>
                <w:lang w:eastAsia="en-AU"/>
              </w:rPr>
              <w:t>South Australian Government</w:t>
            </w:r>
          </w:p>
        </w:tc>
      </w:tr>
      <w:tr w:rsidR="00CB540F" w:rsidRPr="004E6EF0" w14:paraId="4BEC9FD9" w14:textId="77777777" w:rsidTr="00A2598E">
        <w:trPr>
          <w:trHeight w:val="255"/>
          <w:tblHeader/>
        </w:trPr>
        <w:tc>
          <w:tcPr>
            <w:tcW w:w="1577" w:type="dxa"/>
            <w:noWrap/>
            <w:hideMark/>
          </w:tcPr>
          <w:p w14:paraId="6799FBB9" w14:textId="77777777" w:rsidR="00CB540F" w:rsidRPr="004E6EF0" w:rsidRDefault="00CB540F" w:rsidP="007D5029">
            <w:pPr>
              <w:spacing w:line="240" w:lineRule="auto"/>
              <w:rPr>
                <w:rFonts w:cs="Arial"/>
                <w:color w:val="auto"/>
                <w:lang w:eastAsia="en-AU"/>
              </w:rPr>
            </w:pPr>
            <w:r w:rsidRPr="004E6EF0">
              <w:rPr>
                <w:rFonts w:cs="Arial"/>
                <w:color w:val="auto"/>
                <w:lang w:eastAsia="en-AU"/>
              </w:rPr>
              <w:t>245</w:t>
            </w:r>
          </w:p>
        </w:tc>
        <w:tc>
          <w:tcPr>
            <w:tcW w:w="7603" w:type="dxa"/>
            <w:hideMark/>
          </w:tcPr>
          <w:p w14:paraId="195AD00F" w14:textId="77777777" w:rsidR="00CB540F" w:rsidRPr="004E6EF0" w:rsidRDefault="00CB540F" w:rsidP="007D5029">
            <w:pPr>
              <w:spacing w:line="240" w:lineRule="auto"/>
              <w:rPr>
                <w:rFonts w:cs="Arial"/>
                <w:color w:val="auto"/>
                <w:lang w:eastAsia="en-AU"/>
              </w:rPr>
            </w:pPr>
            <w:r w:rsidRPr="004E6EF0">
              <w:rPr>
                <w:rFonts w:cs="Arial"/>
                <w:color w:val="auto"/>
                <w:lang w:eastAsia="en-AU"/>
              </w:rPr>
              <w:t xml:space="preserve">Medical Technology Association of Australia </w:t>
            </w:r>
          </w:p>
        </w:tc>
      </w:tr>
      <w:tr w:rsidR="00CB540F" w:rsidRPr="004E6EF0" w14:paraId="167CE080" w14:textId="77777777" w:rsidTr="00A2598E">
        <w:trPr>
          <w:trHeight w:val="70"/>
          <w:tblHeader/>
        </w:trPr>
        <w:tc>
          <w:tcPr>
            <w:tcW w:w="1577" w:type="dxa"/>
            <w:noWrap/>
            <w:hideMark/>
          </w:tcPr>
          <w:p w14:paraId="4FBD1DD9" w14:textId="77777777" w:rsidR="00CB540F" w:rsidRPr="004E6EF0" w:rsidRDefault="00CB540F" w:rsidP="007D5029">
            <w:pPr>
              <w:spacing w:line="240" w:lineRule="auto"/>
              <w:rPr>
                <w:rFonts w:cs="Arial"/>
                <w:color w:val="auto"/>
                <w:lang w:eastAsia="en-AU"/>
              </w:rPr>
            </w:pPr>
            <w:r w:rsidRPr="004E6EF0">
              <w:rPr>
                <w:rFonts w:cs="Arial"/>
                <w:color w:val="auto"/>
                <w:lang w:eastAsia="en-AU"/>
              </w:rPr>
              <w:t>246</w:t>
            </w:r>
          </w:p>
        </w:tc>
        <w:tc>
          <w:tcPr>
            <w:tcW w:w="7603" w:type="dxa"/>
            <w:hideMark/>
          </w:tcPr>
          <w:p w14:paraId="252EFBC1" w14:textId="77777777" w:rsidR="00CB540F" w:rsidRPr="004E6EF0" w:rsidRDefault="00CB540F" w:rsidP="007D5029">
            <w:pPr>
              <w:spacing w:line="240" w:lineRule="auto"/>
              <w:rPr>
                <w:rFonts w:cs="Arial"/>
                <w:color w:val="auto"/>
                <w:lang w:eastAsia="en-AU"/>
              </w:rPr>
            </w:pPr>
            <w:r w:rsidRPr="004E6EF0">
              <w:rPr>
                <w:rFonts w:cs="Arial"/>
                <w:color w:val="auto"/>
                <w:lang w:eastAsia="en-AU"/>
              </w:rPr>
              <w:t>Department of Environment and Primary Industries (VIC)</w:t>
            </w:r>
          </w:p>
        </w:tc>
      </w:tr>
      <w:tr w:rsidR="00CB540F" w:rsidRPr="004E6EF0" w14:paraId="36B71D03" w14:textId="77777777" w:rsidTr="00A2598E">
        <w:trPr>
          <w:trHeight w:val="70"/>
          <w:tblHeader/>
        </w:trPr>
        <w:tc>
          <w:tcPr>
            <w:tcW w:w="1577" w:type="dxa"/>
            <w:noWrap/>
            <w:hideMark/>
          </w:tcPr>
          <w:p w14:paraId="4FBD499E" w14:textId="77777777" w:rsidR="00CB540F" w:rsidRPr="004E6EF0" w:rsidRDefault="00CB540F" w:rsidP="007D5029">
            <w:pPr>
              <w:spacing w:line="240" w:lineRule="auto"/>
              <w:rPr>
                <w:rFonts w:cs="Arial"/>
                <w:color w:val="auto"/>
                <w:lang w:eastAsia="en-AU"/>
              </w:rPr>
            </w:pPr>
            <w:r w:rsidRPr="004E6EF0">
              <w:rPr>
                <w:rFonts w:cs="Arial"/>
                <w:color w:val="auto"/>
                <w:lang w:eastAsia="en-AU"/>
              </w:rPr>
              <w:t>247</w:t>
            </w:r>
          </w:p>
        </w:tc>
        <w:tc>
          <w:tcPr>
            <w:tcW w:w="7603" w:type="dxa"/>
            <w:hideMark/>
          </w:tcPr>
          <w:p w14:paraId="2BBE184D" w14:textId="77777777" w:rsidR="00CB540F" w:rsidRPr="004E6EF0" w:rsidRDefault="00CB540F" w:rsidP="007D5029">
            <w:pPr>
              <w:spacing w:line="240" w:lineRule="auto"/>
              <w:rPr>
                <w:rFonts w:cs="Arial"/>
                <w:color w:val="auto"/>
                <w:lang w:eastAsia="en-AU"/>
              </w:rPr>
            </w:pPr>
            <w:r w:rsidRPr="004E6EF0">
              <w:rPr>
                <w:rFonts w:cs="Arial"/>
                <w:color w:val="auto"/>
                <w:lang w:eastAsia="en-AU"/>
              </w:rPr>
              <w:t>Murdoch University</w:t>
            </w:r>
          </w:p>
        </w:tc>
      </w:tr>
      <w:tr w:rsidR="00CB540F" w:rsidRPr="004E6EF0" w14:paraId="56B049E8" w14:textId="77777777" w:rsidTr="00A2598E">
        <w:trPr>
          <w:trHeight w:val="255"/>
          <w:tblHeader/>
        </w:trPr>
        <w:tc>
          <w:tcPr>
            <w:tcW w:w="1577" w:type="dxa"/>
            <w:noWrap/>
            <w:hideMark/>
          </w:tcPr>
          <w:p w14:paraId="29E0CA2B" w14:textId="77777777" w:rsidR="00CB540F" w:rsidRPr="004E6EF0" w:rsidRDefault="00CB540F" w:rsidP="007D5029">
            <w:pPr>
              <w:spacing w:line="240" w:lineRule="auto"/>
              <w:rPr>
                <w:rFonts w:cs="Arial"/>
                <w:color w:val="auto"/>
                <w:lang w:eastAsia="en-AU"/>
              </w:rPr>
            </w:pPr>
            <w:r w:rsidRPr="004E6EF0">
              <w:rPr>
                <w:rFonts w:cs="Arial"/>
                <w:color w:val="auto"/>
                <w:lang w:eastAsia="en-AU"/>
              </w:rPr>
              <w:t>248</w:t>
            </w:r>
          </w:p>
        </w:tc>
        <w:tc>
          <w:tcPr>
            <w:tcW w:w="7603" w:type="dxa"/>
            <w:hideMark/>
          </w:tcPr>
          <w:p w14:paraId="2FB89170" w14:textId="77777777" w:rsidR="00CB540F" w:rsidRPr="004E6EF0" w:rsidRDefault="00CB540F" w:rsidP="007D5029">
            <w:pPr>
              <w:spacing w:line="240" w:lineRule="auto"/>
              <w:rPr>
                <w:rFonts w:cs="Arial"/>
                <w:color w:val="auto"/>
                <w:lang w:eastAsia="en-AU"/>
              </w:rPr>
            </w:pPr>
            <w:r w:rsidRPr="004E6EF0">
              <w:rPr>
                <w:rFonts w:cs="Arial"/>
                <w:color w:val="auto"/>
                <w:lang w:eastAsia="en-AU"/>
              </w:rPr>
              <w:t>CRC Committee</w:t>
            </w:r>
          </w:p>
        </w:tc>
      </w:tr>
      <w:tr w:rsidR="00CB540F" w:rsidRPr="004E6EF0" w14:paraId="2EA9C208" w14:textId="77777777" w:rsidTr="00A2598E">
        <w:trPr>
          <w:trHeight w:val="255"/>
          <w:tblHeader/>
        </w:trPr>
        <w:tc>
          <w:tcPr>
            <w:tcW w:w="1577" w:type="dxa"/>
            <w:noWrap/>
            <w:hideMark/>
          </w:tcPr>
          <w:p w14:paraId="4410296A" w14:textId="77777777" w:rsidR="00CB540F" w:rsidRPr="004E6EF0" w:rsidRDefault="00CB540F" w:rsidP="007D5029">
            <w:pPr>
              <w:spacing w:line="240" w:lineRule="auto"/>
              <w:rPr>
                <w:rFonts w:cs="Arial"/>
                <w:color w:val="auto"/>
                <w:lang w:eastAsia="en-AU"/>
              </w:rPr>
            </w:pPr>
            <w:r w:rsidRPr="004E6EF0">
              <w:rPr>
                <w:rFonts w:cs="Arial"/>
                <w:color w:val="auto"/>
                <w:lang w:eastAsia="en-AU"/>
              </w:rPr>
              <w:t>249</w:t>
            </w:r>
          </w:p>
        </w:tc>
        <w:tc>
          <w:tcPr>
            <w:tcW w:w="7603" w:type="dxa"/>
            <w:hideMark/>
          </w:tcPr>
          <w:p w14:paraId="3B11A312" w14:textId="77777777" w:rsidR="00CB540F" w:rsidRPr="004E6EF0" w:rsidRDefault="00CB540F" w:rsidP="007D5029">
            <w:pPr>
              <w:spacing w:line="240" w:lineRule="auto"/>
              <w:rPr>
                <w:rFonts w:cs="Arial"/>
                <w:color w:val="auto"/>
                <w:lang w:eastAsia="en-AU"/>
              </w:rPr>
            </w:pPr>
            <w:r w:rsidRPr="004E6EF0">
              <w:rPr>
                <w:rFonts w:cs="Arial"/>
                <w:color w:val="auto"/>
                <w:lang w:eastAsia="en-AU"/>
              </w:rPr>
              <w:t>Brookfield Multiplex Australasia</w:t>
            </w:r>
          </w:p>
        </w:tc>
      </w:tr>
      <w:tr w:rsidR="00CB540F" w:rsidRPr="004E6EF0" w14:paraId="39B730D8" w14:textId="77777777" w:rsidTr="00A2598E">
        <w:trPr>
          <w:trHeight w:val="255"/>
          <w:tblHeader/>
        </w:trPr>
        <w:tc>
          <w:tcPr>
            <w:tcW w:w="1577" w:type="dxa"/>
            <w:noWrap/>
            <w:hideMark/>
          </w:tcPr>
          <w:p w14:paraId="4185743D" w14:textId="77777777" w:rsidR="00CB540F" w:rsidRPr="004E6EF0" w:rsidRDefault="00CB540F" w:rsidP="007D5029">
            <w:pPr>
              <w:spacing w:line="240" w:lineRule="auto"/>
              <w:rPr>
                <w:rFonts w:cs="Arial"/>
                <w:color w:val="auto"/>
                <w:lang w:eastAsia="en-AU"/>
              </w:rPr>
            </w:pPr>
            <w:r w:rsidRPr="004E6EF0">
              <w:rPr>
                <w:rFonts w:cs="Arial"/>
                <w:color w:val="auto"/>
                <w:lang w:eastAsia="en-AU"/>
              </w:rPr>
              <w:t>250</w:t>
            </w:r>
          </w:p>
        </w:tc>
        <w:tc>
          <w:tcPr>
            <w:tcW w:w="7603" w:type="dxa"/>
            <w:hideMark/>
          </w:tcPr>
          <w:p w14:paraId="37C91F01" w14:textId="77777777" w:rsidR="00CB540F" w:rsidRPr="004E6EF0" w:rsidRDefault="00CB540F" w:rsidP="007D5029">
            <w:pPr>
              <w:spacing w:line="240" w:lineRule="auto"/>
              <w:rPr>
                <w:rFonts w:cs="Arial"/>
                <w:color w:val="auto"/>
                <w:lang w:eastAsia="en-AU"/>
              </w:rPr>
            </w:pPr>
            <w:proofErr w:type="spellStart"/>
            <w:r w:rsidRPr="004E6EF0">
              <w:rPr>
                <w:rFonts w:cs="Arial"/>
                <w:color w:val="auto"/>
                <w:lang w:eastAsia="en-AU"/>
              </w:rPr>
              <w:t>Sirca</w:t>
            </w:r>
            <w:proofErr w:type="spellEnd"/>
          </w:p>
        </w:tc>
      </w:tr>
      <w:tr w:rsidR="00CB540F" w:rsidRPr="004E6EF0" w14:paraId="4F1569F0" w14:textId="77777777" w:rsidTr="00A2598E">
        <w:trPr>
          <w:trHeight w:val="60"/>
          <w:tblHeader/>
        </w:trPr>
        <w:tc>
          <w:tcPr>
            <w:tcW w:w="1577" w:type="dxa"/>
            <w:noWrap/>
            <w:hideMark/>
          </w:tcPr>
          <w:p w14:paraId="43D9B33F" w14:textId="77777777" w:rsidR="00CB540F" w:rsidRPr="004E6EF0" w:rsidRDefault="00CB540F" w:rsidP="007D5029">
            <w:pPr>
              <w:spacing w:line="240" w:lineRule="auto"/>
              <w:rPr>
                <w:rFonts w:cs="Arial"/>
                <w:color w:val="auto"/>
                <w:lang w:eastAsia="en-AU"/>
              </w:rPr>
            </w:pPr>
            <w:r w:rsidRPr="004E6EF0">
              <w:rPr>
                <w:rFonts w:cs="Arial"/>
                <w:color w:val="auto"/>
                <w:lang w:eastAsia="en-AU"/>
              </w:rPr>
              <w:t>251</w:t>
            </w:r>
          </w:p>
        </w:tc>
        <w:tc>
          <w:tcPr>
            <w:tcW w:w="7603" w:type="dxa"/>
            <w:hideMark/>
          </w:tcPr>
          <w:p w14:paraId="11BE5D7E" w14:textId="77777777" w:rsidR="00CB540F" w:rsidRPr="004E6EF0" w:rsidRDefault="00CB540F" w:rsidP="007D5029">
            <w:pPr>
              <w:spacing w:line="240" w:lineRule="auto"/>
              <w:rPr>
                <w:rFonts w:cs="Arial"/>
                <w:color w:val="auto"/>
                <w:lang w:eastAsia="en-AU"/>
              </w:rPr>
            </w:pPr>
            <w:r w:rsidRPr="004E6EF0">
              <w:rPr>
                <w:rFonts w:cs="Arial"/>
                <w:color w:val="auto"/>
                <w:lang w:eastAsia="en-AU"/>
              </w:rPr>
              <w:t>Queensland Government</w:t>
            </w:r>
          </w:p>
        </w:tc>
      </w:tr>
    </w:tbl>
    <w:p w14:paraId="038DFAC0" w14:textId="77777777" w:rsidR="00CB540F" w:rsidRPr="00CB540F" w:rsidRDefault="00CB540F" w:rsidP="00CB540F">
      <w:pPr>
        <w:spacing w:line="240" w:lineRule="auto"/>
        <w:rPr>
          <w:rFonts w:eastAsiaTheme="minorHAnsi" w:cs="Arial"/>
          <w:b/>
          <w:bCs/>
          <w:color w:val="auto"/>
        </w:rPr>
      </w:pPr>
      <w:r w:rsidRPr="00CB540F">
        <w:rPr>
          <w:rFonts w:cs="Arial"/>
          <w:color w:val="auto"/>
        </w:rPr>
        <w:br w:type="page"/>
      </w:r>
    </w:p>
    <w:p w14:paraId="78D95410" w14:textId="77777777" w:rsidR="00CB540F" w:rsidRPr="00CB540F" w:rsidRDefault="00CB540F" w:rsidP="00CC5BF1">
      <w:pPr>
        <w:pStyle w:val="Heading3"/>
        <w:ind w:left="0" w:firstLine="0"/>
      </w:pPr>
      <w:bookmarkStart w:id="59" w:name="_Toc413948629"/>
      <w:bookmarkStart w:id="60" w:name="_Toc415042870"/>
      <w:r w:rsidRPr="00CB540F">
        <w:lastRenderedPageBreak/>
        <w:t>2. Background of the CRC Programme</w:t>
      </w:r>
      <w:bookmarkEnd w:id="59"/>
      <w:bookmarkEnd w:id="60"/>
    </w:p>
    <w:p w14:paraId="447AF27B" w14:textId="77777777" w:rsidR="00CB540F" w:rsidRPr="00CB540F" w:rsidRDefault="00CB540F" w:rsidP="002D34D5">
      <w:pPr>
        <w:pStyle w:val="BodyText"/>
      </w:pPr>
      <w:r w:rsidRPr="00CB540F">
        <w:t>This section of the report provides background information on the CRC programme to date including:</w:t>
      </w:r>
    </w:p>
    <w:p w14:paraId="3BB53E83" w14:textId="77777777" w:rsidR="00CB540F" w:rsidRPr="00CB540F" w:rsidRDefault="00CB540F" w:rsidP="00772D52">
      <w:pPr>
        <w:pStyle w:val="ListBullet"/>
        <w:rPr>
          <w:rFonts w:eastAsiaTheme="minorHAnsi"/>
        </w:rPr>
      </w:pPr>
      <w:r w:rsidRPr="00CB540F">
        <w:rPr>
          <w:rFonts w:eastAsiaTheme="minorHAnsi"/>
        </w:rPr>
        <w:t xml:space="preserve">key facts and figures; </w:t>
      </w:r>
    </w:p>
    <w:p w14:paraId="332BFBA9" w14:textId="77777777" w:rsidR="00CB540F" w:rsidRPr="00CB540F" w:rsidRDefault="00CB540F" w:rsidP="00772D52">
      <w:pPr>
        <w:pStyle w:val="ListBullet"/>
        <w:rPr>
          <w:rFonts w:eastAsiaTheme="minorHAnsi"/>
        </w:rPr>
      </w:pPr>
      <w:r w:rsidRPr="00CB540F">
        <w:rPr>
          <w:rFonts w:eastAsiaTheme="minorHAnsi"/>
        </w:rPr>
        <w:t xml:space="preserve">overview of previous reviews and evaluations; </w:t>
      </w:r>
      <w:r w:rsidR="007B08AD">
        <w:rPr>
          <w:rFonts w:eastAsiaTheme="minorHAnsi"/>
        </w:rPr>
        <w:t>and</w:t>
      </w:r>
    </w:p>
    <w:p w14:paraId="39625497" w14:textId="77777777" w:rsidR="00CB540F" w:rsidRPr="00CB540F" w:rsidRDefault="00CB540F" w:rsidP="00772D52">
      <w:pPr>
        <w:pStyle w:val="ListBullet"/>
        <w:rPr>
          <w:rFonts w:eastAsiaTheme="minorHAnsi"/>
        </w:rPr>
      </w:pPr>
      <w:r w:rsidRPr="00CB540F">
        <w:rPr>
          <w:rFonts w:eastAsiaTheme="minorHAnsi"/>
        </w:rPr>
        <w:t xml:space="preserve">summary </w:t>
      </w:r>
      <w:r w:rsidR="007B08AD">
        <w:rPr>
          <w:rFonts w:eastAsiaTheme="minorHAnsi"/>
        </w:rPr>
        <w:t>of changes to the programme.</w:t>
      </w:r>
    </w:p>
    <w:p w14:paraId="0C5408AA" w14:textId="77777777" w:rsidR="00CB540F" w:rsidRPr="00CB540F" w:rsidRDefault="00CB540F" w:rsidP="00CC5BF1">
      <w:pPr>
        <w:pStyle w:val="Heading4"/>
        <w:ind w:left="0" w:firstLine="0"/>
      </w:pPr>
      <w:bookmarkStart w:id="61" w:name="_Toc413948630"/>
      <w:bookmarkStart w:id="62" w:name="_Toc415042871"/>
      <w:r w:rsidRPr="00CB540F">
        <w:t>2.1 Introduction</w:t>
      </w:r>
      <w:bookmarkEnd w:id="61"/>
      <w:bookmarkEnd w:id="62"/>
    </w:p>
    <w:p w14:paraId="0EDD1324" w14:textId="77777777" w:rsidR="00CB540F" w:rsidRPr="00CB540F" w:rsidRDefault="00CB540F" w:rsidP="002D34D5">
      <w:pPr>
        <w:pStyle w:val="BodyText"/>
      </w:pPr>
      <w:r w:rsidRPr="00CB540F">
        <w:t>The CRC Programme is an Australian Government competitive, merit based grant programme designed to deliver significant economic, environmental and social benefits to Australia by supporting end-user driven research partnerships between publicly funded researchers and end users to address major challenges that require medium to long-term collaborative efforts. CRCs pursue solutions to these challenges that are innovative, of high impact and capable of being effectively deployed by end-users.</w:t>
      </w:r>
    </w:p>
    <w:p w14:paraId="5233F417" w14:textId="77777777" w:rsidR="00CB540F" w:rsidRPr="00CB540F" w:rsidRDefault="00CB540F" w:rsidP="002D34D5">
      <w:pPr>
        <w:pStyle w:val="BodyText"/>
      </w:pPr>
      <w:r w:rsidRPr="00CB540F">
        <w:t>The CRC Programme was established in 1990, having been designed by the then Australian Chief Scienti</w:t>
      </w:r>
      <w:r w:rsidR="008A7192">
        <w:t xml:space="preserve">st, Professor Ralph </w:t>
      </w:r>
      <w:proofErr w:type="spellStart"/>
      <w:r w:rsidR="008A7192">
        <w:t>Slatyer</w:t>
      </w:r>
      <w:proofErr w:type="spellEnd"/>
      <w:r w:rsidR="008A7192">
        <w:t xml:space="preserve"> to:</w:t>
      </w:r>
    </w:p>
    <w:p w14:paraId="2E27F00C" w14:textId="77777777" w:rsidR="00CB540F" w:rsidRPr="00CB540F" w:rsidRDefault="00CB540F" w:rsidP="00772D52">
      <w:pPr>
        <w:pStyle w:val="ListBullet"/>
        <w:rPr>
          <w:rFonts w:eastAsiaTheme="minorHAnsi"/>
        </w:rPr>
      </w:pPr>
      <w:r w:rsidRPr="00CB540F">
        <w:rPr>
          <w:rFonts w:eastAsiaTheme="minorHAnsi"/>
        </w:rPr>
        <w:t>link advances in science and technology as effectively as possible to applications in industry and other sectors such as health and environment;</w:t>
      </w:r>
    </w:p>
    <w:p w14:paraId="4D30C018" w14:textId="77777777" w:rsidR="00CB540F" w:rsidRPr="00CB540F" w:rsidRDefault="00CB540F" w:rsidP="00772D52">
      <w:pPr>
        <w:pStyle w:val="ListBullet"/>
        <w:rPr>
          <w:rFonts w:eastAsiaTheme="minorHAnsi"/>
        </w:rPr>
      </w:pPr>
      <w:r w:rsidRPr="00CB540F">
        <w:rPr>
          <w:rFonts w:eastAsiaTheme="minorHAnsi"/>
        </w:rPr>
        <w:t>overcome the difficulties arising from Australia’s scientific and technological resources being dispersed geographically and institutionally, by establishing concentrations of researchers and critical mass of resources;</w:t>
      </w:r>
    </w:p>
    <w:p w14:paraId="62463A59" w14:textId="77777777" w:rsidR="00CB540F" w:rsidRPr="00CB540F" w:rsidRDefault="00CB540F" w:rsidP="00772D52">
      <w:pPr>
        <w:pStyle w:val="ListBullet"/>
        <w:rPr>
          <w:rFonts w:eastAsiaTheme="minorHAnsi"/>
        </w:rPr>
      </w:pPr>
      <w:r w:rsidRPr="00CB540F">
        <w:rPr>
          <w:rFonts w:eastAsiaTheme="minorHAnsi"/>
        </w:rPr>
        <w:t>strengthen the interaction between government research agencies and the private sector; and</w:t>
      </w:r>
    </w:p>
    <w:p w14:paraId="3B395C2C" w14:textId="77777777" w:rsidR="00CB540F" w:rsidRPr="00CB540F" w:rsidRDefault="00CB540F" w:rsidP="00772D52">
      <w:pPr>
        <w:pStyle w:val="ListBullet"/>
        <w:rPr>
          <w:rFonts w:eastAsiaTheme="minorHAnsi"/>
        </w:rPr>
      </w:pPr>
      <w:r w:rsidRPr="00CB540F">
        <w:rPr>
          <w:rFonts w:eastAsiaTheme="minorHAnsi"/>
        </w:rPr>
        <w:t>ensure Australia’s science and technology graduate and postgraduate students have experience both in research and in linking research to its eventual use.</w:t>
      </w:r>
    </w:p>
    <w:p w14:paraId="2291D6C8" w14:textId="77777777" w:rsidR="00CB540F" w:rsidRPr="00CB540F" w:rsidRDefault="00CB540F" w:rsidP="002D34D5">
      <w:pPr>
        <w:pStyle w:val="BodyText"/>
      </w:pPr>
      <w:r w:rsidRPr="00CB540F">
        <w:t xml:space="preserve">Since its establishment, the CRC Programme has been one of the main policy instruments for encouraging high quality, medium to long term collaborative research in Australia. The CRC Programme objectives sought to link advances in science and technology with their eventual application in industry and in other areas of national </w:t>
      </w:r>
      <w:r w:rsidRPr="00CB540F">
        <w:lastRenderedPageBreak/>
        <w:t>interest. The collaborative, public-private partnership model of the CRC Programme was designed to maximise the benefits from investment in publicly funded research</w:t>
      </w:r>
      <w:r w:rsidR="00C314F6">
        <w:t>.</w:t>
      </w:r>
      <w:r w:rsidR="00C314F6" w:rsidRPr="00CB540F">
        <w:rPr>
          <w:vertAlign w:val="superscript"/>
        </w:rPr>
        <w:footnoteReference w:id="8"/>
      </w:r>
    </w:p>
    <w:p w14:paraId="4FE9857B" w14:textId="77777777" w:rsidR="00CB540F" w:rsidRPr="00CB540F" w:rsidRDefault="00CB540F" w:rsidP="002D34D5">
      <w:pPr>
        <w:pStyle w:val="BodyText"/>
      </w:pPr>
      <w:r w:rsidRPr="00CB540F">
        <w:t>The CRC model aims to bring together researchers and end users to facilitate the generation of outcomes from high quality, user-oriented research. In 2013, a priority public good funding mechanism was established for CRCs to deliver outcomes and impacts that benefit the broader community and society as a whole, rather than being captured exclusively by</w:t>
      </w:r>
      <w:r w:rsidR="008A7192">
        <w:t xml:space="preserve"> private or industry interests.</w:t>
      </w:r>
    </w:p>
    <w:p w14:paraId="4CB29CD2" w14:textId="77777777" w:rsidR="00CB540F" w:rsidRPr="00CB540F" w:rsidRDefault="00CB540F" w:rsidP="002D34D5">
      <w:pPr>
        <w:pStyle w:val="BodyText"/>
      </w:pPr>
      <w:r w:rsidRPr="00CB540F">
        <w:t>The programme has delivered benefits to Australia, including: directly contributing to improving skills and expanding research capacity; increasing innovation in business, government, research and the community sector; and boosting Australia’s domestic and in</w:t>
      </w:r>
      <w:r w:rsidR="008A7192">
        <w:t>ternational collaborations.</w:t>
      </w:r>
    </w:p>
    <w:p w14:paraId="7B36F5A8" w14:textId="77777777" w:rsidR="00CB540F" w:rsidRPr="00CB540F" w:rsidRDefault="00CB540F" w:rsidP="00CC5BF1">
      <w:pPr>
        <w:pStyle w:val="Heading4"/>
        <w:ind w:left="0" w:firstLine="0"/>
      </w:pPr>
      <w:bookmarkStart w:id="63" w:name="_Toc413948631"/>
      <w:bookmarkStart w:id="64" w:name="_Toc415042872"/>
      <w:r w:rsidRPr="00CB540F">
        <w:t>2.2 Key facts and figures</w:t>
      </w:r>
      <w:bookmarkEnd w:id="63"/>
      <w:bookmarkEnd w:id="64"/>
    </w:p>
    <w:p w14:paraId="067B3847" w14:textId="77777777" w:rsidR="00CB540F" w:rsidRPr="00CB540F" w:rsidRDefault="00CB540F" w:rsidP="00CC5BF1">
      <w:pPr>
        <w:pStyle w:val="Heading5"/>
        <w:ind w:left="0" w:firstLine="0"/>
      </w:pPr>
      <w:bookmarkStart w:id="65" w:name="_Toc413948632"/>
      <w:bookmarkStart w:id="66" w:name="_Toc415042873"/>
      <w:r w:rsidRPr="00CB540F">
        <w:t>2.2.1 Industry participation in CRCs</w:t>
      </w:r>
      <w:bookmarkEnd w:id="65"/>
      <w:bookmarkEnd w:id="66"/>
    </w:p>
    <w:p w14:paraId="402AB437" w14:textId="77777777" w:rsidR="00CB540F" w:rsidRDefault="007D5029" w:rsidP="002D34D5">
      <w:pPr>
        <w:pStyle w:val="BodyText"/>
      </w:pPr>
      <w:r w:rsidRPr="007D5029">
        <w:t>A total of 209 CRCs have been funded</w:t>
      </w:r>
      <w:r>
        <w:t xml:space="preserve"> </w:t>
      </w:r>
      <w:r w:rsidRPr="007D5029">
        <w:t>since 1991 including 1,905 participants. Of</w:t>
      </w:r>
      <w:r>
        <w:t xml:space="preserve"> </w:t>
      </w:r>
      <w:r w:rsidRPr="007D5029">
        <w:t>these, 883 have been involved as Essential</w:t>
      </w:r>
      <w:r>
        <w:t xml:space="preserve"> </w:t>
      </w:r>
      <w:r w:rsidRPr="007D5029">
        <w:t>Participants (organisations essential to</w:t>
      </w:r>
      <w:r>
        <w:t xml:space="preserve"> </w:t>
      </w:r>
      <w:r w:rsidRPr="007D5029">
        <w:t xml:space="preserve">the activities of the CRC, usually </w:t>
      </w:r>
      <w:proofErr w:type="spellStart"/>
      <w:r w:rsidRPr="007D5029">
        <w:t>endusers</w:t>
      </w:r>
      <w:proofErr w:type="spellEnd"/>
      <w:r>
        <w:t xml:space="preserve"> </w:t>
      </w:r>
      <w:r w:rsidRPr="007D5029">
        <w:t>and universities) and 1,022 as Other</w:t>
      </w:r>
      <w:r w:rsidR="00772D52">
        <w:t xml:space="preserve"> </w:t>
      </w:r>
      <w:r w:rsidRPr="007D5029">
        <w:t>Participants (other organisations contributing</w:t>
      </w:r>
      <w:r>
        <w:t xml:space="preserve"> </w:t>
      </w:r>
      <w:r w:rsidRPr="007D5029">
        <w:t>to the activities of the CRC). Of the 1,905</w:t>
      </w:r>
      <w:r>
        <w:t xml:space="preserve"> </w:t>
      </w:r>
      <w:r w:rsidRPr="007D5029">
        <w:t>participants, 1,277 (67%) are industry</w:t>
      </w:r>
      <w:r>
        <w:t xml:space="preserve"> </w:t>
      </w:r>
      <w:r w:rsidRPr="007D5029">
        <w:t>participants:</w:t>
      </w:r>
    </w:p>
    <w:p w14:paraId="41507334" w14:textId="77777777" w:rsidR="00431621" w:rsidRDefault="00431621" w:rsidP="002D34D5">
      <w:pPr>
        <w:pStyle w:val="BodyText"/>
        <w:numPr>
          <w:ilvl w:val="0"/>
          <w:numId w:val="12"/>
        </w:numPr>
      </w:pPr>
      <w:r>
        <w:t>Industry Private sector – Large</w:t>
      </w:r>
      <w:r>
        <w:tab/>
      </w:r>
      <w:r>
        <w:tab/>
        <w:t>328</w:t>
      </w:r>
    </w:p>
    <w:p w14:paraId="466067D5" w14:textId="77777777" w:rsidR="00431621" w:rsidRDefault="00431621" w:rsidP="002D34D5">
      <w:pPr>
        <w:pStyle w:val="BodyText"/>
        <w:numPr>
          <w:ilvl w:val="0"/>
          <w:numId w:val="12"/>
        </w:numPr>
      </w:pPr>
      <w:r>
        <w:t>Industry Private sector – Medium</w:t>
      </w:r>
      <w:r>
        <w:tab/>
      </w:r>
      <w:r>
        <w:tab/>
        <w:t>272</w:t>
      </w:r>
    </w:p>
    <w:p w14:paraId="7B7C3D54" w14:textId="77777777" w:rsidR="00431621" w:rsidRDefault="00431621" w:rsidP="002D34D5">
      <w:pPr>
        <w:pStyle w:val="BodyText"/>
        <w:numPr>
          <w:ilvl w:val="0"/>
          <w:numId w:val="12"/>
        </w:numPr>
      </w:pPr>
      <w:r>
        <w:t>Industry Private sector – Small</w:t>
      </w:r>
      <w:r>
        <w:tab/>
      </w:r>
      <w:r>
        <w:tab/>
        <w:t>262</w:t>
      </w:r>
    </w:p>
    <w:p w14:paraId="6849AF62" w14:textId="77777777" w:rsidR="00431621" w:rsidRDefault="00431621" w:rsidP="002D34D5">
      <w:pPr>
        <w:pStyle w:val="BodyText"/>
        <w:numPr>
          <w:ilvl w:val="0"/>
          <w:numId w:val="12"/>
        </w:numPr>
      </w:pPr>
      <w:r>
        <w:t>Industry Private sector – unspecified</w:t>
      </w:r>
      <w:r>
        <w:tab/>
        <w:t>383</w:t>
      </w:r>
    </w:p>
    <w:p w14:paraId="6DDA23C8" w14:textId="77777777" w:rsidR="00754EA2" w:rsidRDefault="00431621" w:rsidP="002D34D5">
      <w:pPr>
        <w:pStyle w:val="BodyText"/>
        <w:numPr>
          <w:ilvl w:val="0"/>
          <w:numId w:val="12"/>
        </w:numPr>
        <w:rPr>
          <w:rFonts w:ascii="Times New Roman" w:hAnsi="Times New Roman"/>
          <w:b/>
          <w:bCs/>
        </w:rPr>
      </w:pPr>
      <w:r>
        <w:t>Industry Association</w:t>
      </w:r>
      <w:r>
        <w:tab/>
      </w:r>
      <w:r>
        <w:tab/>
      </w:r>
      <w:r>
        <w:tab/>
      </w:r>
      <w:r>
        <w:tab/>
        <w:t>32</w:t>
      </w:r>
      <w:bookmarkStart w:id="67" w:name="_Toc413948633"/>
      <w:bookmarkStart w:id="68" w:name="_Toc415042874"/>
      <w:r w:rsidR="00754EA2">
        <w:br w:type="page"/>
      </w:r>
    </w:p>
    <w:p w14:paraId="649BA00C" w14:textId="77777777" w:rsidR="00CB540F" w:rsidRPr="00CB540F" w:rsidRDefault="00CB540F" w:rsidP="00CC5BF1">
      <w:pPr>
        <w:pStyle w:val="Heading5"/>
        <w:ind w:left="0" w:firstLine="0"/>
      </w:pPr>
      <w:r w:rsidRPr="00CB540F">
        <w:lastRenderedPageBreak/>
        <w:t>2.2.2 Patents filed and held by CRCs</w:t>
      </w:r>
      <w:bookmarkEnd w:id="67"/>
      <w:bookmarkEnd w:id="68"/>
    </w:p>
    <w:p w14:paraId="4157D7E2" w14:textId="77777777" w:rsidR="00CB540F" w:rsidRDefault="00CB540F" w:rsidP="002D34D5">
      <w:pPr>
        <w:pStyle w:val="BodyText"/>
      </w:pPr>
      <w:r w:rsidRPr="00CB540F">
        <w:t>Over the life of the programme, there have been 1,936 patent applications, and 12,684 patents held</w:t>
      </w:r>
      <w:r w:rsidR="007D5029">
        <w:t xml:space="preserve">, </w:t>
      </w:r>
      <w:r w:rsidRPr="00CB540F">
        <w:t>includ</w:t>
      </w:r>
      <w:r w:rsidR="007D5029">
        <w:t>ing</w:t>
      </w:r>
      <w:r w:rsidRPr="00CB540F">
        <w:t xml:space="preserve"> pat</w:t>
      </w:r>
      <w:r w:rsidR="00660FFC">
        <w:t>ents in Australia and overseas.</w:t>
      </w:r>
    </w:p>
    <w:p w14:paraId="6201C5AD" w14:textId="77777777" w:rsidR="00CB540F" w:rsidRPr="00CB540F" w:rsidRDefault="00CB540F" w:rsidP="00CC5BF1">
      <w:pPr>
        <w:pStyle w:val="Heading5"/>
        <w:ind w:left="0" w:firstLine="0"/>
        <w:rPr>
          <w:i/>
        </w:rPr>
      </w:pPr>
      <w:bookmarkStart w:id="69" w:name="_Toc413948634"/>
      <w:bookmarkStart w:id="70" w:name="_Toc415042875"/>
      <w:r w:rsidRPr="00CB540F">
        <w:t>2.2.3 Publications</w:t>
      </w:r>
      <w:bookmarkEnd w:id="69"/>
      <w:bookmarkEnd w:id="70"/>
    </w:p>
    <w:p w14:paraId="7909701C" w14:textId="77777777" w:rsidR="00CB540F" w:rsidRPr="00CB540F" w:rsidRDefault="00CB540F" w:rsidP="002D34D5">
      <w:pPr>
        <w:pStyle w:val="BodyText"/>
      </w:pPr>
      <w:r w:rsidRPr="00CB540F">
        <w:t xml:space="preserve">A total of 36,434 journal articles and 42,838 end-user reports have been published from CRC research. </w:t>
      </w:r>
    </w:p>
    <w:p w14:paraId="7A1EE272" w14:textId="77777777" w:rsidR="00CB540F" w:rsidRPr="00CB540F" w:rsidRDefault="00CB540F" w:rsidP="00CC5BF1">
      <w:pPr>
        <w:pStyle w:val="Heading5"/>
        <w:ind w:left="0" w:firstLine="0"/>
      </w:pPr>
      <w:bookmarkStart w:id="71" w:name="_Toc413948635"/>
      <w:bookmarkStart w:id="72" w:name="_Toc415042876"/>
      <w:r w:rsidRPr="00CB540F">
        <w:t>2.2.4 PhD graduations and employment</w:t>
      </w:r>
      <w:bookmarkEnd w:id="71"/>
      <w:bookmarkEnd w:id="72"/>
    </w:p>
    <w:p w14:paraId="0DE22E6C" w14:textId="77777777" w:rsidR="00CB540F" w:rsidRPr="00CB540F" w:rsidRDefault="00CB540F" w:rsidP="002D34D5">
      <w:pPr>
        <w:pStyle w:val="BodyText"/>
      </w:pPr>
      <w:r w:rsidRPr="00CB540F">
        <w:t>PhD students are central to CRC research as well as to building industry capability. On average, over the life of the programme, a CRC has had 21.5 active PhD students in any given year. Over the life of the programme, over 3,600 Ph</w:t>
      </w:r>
      <w:r w:rsidR="00914F9F">
        <w:t>D graduates have been produced.</w:t>
      </w:r>
    </w:p>
    <w:p w14:paraId="391B9437" w14:textId="77777777" w:rsidR="00CB540F" w:rsidRPr="00CB540F" w:rsidRDefault="00CB540F" w:rsidP="002D34D5">
      <w:pPr>
        <w:pStyle w:val="BodyText"/>
      </w:pPr>
      <w:r w:rsidRPr="00CB540F">
        <w:t>Recruitment of PhD graduates into industry is a key objective of the CRC model. Of 2,008 CRC PhD graduates in the period 2003-04 to 2012-13, 1,755 (87%) found employment with end-users o</w:t>
      </w:r>
      <w:r w:rsidR="00914F9F">
        <w:t>r other industry organisations.</w:t>
      </w:r>
    </w:p>
    <w:p w14:paraId="7211D78C" w14:textId="77777777" w:rsidR="00CB540F" w:rsidRPr="00CB540F" w:rsidRDefault="00CB540F" w:rsidP="00CC5BF1">
      <w:pPr>
        <w:pStyle w:val="Heading5"/>
        <w:ind w:left="0" w:firstLine="0"/>
      </w:pPr>
      <w:bookmarkStart w:id="73" w:name="_Toc413948636"/>
      <w:bookmarkStart w:id="74" w:name="_Toc415042877"/>
      <w:r w:rsidRPr="00CB540F">
        <w:t>2.2.5 Demand for the programme</w:t>
      </w:r>
      <w:bookmarkEnd w:id="73"/>
      <w:bookmarkEnd w:id="74"/>
    </w:p>
    <w:p w14:paraId="31870055" w14:textId="77777777" w:rsidR="00CB540F" w:rsidRPr="00CB540F" w:rsidRDefault="00CB540F" w:rsidP="002D34D5">
      <w:pPr>
        <w:pStyle w:val="BodyText"/>
      </w:pPr>
      <w:r w:rsidRPr="00CB540F">
        <w:t>A total of 744 applications have been submitted since 1991</w:t>
      </w:r>
      <w:r w:rsidR="007D5029">
        <w:t xml:space="preserve">, </w:t>
      </w:r>
      <w:r w:rsidRPr="00CB540F">
        <w:t>221 over the period 2004 to 2014. The programme continues to attract new participants. Over the period 2008 to 2014 (selection rounds 11 to 17):</w:t>
      </w:r>
    </w:p>
    <w:p w14:paraId="23249B11" w14:textId="77777777" w:rsidR="00CB540F" w:rsidRPr="00CB540F" w:rsidRDefault="00CB540F" w:rsidP="00772D52">
      <w:pPr>
        <w:pStyle w:val="ListBullet"/>
        <w:rPr>
          <w:rFonts w:eastAsiaTheme="minorHAnsi"/>
        </w:rPr>
      </w:pPr>
      <w:r w:rsidRPr="00CB540F">
        <w:rPr>
          <w:rFonts w:eastAsiaTheme="minorHAnsi"/>
        </w:rPr>
        <w:t>47% (1,551 of 3,298) of all participants in CRC applications in each selection round are new to the programme;</w:t>
      </w:r>
    </w:p>
    <w:p w14:paraId="4E5D9B04" w14:textId="77777777" w:rsidR="00CB540F" w:rsidRPr="00CB540F" w:rsidRDefault="00CB540F" w:rsidP="00772D52">
      <w:pPr>
        <w:pStyle w:val="ListBullet"/>
        <w:rPr>
          <w:rFonts w:eastAsiaTheme="minorHAnsi"/>
        </w:rPr>
      </w:pPr>
      <w:r w:rsidRPr="00CB540F">
        <w:rPr>
          <w:rFonts w:eastAsiaTheme="minorHAnsi"/>
        </w:rPr>
        <w:t>66% (898 of 1,365) of all industry participants in applications are new (ranging from 47% to 82% over this period); and</w:t>
      </w:r>
    </w:p>
    <w:p w14:paraId="7810B8FF" w14:textId="77777777" w:rsidR="00CB540F" w:rsidRPr="00CB540F" w:rsidRDefault="00CB540F" w:rsidP="00772D52">
      <w:pPr>
        <w:pStyle w:val="ListBullet"/>
        <w:rPr>
          <w:rFonts w:eastAsiaTheme="minorHAnsi"/>
        </w:rPr>
      </w:pPr>
      <w:r w:rsidRPr="00CB540F">
        <w:rPr>
          <w:rFonts w:eastAsiaTheme="minorHAnsi"/>
        </w:rPr>
        <w:t>80% (290 of 362) of all international participants in applications are new.</w:t>
      </w:r>
    </w:p>
    <w:p w14:paraId="349618F5" w14:textId="77777777" w:rsidR="00CB540F" w:rsidRPr="00CB540F" w:rsidRDefault="00CB540F" w:rsidP="002D34D5">
      <w:pPr>
        <w:pStyle w:val="BodyText"/>
      </w:pPr>
      <w:r w:rsidRPr="00CB540F">
        <w:t>Many participants return to the programme and collaborate with more than one CRC. The CSIRO, for instance, has collaborated with over 150 CRCs. This demonstrates that partnering organisations get significant ben</w:t>
      </w:r>
      <w:r w:rsidR="00914F9F">
        <w:t>efits from being part of a CRC.</w:t>
      </w:r>
    </w:p>
    <w:p w14:paraId="7D482E51" w14:textId="77777777" w:rsidR="00CB540F" w:rsidRPr="00CB540F" w:rsidRDefault="00CB540F" w:rsidP="00CC5BF1">
      <w:pPr>
        <w:pStyle w:val="Heading4"/>
        <w:ind w:left="0" w:firstLine="0"/>
      </w:pPr>
      <w:bookmarkStart w:id="75" w:name="_Toc413948637"/>
      <w:bookmarkStart w:id="76" w:name="_Toc415042878"/>
      <w:r w:rsidRPr="00CB540F">
        <w:t>2.3 Overview of previous reviews and evaluations</w:t>
      </w:r>
      <w:bookmarkEnd w:id="75"/>
      <w:bookmarkEnd w:id="76"/>
      <w:r w:rsidRPr="00CB540F">
        <w:t xml:space="preserve"> </w:t>
      </w:r>
    </w:p>
    <w:p w14:paraId="5525C5EC" w14:textId="77777777" w:rsidR="00CB540F" w:rsidRPr="00CB540F" w:rsidRDefault="00CB540F" w:rsidP="002D34D5">
      <w:pPr>
        <w:pStyle w:val="BodyText"/>
      </w:pPr>
      <w:r w:rsidRPr="00CB540F">
        <w:t xml:space="preserve">The programme has been subject to four specific reviews (Myers Report, 1995; Mercer and Stocker, 1997; Howard Partners, 2003; and O’Kane, 2008). The programme was also reviewed as part of a wider review of business programmes by David Mortimer in 1997, Robin </w:t>
      </w:r>
      <w:proofErr w:type="spellStart"/>
      <w:r w:rsidRPr="00CB540F">
        <w:t>Batterham</w:t>
      </w:r>
      <w:proofErr w:type="spellEnd"/>
      <w:r w:rsidRPr="00CB540F">
        <w:t xml:space="preserve"> in 2000, and examined in some detail by the Productivity Commission in its 2007 research report on science and innovation.</w:t>
      </w:r>
    </w:p>
    <w:p w14:paraId="2526C92D" w14:textId="77777777" w:rsidR="007B08AD" w:rsidRPr="00CB540F" w:rsidRDefault="00CB540F" w:rsidP="002D34D5">
      <w:pPr>
        <w:pStyle w:val="BodyText"/>
      </w:pPr>
      <w:r w:rsidRPr="00CB540F">
        <w:lastRenderedPageBreak/>
        <w:t xml:space="preserve">A number of economic studies have also been conducted – </w:t>
      </w:r>
      <w:proofErr w:type="spellStart"/>
      <w:r w:rsidRPr="00CB540F">
        <w:t>Allens</w:t>
      </w:r>
      <w:proofErr w:type="spellEnd"/>
      <w:r w:rsidRPr="00CB540F">
        <w:t xml:space="preserve"> Consulting in 2005, Insight Economics in 2006 and </w:t>
      </w:r>
      <w:proofErr w:type="spellStart"/>
      <w:r w:rsidRPr="00CB540F">
        <w:t>Allens</w:t>
      </w:r>
      <w:proofErr w:type="spellEnd"/>
      <w:r w:rsidRPr="00CB540F">
        <w:t xml:space="preserve"> Consulting Group in 2012. </w:t>
      </w:r>
      <w:r w:rsidR="007B08AD">
        <w:t xml:space="preserve">The most recent </w:t>
      </w:r>
      <w:r w:rsidR="00C314F6">
        <w:t xml:space="preserve">formal programme review was carried out by Professor Mary </w:t>
      </w:r>
      <w:r w:rsidR="007B08AD">
        <w:t>O’Kane.</w:t>
      </w:r>
    </w:p>
    <w:p w14:paraId="5C00800A" w14:textId="77777777" w:rsidR="00CB540F" w:rsidRPr="00CB540F" w:rsidRDefault="00914F9F" w:rsidP="002D34D5">
      <w:pPr>
        <w:pStyle w:val="Heading5allcaps"/>
      </w:pPr>
      <w:r>
        <w:t xml:space="preserve">O’Kane Review </w:t>
      </w:r>
      <w:r w:rsidR="00CB540F" w:rsidRPr="00CB540F">
        <w:t>(2008)</w:t>
      </w:r>
    </w:p>
    <w:p w14:paraId="1A3CDE6B" w14:textId="77777777" w:rsidR="00CB540F" w:rsidRPr="00CB540F" w:rsidRDefault="00CB540F" w:rsidP="002D34D5">
      <w:pPr>
        <w:pStyle w:val="BodyText"/>
      </w:pPr>
      <w:r w:rsidRPr="00CB540F">
        <w:t>The Australian Government commissioned Professor Mary O’Kane to conduct a review of the CRC Programme in 2008 as part of the wider review of the national innovation system.</w:t>
      </w:r>
    </w:p>
    <w:p w14:paraId="2C2D8018" w14:textId="77777777" w:rsidR="00CB540F" w:rsidRPr="00CB540F" w:rsidRDefault="00CB540F" w:rsidP="002D34D5">
      <w:pPr>
        <w:pStyle w:val="BodyText"/>
      </w:pPr>
      <w:r w:rsidRPr="00CB540F">
        <w:t>Submissions to the review indicated strong support for the programme. Overall, the review found that the programme had merit, but that a number of changes should be made and that the need for the programme should be reassessed at the next programme review.</w:t>
      </w:r>
    </w:p>
    <w:p w14:paraId="6897EEA9" w14:textId="77777777" w:rsidR="00CB540F" w:rsidRPr="00CB540F" w:rsidRDefault="00CB540F" w:rsidP="002D34D5">
      <w:pPr>
        <w:pStyle w:val="BodyText"/>
      </w:pPr>
      <w:r w:rsidRPr="00CB540F">
        <w:t>The O’Kane review noted that the CRC Programme is an iconic programme replicated in other countries.</w:t>
      </w:r>
    </w:p>
    <w:p w14:paraId="27ABB059" w14:textId="77777777" w:rsidR="00CB540F" w:rsidRPr="00CB540F" w:rsidRDefault="00CB540F" w:rsidP="002D34D5">
      <w:pPr>
        <w:pStyle w:val="BodyText"/>
      </w:pPr>
      <w:r w:rsidRPr="00CB540F">
        <w:t>The review made eight overarching recommendations. Proposed changes such as increases in funding, the reinstitution of public good outcomes and encouraging CRC applications in Humanities and Social Sciences were well supported by stakeholders. However, there was opposition to other changes, such as reducin</w:t>
      </w:r>
      <w:r w:rsidR="000924C8">
        <w:t>g funding terms to as short as four</w:t>
      </w:r>
      <w:r w:rsidRPr="00CB540F">
        <w:t xml:space="preserve"> years and placing less value on in-kind contributions versus cash contributions. Of the recommendations made, five recommendations were fully implemented; and three were partially implemented.</w:t>
      </w:r>
    </w:p>
    <w:p w14:paraId="00990FD7" w14:textId="77777777" w:rsidR="00CB540F" w:rsidRPr="00CB540F" w:rsidRDefault="00CB540F" w:rsidP="00CC5BF1">
      <w:pPr>
        <w:pStyle w:val="Heading4"/>
        <w:ind w:left="0" w:firstLine="0"/>
      </w:pPr>
      <w:bookmarkStart w:id="77" w:name="_Toc413948638"/>
      <w:bookmarkStart w:id="78" w:name="_Toc415042879"/>
      <w:r w:rsidRPr="00CB540F">
        <w:t>2.4 Summary of changes to the programme</w:t>
      </w:r>
      <w:bookmarkEnd w:id="77"/>
      <w:bookmarkEnd w:id="78"/>
    </w:p>
    <w:p w14:paraId="0B0165DA" w14:textId="77777777" w:rsidR="00CB540F" w:rsidRPr="00CB540F" w:rsidRDefault="00CB540F" w:rsidP="002D34D5">
      <w:pPr>
        <w:pStyle w:val="BodyText"/>
      </w:pPr>
      <w:r w:rsidRPr="00CB540F">
        <w:t xml:space="preserve">When first established in 1990, the CRC Programme encouraged both industry outcomes and public good research. The research was intended to contribute to national objectives, such as the development of internationally competitive industry sectors, the health and well-being of Australian society and the understanding and </w:t>
      </w:r>
      <w:r w:rsidR="00914F9F">
        <w:t>management of the environment.</w:t>
      </w:r>
    </w:p>
    <w:p w14:paraId="4FAD1F42" w14:textId="77777777" w:rsidR="00797F54" w:rsidRDefault="00CB540F" w:rsidP="002D34D5">
      <w:pPr>
        <w:pStyle w:val="BodyText"/>
      </w:pPr>
      <w:r w:rsidRPr="00CB540F">
        <w:t xml:space="preserve">The first three rounds of the CRC Programme funded basic research and the programme objectives included ‘the maintenance of a strong capability in basic research’. Basic research generally does not lead to commercial outcomes in the short or even medium. It can build research capability, lead to the identification of new or more fruitful avenues of research, or build preparedness for a community to deal with major health, security, environmental </w:t>
      </w:r>
      <w:r w:rsidR="00914F9F">
        <w:t>challenges or other challenges.</w:t>
      </w:r>
      <w:r w:rsidR="00797F54">
        <w:br w:type="page"/>
      </w:r>
    </w:p>
    <w:p w14:paraId="3F94FBC2" w14:textId="77777777" w:rsidR="00CB540F" w:rsidRPr="00CB540F" w:rsidRDefault="00CB540F" w:rsidP="002D34D5">
      <w:pPr>
        <w:pStyle w:val="BodyText"/>
      </w:pPr>
      <w:r w:rsidRPr="00CB540F">
        <w:lastRenderedPageBreak/>
        <w:t>From 1994 the reference to ‘basic research’ was dropped, and ‘strengthening of research networks’ and the ‘active involvement of users in the management of Centres’ were included. Otherwise the overall objectives remained similar. From 2000, ‘innovation’ and ‘environmental benefit’ were specifical</w:t>
      </w:r>
      <w:r w:rsidR="00914F9F">
        <w:t>ly included in the objectives.</w:t>
      </w:r>
    </w:p>
    <w:p w14:paraId="518B1C5D" w14:textId="77777777" w:rsidR="00CB540F" w:rsidRPr="00CB540F" w:rsidRDefault="00CB540F" w:rsidP="002D34D5">
      <w:pPr>
        <w:pStyle w:val="BodyText"/>
      </w:pPr>
      <w:r w:rsidRPr="00CB540F">
        <w:t xml:space="preserve">For the first eight rounds, the CRC Programme </w:t>
      </w:r>
      <w:r w:rsidR="00AB2CD2">
        <w:t>s</w:t>
      </w:r>
      <w:r w:rsidRPr="00CB540F">
        <w:t>election documentation made it clear that CRCs should have a mixture of strategically focussed long-term, high quality research of a pre-competitive nature and shorter-term more tactical elements, the results of which will lend themselves more directly to ap</w:t>
      </w:r>
      <w:r w:rsidR="00914F9F">
        <w:t>plication or commercialisation.</w:t>
      </w:r>
    </w:p>
    <w:p w14:paraId="60CC0249" w14:textId="77777777" w:rsidR="00CB540F" w:rsidRPr="00CB540F" w:rsidRDefault="00CB540F" w:rsidP="002D34D5">
      <w:pPr>
        <w:pStyle w:val="BodyText"/>
      </w:pPr>
      <w:r w:rsidRPr="00CB540F">
        <w:t>The objectives of the p</w:t>
      </w:r>
      <w:r w:rsidR="000924C8">
        <w:t>rogramme were more sharply focu</w:t>
      </w:r>
      <w:r w:rsidRPr="00CB540F">
        <w:t>sed on commercialisa</w:t>
      </w:r>
      <w:r w:rsidR="00AB2CD2">
        <w:t>tion from 2004, reflecting the g</w:t>
      </w:r>
      <w:r w:rsidRPr="00CB540F">
        <w:t>overnment’s increasing focus to encourage the translation of research outcomes. This change towards supporting industrial, commercial and economic imperatives in the innovation process occurred both in Australia and internationally.</w:t>
      </w:r>
    </w:p>
    <w:p w14:paraId="0D8096F2" w14:textId="77777777" w:rsidR="00C314F6" w:rsidRDefault="00CB540F" w:rsidP="002D34D5">
      <w:pPr>
        <w:pStyle w:val="BodyText"/>
      </w:pPr>
      <w:r w:rsidRPr="00CB540F">
        <w:t>For the 2004 and 2006 rounds, applications for funding could still include public good research, however, their competitiveness was judged on the b</w:t>
      </w:r>
      <w:r w:rsidR="000924C8">
        <w:t>asis of their commercially focu</w:t>
      </w:r>
      <w:r w:rsidRPr="00CB540F">
        <w:t>sed research proposal(s). Public good research could be included, but as an ‘add-on’ or subsidiary to commercial</w:t>
      </w:r>
      <w:r w:rsidR="00914F9F">
        <w:t>ly oriented research proposals.</w:t>
      </w:r>
    </w:p>
    <w:p w14:paraId="192B6F06" w14:textId="77777777" w:rsidR="00CB540F" w:rsidRDefault="00CB540F" w:rsidP="002D34D5">
      <w:pPr>
        <w:pStyle w:val="BodyText"/>
      </w:pPr>
      <w:r w:rsidRPr="00CB540F">
        <w:t>The current objective of the programme is:</w:t>
      </w:r>
    </w:p>
    <w:p w14:paraId="324EF9FE" w14:textId="77777777" w:rsidR="00CB540F" w:rsidRPr="00336508" w:rsidRDefault="00CB540F" w:rsidP="00914F9F">
      <w:pPr>
        <w:spacing w:after="240" w:line="240" w:lineRule="auto"/>
        <w:rPr>
          <w:rStyle w:val="Emphasis"/>
        </w:rPr>
      </w:pPr>
      <w:r w:rsidRPr="00336508">
        <w:rPr>
          <w:rStyle w:val="Emphasis"/>
        </w:rPr>
        <w:t>‘</w:t>
      </w:r>
      <w:bookmarkStart w:id="79" w:name="OLE_LINK10"/>
      <w:bookmarkStart w:id="80" w:name="OLE_LINK11"/>
      <w:r w:rsidRPr="00336508">
        <w:rPr>
          <w:rStyle w:val="Emphasis"/>
        </w:rPr>
        <w:t>to deliver significant economic, environmental and social benefits to Australia by supporting end-user driven research partnerships between publicly funded researchers and end-users to address clearly articulated, major challenges</w:t>
      </w:r>
      <w:bookmarkEnd w:id="79"/>
      <w:bookmarkEnd w:id="80"/>
      <w:r w:rsidRPr="00336508">
        <w:rPr>
          <w:rStyle w:val="Emphasis"/>
        </w:rPr>
        <w:t xml:space="preserve"> that require medium to long-term collaborative efforts.’</w:t>
      </w:r>
    </w:p>
    <w:p w14:paraId="1AD963B0" w14:textId="77777777" w:rsidR="00CB540F" w:rsidRPr="00CB540F" w:rsidRDefault="00CB540F" w:rsidP="002D34D5">
      <w:pPr>
        <w:pStyle w:val="BodyText"/>
        <w:sectPr w:rsidR="00CB540F" w:rsidRPr="00CB540F" w:rsidSect="009F64E0">
          <w:type w:val="continuous"/>
          <w:pgSz w:w="11906" w:h="16838"/>
          <w:pgMar w:top="1440" w:right="1440" w:bottom="1440" w:left="1440" w:header="708" w:footer="708" w:gutter="0"/>
          <w:cols w:space="708"/>
          <w:docGrid w:linePitch="360"/>
        </w:sectPr>
      </w:pPr>
      <w:r w:rsidRPr="00CB540F">
        <w:t xml:space="preserve">In terms of selection criteria, these remained broadly consistent for the CRC selection rounds from 1991 to 1996. In 1996 there were 12 criteria applied to the assessment of applications, grouped into five categories. In 1998 there were 19 criteria, grouped into seven categories. In 2000 and 2002 there were nine criteria in eight categories. In 2004 and 2006 there were four stand-alone criteria, addressing the objective of the programme. Since </w:t>
      </w:r>
      <w:r w:rsidR="000924C8">
        <w:t xml:space="preserve">2008 these were reduced to </w:t>
      </w:r>
      <w:r w:rsidRPr="00CB540F">
        <w:t>three criteria, which are directly linked to the revi</w:t>
      </w:r>
      <w:r w:rsidR="000F7697">
        <w:t>sed objective of the programme.</w:t>
      </w:r>
    </w:p>
    <w:p w14:paraId="20D20552" w14:textId="77777777" w:rsidR="00CB540F" w:rsidRPr="00CB540F" w:rsidRDefault="00CB540F" w:rsidP="00CC5BF1">
      <w:pPr>
        <w:pStyle w:val="Heading3"/>
        <w:ind w:left="0" w:firstLine="0"/>
      </w:pPr>
      <w:bookmarkStart w:id="81" w:name="_Toc413948639"/>
      <w:bookmarkStart w:id="82" w:name="_Toc415042880"/>
      <w:r w:rsidRPr="00CB540F">
        <w:lastRenderedPageBreak/>
        <w:t>3. List of Active CRCs</w:t>
      </w:r>
      <w:bookmarkEnd w:id="81"/>
      <w:bookmarkEnd w:id="82"/>
    </w:p>
    <w:tbl>
      <w:tblPr>
        <w:tblStyle w:val="TableGrid4"/>
        <w:tblW w:w="14601" w:type="dxa"/>
        <w:tblInd w:w="-743" w:type="dxa"/>
        <w:tblLayout w:type="fixed"/>
        <w:tblLook w:val="04A0" w:firstRow="1" w:lastRow="0" w:firstColumn="1" w:lastColumn="0" w:noHBand="0" w:noVBand="1"/>
        <w:tblCaption w:val="List of Active CRCs"/>
      </w:tblPr>
      <w:tblGrid>
        <w:gridCol w:w="2411"/>
        <w:gridCol w:w="5528"/>
        <w:gridCol w:w="1701"/>
        <w:gridCol w:w="1276"/>
        <w:gridCol w:w="1417"/>
        <w:gridCol w:w="1134"/>
        <w:gridCol w:w="1134"/>
      </w:tblGrid>
      <w:tr w:rsidR="00CB540F" w:rsidRPr="00336508" w14:paraId="40880A1B" w14:textId="77777777" w:rsidTr="00E2708B">
        <w:trPr>
          <w:cantSplit/>
          <w:trHeight w:val="763"/>
          <w:tblHeader/>
        </w:trPr>
        <w:tc>
          <w:tcPr>
            <w:tcW w:w="2411" w:type="dxa"/>
            <w:hideMark/>
          </w:tcPr>
          <w:p w14:paraId="3422DEFA" w14:textId="77777777" w:rsidR="00CB540F" w:rsidRPr="00336508" w:rsidRDefault="00CB540F" w:rsidP="00CB540F">
            <w:pPr>
              <w:spacing w:line="240" w:lineRule="auto"/>
              <w:rPr>
                <w:rFonts w:cs="Arial"/>
                <w:b/>
                <w:bCs/>
                <w:color w:val="auto"/>
                <w:sz w:val="20"/>
                <w:szCs w:val="20"/>
              </w:rPr>
            </w:pPr>
            <w:r w:rsidRPr="00336508">
              <w:rPr>
                <w:rFonts w:cs="Arial"/>
                <w:b/>
                <w:bCs/>
                <w:color w:val="auto"/>
                <w:sz w:val="20"/>
                <w:szCs w:val="20"/>
              </w:rPr>
              <w:t>CRC Name</w:t>
            </w:r>
          </w:p>
        </w:tc>
        <w:tc>
          <w:tcPr>
            <w:tcW w:w="5528" w:type="dxa"/>
            <w:hideMark/>
          </w:tcPr>
          <w:p w14:paraId="38D0DB89" w14:textId="77777777" w:rsidR="00CB540F" w:rsidRPr="00336508" w:rsidRDefault="00CB540F" w:rsidP="00CB540F">
            <w:pPr>
              <w:spacing w:line="240" w:lineRule="auto"/>
              <w:rPr>
                <w:rFonts w:cs="Arial"/>
                <w:b/>
                <w:bCs/>
                <w:color w:val="auto"/>
                <w:sz w:val="20"/>
                <w:szCs w:val="20"/>
              </w:rPr>
            </w:pPr>
            <w:r w:rsidRPr="00336508">
              <w:rPr>
                <w:rFonts w:cs="Arial"/>
                <w:b/>
                <w:bCs/>
                <w:color w:val="auto"/>
                <w:sz w:val="20"/>
                <w:szCs w:val="20"/>
              </w:rPr>
              <w:t>Objective</w:t>
            </w:r>
          </w:p>
        </w:tc>
        <w:tc>
          <w:tcPr>
            <w:tcW w:w="1701" w:type="dxa"/>
            <w:hideMark/>
          </w:tcPr>
          <w:p w14:paraId="3F82F1E2" w14:textId="77777777" w:rsidR="00CB540F" w:rsidRPr="00336508" w:rsidRDefault="00CB540F" w:rsidP="00CB540F">
            <w:pPr>
              <w:spacing w:line="240" w:lineRule="auto"/>
              <w:rPr>
                <w:rFonts w:cs="Arial"/>
                <w:b/>
                <w:bCs/>
                <w:color w:val="auto"/>
                <w:sz w:val="20"/>
                <w:szCs w:val="20"/>
              </w:rPr>
            </w:pPr>
            <w:r w:rsidRPr="00336508">
              <w:rPr>
                <w:rFonts w:cs="Arial"/>
                <w:b/>
                <w:bCs/>
                <w:color w:val="auto"/>
                <w:sz w:val="20"/>
                <w:szCs w:val="20"/>
              </w:rPr>
              <w:t>Sector</w:t>
            </w:r>
          </w:p>
        </w:tc>
        <w:tc>
          <w:tcPr>
            <w:tcW w:w="1276" w:type="dxa"/>
            <w:hideMark/>
          </w:tcPr>
          <w:p w14:paraId="1D864026" w14:textId="77777777" w:rsidR="00CB540F" w:rsidRPr="00336508" w:rsidRDefault="00CB540F" w:rsidP="00CB540F">
            <w:pPr>
              <w:spacing w:line="240" w:lineRule="auto"/>
              <w:rPr>
                <w:rFonts w:cs="Arial"/>
                <w:b/>
                <w:bCs/>
                <w:color w:val="auto"/>
                <w:sz w:val="20"/>
                <w:szCs w:val="20"/>
              </w:rPr>
            </w:pPr>
            <w:r w:rsidRPr="00336508">
              <w:rPr>
                <w:rFonts w:cs="Arial"/>
                <w:b/>
                <w:bCs/>
                <w:color w:val="auto"/>
                <w:sz w:val="20"/>
                <w:szCs w:val="20"/>
              </w:rPr>
              <w:t>Funding period start</w:t>
            </w:r>
          </w:p>
        </w:tc>
        <w:tc>
          <w:tcPr>
            <w:tcW w:w="1417" w:type="dxa"/>
            <w:hideMark/>
          </w:tcPr>
          <w:p w14:paraId="4257AB80" w14:textId="77777777" w:rsidR="00CB540F" w:rsidRPr="00336508" w:rsidRDefault="00CB540F" w:rsidP="00CB540F">
            <w:pPr>
              <w:spacing w:line="240" w:lineRule="auto"/>
              <w:rPr>
                <w:rFonts w:cs="Arial"/>
                <w:b/>
                <w:bCs/>
                <w:color w:val="auto"/>
                <w:sz w:val="20"/>
                <w:szCs w:val="20"/>
              </w:rPr>
            </w:pPr>
            <w:r w:rsidRPr="00336508">
              <w:rPr>
                <w:rFonts w:cs="Arial"/>
                <w:b/>
                <w:bCs/>
                <w:color w:val="auto"/>
                <w:sz w:val="20"/>
                <w:szCs w:val="20"/>
              </w:rPr>
              <w:t xml:space="preserve">Funding period </w:t>
            </w:r>
          </w:p>
          <w:p w14:paraId="385B2218" w14:textId="77777777" w:rsidR="00CB540F" w:rsidRPr="00336508" w:rsidRDefault="00CB540F" w:rsidP="00CB540F">
            <w:pPr>
              <w:spacing w:line="240" w:lineRule="auto"/>
              <w:rPr>
                <w:rFonts w:cs="Arial"/>
                <w:b/>
                <w:bCs/>
                <w:color w:val="auto"/>
                <w:sz w:val="20"/>
                <w:szCs w:val="20"/>
              </w:rPr>
            </w:pPr>
            <w:r w:rsidRPr="00336508">
              <w:rPr>
                <w:rFonts w:cs="Arial"/>
                <w:b/>
                <w:bCs/>
                <w:color w:val="auto"/>
                <w:sz w:val="20"/>
                <w:szCs w:val="20"/>
              </w:rPr>
              <w:t>end</w:t>
            </w:r>
          </w:p>
        </w:tc>
        <w:tc>
          <w:tcPr>
            <w:tcW w:w="1134" w:type="dxa"/>
            <w:hideMark/>
          </w:tcPr>
          <w:p w14:paraId="1B37CF55" w14:textId="77777777" w:rsidR="00CB540F" w:rsidRPr="00336508" w:rsidRDefault="00CB540F" w:rsidP="00CB540F">
            <w:pPr>
              <w:spacing w:line="240" w:lineRule="auto"/>
              <w:rPr>
                <w:rFonts w:cs="Arial"/>
                <w:b/>
                <w:bCs/>
                <w:color w:val="auto"/>
                <w:sz w:val="20"/>
                <w:szCs w:val="20"/>
              </w:rPr>
            </w:pPr>
            <w:r w:rsidRPr="00336508">
              <w:rPr>
                <w:rFonts w:cs="Arial"/>
                <w:b/>
                <w:bCs/>
                <w:color w:val="auto"/>
                <w:sz w:val="20"/>
                <w:szCs w:val="20"/>
              </w:rPr>
              <w:t>Duration (years)</w:t>
            </w:r>
          </w:p>
        </w:tc>
        <w:tc>
          <w:tcPr>
            <w:tcW w:w="1134" w:type="dxa"/>
            <w:hideMark/>
          </w:tcPr>
          <w:p w14:paraId="4719B6D6" w14:textId="77777777" w:rsidR="00CB540F" w:rsidRPr="00336508" w:rsidRDefault="00CB540F" w:rsidP="00CB540F">
            <w:pPr>
              <w:spacing w:line="240" w:lineRule="auto"/>
              <w:rPr>
                <w:rFonts w:cs="Arial"/>
                <w:b/>
                <w:bCs/>
                <w:color w:val="auto"/>
                <w:sz w:val="20"/>
                <w:szCs w:val="20"/>
              </w:rPr>
            </w:pPr>
            <w:r w:rsidRPr="00336508">
              <w:rPr>
                <w:rFonts w:cs="Arial"/>
                <w:b/>
                <w:bCs/>
                <w:color w:val="auto"/>
                <w:sz w:val="20"/>
                <w:szCs w:val="20"/>
              </w:rPr>
              <w:t>Funding ($m)</w:t>
            </w:r>
          </w:p>
        </w:tc>
      </w:tr>
      <w:tr w:rsidR="00CB540F" w:rsidRPr="00336508" w14:paraId="4A89F9F7" w14:textId="77777777" w:rsidTr="00E2708B">
        <w:trPr>
          <w:cantSplit/>
          <w:trHeight w:val="480"/>
        </w:trPr>
        <w:tc>
          <w:tcPr>
            <w:tcW w:w="2411" w:type="dxa"/>
            <w:vAlign w:val="center"/>
            <w:hideMark/>
          </w:tcPr>
          <w:p w14:paraId="3DF889E5"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Antarctic Climate and Ecosystems CRC</w:t>
            </w:r>
          </w:p>
        </w:tc>
        <w:tc>
          <w:tcPr>
            <w:tcW w:w="5528" w:type="dxa"/>
            <w:vAlign w:val="center"/>
            <w:hideMark/>
          </w:tcPr>
          <w:p w14:paraId="02CEF91A"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address key scientific questions, including how Antarctica drives global climate, and how the pace and nature of change in Antarctic climate and ecosystems will affect the wellbeing and economic interests of Australians.</w:t>
            </w:r>
          </w:p>
        </w:tc>
        <w:tc>
          <w:tcPr>
            <w:tcW w:w="1701" w:type="dxa"/>
            <w:vAlign w:val="center"/>
            <w:hideMark/>
          </w:tcPr>
          <w:p w14:paraId="593704EE"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Services</w:t>
            </w:r>
          </w:p>
        </w:tc>
        <w:tc>
          <w:tcPr>
            <w:tcW w:w="1276" w:type="dxa"/>
            <w:vAlign w:val="center"/>
            <w:hideMark/>
          </w:tcPr>
          <w:p w14:paraId="2EC4F7EE"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1/07/2014</w:t>
            </w:r>
          </w:p>
        </w:tc>
        <w:tc>
          <w:tcPr>
            <w:tcW w:w="1417" w:type="dxa"/>
            <w:vAlign w:val="center"/>
            <w:hideMark/>
          </w:tcPr>
          <w:p w14:paraId="55682B4B"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30/06/2019</w:t>
            </w:r>
          </w:p>
        </w:tc>
        <w:tc>
          <w:tcPr>
            <w:tcW w:w="1134" w:type="dxa"/>
            <w:vAlign w:val="center"/>
            <w:hideMark/>
          </w:tcPr>
          <w:p w14:paraId="1851C12D"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5</w:t>
            </w:r>
          </w:p>
        </w:tc>
        <w:tc>
          <w:tcPr>
            <w:tcW w:w="1134" w:type="dxa"/>
            <w:vAlign w:val="center"/>
            <w:hideMark/>
          </w:tcPr>
          <w:p w14:paraId="136CA887"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25.00</w:t>
            </w:r>
          </w:p>
        </w:tc>
      </w:tr>
      <w:tr w:rsidR="00CB540F" w:rsidRPr="00336508" w14:paraId="66BD50C4" w14:textId="77777777" w:rsidTr="00E2708B">
        <w:trPr>
          <w:cantSplit/>
          <w:trHeight w:val="960"/>
        </w:trPr>
        <w:tc>
          <w:tcPr>
            <w:tcW w:w="2411" w:type="dxa"/>
            <w:vAlign w:val="center"/>
            <w:hideMark/>
          </w:tcPr>
          <w:p w14:paraId="2A47580A"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Automotive Australia 2020 CRC</w:t>
            </w:r>
          </w:p>
        </w:tc>
        <w:tc>
          <w:tcPr>
            <w:tcW w:w="5528" w:type="dxa"/>
            <w:vAlign w:val="center"/>
            <w:hideMark/>
          </w:tcPr>
          <w:p w14:paraId="0E095346"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tackle the complex problems that currently impede the uptake of low emission vehicles worldwide, such as the technological and social barriers to the uptake of gaseous fuels in cars and trucks, and producing greener vehicles and components more competitively.</w:t>
            </w:r>
          </w:p>
        </w:tc>
        <w:tc>
          <w:tcPr>
            <w:tcW w:w="1701" w:type="dxa"/>
            <w:vAlign w:val="center"/>
            <w:hideMark/>
          </w:tcPr>
          <w:p w14:paraId="16CC5D87"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Manufacturing</w:t>
            </w:r>
          </w:p>
        </w:tc>
        <w:tc>
          <w:tcPr>
            <w:tcW w:w="1276" w:type="dxa"/>
            <w:vAlign w:val="center"/>
            <w:hideMark/>
          </w:tcPr>
          <w:p w14:paraId="392CC741"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1/07/2012</w:t>
            </w:r>
          </w:p>
        </w:tc>
        <w:tc>
          <w:tcPr>
            <w:tcW w:w="1417" w:type="dxa"/>
            <w:vAlign w:val="center"/>
            <w:hideMark/>
          </w:tcPr>
          <w:p w14:paraId="05E4DFD5"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30/06/2017</w:t>
            </w:r>
          </w:p>
        </w:tc>
        <w:tc>
          <w:tcPr>
            <w:tcW w:w="1134" w:type="dxa"/>
            <w:vAlign w:val="center"/>
            <w:hideMark/>
          </w:tcPr>
          <w:p w14:paraId="386BB257"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5</w:t>
            </w:r>
          </w:p>
        </w:tc>
        <w:tc>
          <w:tcPr>
            <w:tcW w:w="1134" w:type="dxa"/>
            <w:vAlign w:val="center"/>
            <w:hideMark/>
          </w:tcPr>
          <w:p w14:paraId="16A583C8"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26.00</w:t>
            </w:r>
          </w:p>
        </w:tc>
      </w:tr>
      <w:tr w:rsidR="00CB540F" w:rsidRPr="00336508" w14:paraId="0952D484" w14:textId="77777777" w:rsidTr="00E2708B">
        <w:trPr>
          <w:cantSplit/>
          <w:trHeight w:val="960"/>
        </w:trPr>
        <w:tc>
          <w:tcPr>
            <w:tcW w:w="2411" w:type="dxa"/>
            <w:vAlign w:val="center"/>
            <w:hideMark/>
          </w:tcPr>
          <w:p w14:paraId="07D0697D"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Bushfire and Natural Hazards CRC</w:t>
            </w:r>
          </w:p>
        </w:tc>
        <w:tc>
          <w:tcPr>
            <w:tcW w:w="5528" w:type="dxa"/>
            <w:vAlign w:val="center"/>
            <w:hideMark/>
          </w:tcPr>
          <w:p w14:paraId="616BA4AB"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conduct research to reduce the risks from bushfire and natural hazards; reduce the costs of disasters; contribute to the national disaster resilience agenda; build research capacity and capability; and enable Australian SMEs to be innovative in natural hazard products and services.</w:t>
            </w:r>
          </w:p>
        </w:tc>
        <w:tc>
          <w:tcPr>
            <w:tcW w:w="1701" w:type="dxa"/>
            <w:vAlign w:val="center"/>
            <w:hideMark/>
          </w:tcPr>
          <w:p w14:paraId="7999202A"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Services</w:t>
            </w:r>
          </w:p>
        </w:tc>
        <w:tc>
          <w:tcPr>
            <w:tcW w:w="1276" w:type="dxa"/>
            <w:vAlign w:val="center"/>
            <w:hideMark/>
          </w:tcPr>
          <w:p w14:paraId="0273E89E"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1/07/2013</w:t>
            </w:r>
          </w:p>
        </w:tc>
        <w:tc>
          <w:tcPr>
            <w:tcW w:w="1417" w:type="dxa"/>
            <w:vAlign w:val="center"/>
            <w:hideMark/>
          </w:tcPr>
          <w:p w14:paraId="33AFA488"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30/06/2021</w:t>
            </w:r>
          </w:p>
        </w:tc>
        <w:tc>
          <w:tcPr>
            <w:tcW w:w="1134" w:type="dxa"/>
            <w:vAlign w:val="center"/>
            <w:hideMark/>
          </w:tcPr>
          <w:p w14:paraId="7447B28C"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8</w:t>
            </w:r>
          </w:p>
        </w:tc>
        <w:tc>
          <w:tcPr>
            <w:tcW w:w="1134" w:type="dxa"/>
            <w:vAlign w:val="center"/>
            <w:hideMark/>
          </w:tcPr>
          <w:p w14:paraId="7D999E17"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47.00</w:t>
            </w:r>
          </w:p>
        </w:tc>
      </w:tr>
      <w:tr w:rsidR="00CB540F" w:rsidRPr="00336508" w14:paraId="7AACA990" w14:textId="77777777" w:rsidTr="00E2708B">
        <w:trPr>
          <w:cantSplit/>
          <w:trHeight w:val="960"/>
        </w:trPr>
        <w:tc>
          <w:tcPr>
            <w:tcW w:w="2411" w:type="dxa"/>
            <w:vAlign w:val="center"/>
            <w:hideMark/>
          </w:tcPr>
          <w:p w14:paraId="49AF7EAE"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Capital Markets CRC</w:t>
            </w:r>
          </w:p>
        </w:tc>
        <w:tc>
          <w:tcPr>
            <w:tcW w:w="5528" w:type="dxa"/>
            <w:vAlign w:val="center"/>
            <w:hideMark/>
          </w:tcPr>
          <w:p w14:paraId="6C9BB1EC"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conduct applied research that will enhance capital market integrity and efficiency.</w:t>
            </w:r>
          </w:p>
        </w:tc>
        <w:tc>
          <w:tcPr>
            <w:tcW w:w="1701" w:type="dxa"/>
            <w:vAlign w:val="center"/>
            <w:hideMark/>
          </w:tcPr>
          <w:p w14:paraId="2C05AD56"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Services</w:t>
            </w:r>
          </w:p>
        </w:tc>
        <w:tc>
          <w:tcPr>
            <w:tcW w:w="1276" w:type="dxa"/>
            <w:vAlign w:val="center"/>
            <w:hideMark/>
          </w:tcPr>
          <w:p w14:paraId="70D786CB"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1/07/2014</w:t>
            </w:r>
          </w:p>
        </w:tc>
        <w:tc>
          <w:tcPr>
            <w:tcW w:w="1417" w:type="dxa"/>
            <w:vAlign w:val="center"/>
            <w:hideMark/>
          </w:tcPr>
          <w:p w14:paraId="175B0FB0"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30/06/2019</w:t>
            </w:r>
          </w:p>
        </w:tc>
        <w:tc>
          <w:tcPr>
            <w:tcW w:w="1134" w:type="dxa"/>
            <w:vAlign w:val="center"/>
            <w:hideMark/>
          </w:tcPr>
          <w:p w14:paraId="1B7582AB"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5</w:t>
            </w:r>
          </w:p>
        </w:tc>
        <w:tc>
          <w:tcPr>
            <w:tcW w:w="1134" w:type="dxa"/>
            <w:vAlign w:val="center"/>
            <w:hideMark/>
          </w:tcPr>
          <w:p w14:paraId="0622A8A6"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32.35</w:t>
            </w:r>
          </w:p>
        </w:tc>
      </w:tr>
      <w:tr w:rsidR="00CB540F" w:rsidRPr="00336508" w14:paraId="1B56A802" w14:textId="77777777" w:rsidTr="00E2708B">
        <w:trPr>
          <w:cantSplit/>
          <w:trHeight w:val="480"/>
        </w:trPr>
        <w:tc>
          <w:tcPr>
            <w:tcW w:w="2411" w:type="dxa"/>
            <w:vAlign w:val="center"/>
            <w:hideMark/>
          </w:tcPr>
          <w:p w14:paraId="4CF20188"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CRC for Advanced Composite Structures</w:t>
            </w:r>
          </w:p>
        </w:tc>
        <w:tc>
          <w:tcPr>
            <w:tcW w:w="5528" w:type="dxa"/>
            <w:vAlign w:val="center"/>
            <w:hideMark/>
          </w:tcPr>
          <w:p w14:paraId="7B31A0C9"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embed Australian composites industry SMEs into global supply chains by attracting multinational businesses, undertaking collaborative research with Australian researchers and SMEs, and building reliance on Australia's proven capability for major technological advancement.</w:t>
            </w:r>
          </w:p>
        </w:tc>
        <w:tc>
          <w:tcPr>
            <w:tcW w:w="1701" w:type="dxa"/>
            <w:vAlign w:val="center"/>
            <w:hideMark/>
          </w:tcPr>
          <w:p w14:paraId="39F22BD1"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Manufacturing</w:t>
            </w:r>
          </w:p>
        </w:tc>
        <w:tc>
          <w:tcPr>
            <w:tcW w:w="1276" w:type="dxa"/>
            <w:vAlign w:val="center"/>
            <w:hideMark/>
          </w:tcPr>
          <w:p w14:paraId="1A87C0E0"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1/07/2010</w:t>
            </w:r>
          </w:p>
        </w:tc>
        <w:tc>
          <w:tcPr>
            <w:tcW w:w="1417" w:type="dxa"/>
            <w:vAlign w:val="center"/>
            <w:hideMark/>
          </w:tcPr>
          <w:p w14:paraId="64FF23F2"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30/06/2015</w:t>
            </w:r>
          </w:p>
        </w:tc>
        <w:tc>
          <w:tcPr>
            <w:tcW w:w="1134" w:type="dxa"/>
            <w:vAlign w:val="center"/>
            <w:hideMark/>
          </w:tcPr>
          <w:p w14:paraId="2B12DB33"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5</w:t>
            </w:r>
          </w:p>
        </w:tc>
        <w:tc>
          <w:tcPr>
            <w:tcW w:w="1134" w:type="dxa"/>
            <w:vAlign w:val="center"/>
            <w:hideMark/>
          </w:tcPr>
          <w:p w14:paraId="0D6FF6AB"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14.00</w:t>
            </w:r>
          </w:p>
        </w:tc>
      </w:tr>
      <w:tr w:rsidR="00CB540F" w:rsidRPr="00336508" w14:paraId="443CF0DF" w14:textId="77777777" w:rsidTr="00E2708B">
        <w:trPr>
          <w:cantSplit/>
          <w:trHeight w:val="720"/>
        </w:trPr>
        <w:tc>
          <w:tcPr>
            <w:tcW w:w="2411" w:type="dxa"/>
            <w:vAlign w:val="center"/>
            <w:hideMark/>
          </w:tcPr>
          <w:p w14:paraId="66781CCE"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CRC for Alertness, Safety and Productivity</w:t>
            </w:r>
          </w:p>
        </w:tc>
        <w:tc>
          <w:tcPr>
            <w:tcW w:w="5528" w:type="dxa"/>
            <w:vAlign w:val="center"/>
            <w:hideMark/>
          </w:tcPr>
          <w:p w14:paraId="28F60100"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develop new tools and products to improve alertness, increase productivity and enhance safety, to boost productivity and lower health system costs by reducing the incidence of motor vehicle and workplace accidents and errors.</w:t>
            </w:r>
          </w:p>
        </w:tc>
        <w:tc>
          <w:tcPr>
            <w:tcW w:w="1701" w:type="dxa"/>
            <w:vAlign w:val="center"/>
            <w:hideMark/>
          </w:tcPr>
          <w:p w14:paraId="009121A3"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Services</w:t>
            </w:r>
          </w:p>
        </w:tc>
        <w:tc>
          <w:tcPr>
            <w:tcW w:w="1276" w:type="dxa"/>
            <w:vAlign w:val="center"/>
            <w:hideMark/>
          </w:tcPr>
          <w:p w14:paraId="5AC42C60"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1/07/2013</w:t>
            </w:r>
          </w:p>
        </w:tc>
        <w:tc>
          <w:tcPr>
            <w:tcW w:w="1417" w:type="dxa"/>
            <w:vAlign w:val="center"/>
            <w:hideMark/>
          </w:tcPr>
          <w:p w14:paraId="32E747A1"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30/06/2020</w:t>
            </w:r>
          </w:p>
        </w:tc>
        <w:tc>
          <w:tcPr>
            <w:tcW w:w="1134" w:type="dxa"/>
            <w:vAlign w:val="center"/>
            <w:hideMark/>
          </w:tcPr>
          <w:p w14:paraId="6DB3A7E1"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7</w:t>
            </w:r>
          </w:p>
        </w:tc>
        <w:tc>
          <w:tcPr>
            <w:tcW w:w="1134" w:type="dxa"/>
            <w:vAlign w:val="center"/>
            <w:hideMark/>
          </w:tcPr>
          <w:p w14:paraId="203C4C04"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14.48</w:t>
            </w:r>
          </w:p>
        </w:tc>
      </w:tr>
      <w:tr w:rsidR="00CB540F" w:rsidRPr="00336508" w14:paraId="6F2132D1" w14:textId="77777777" w:rsidTr="00E2708B">
        <w:trPr>
          <w:cantSplit/>
          <w:trHeight w:val="792"/>
        </w:trPr>
        <w:tc>
          <w:tcPr>
            <w:tcW w:w="2411" w:type="dxa"/>
            <w:vAlign w:val="center"/>
            <w:hideMark/>
          </w:tcPr>
          <w:p w14:paraId="70F1766C"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CRC for Cancer Therapeutics</w:t>
            </w:r>
          </w:p>
        </w:tc>
        <w:tc>
          <w:tcPr>
            <w:tcW w:w="5528" w:type="dxa"/>
            <w:vAlign w:val="center"/>
            <w:hideMark/>
          </w:tcPr>
          <w:p w14:paraId="7A58FE26"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build on the drug-discovery engine it has already created to discover effective new drugs for major cancers and improve the lives of Australian children with cancer through tailored and personalised treatment.</w:t>
            </w:r>
          </w:p>
        </w:tc>
        <w:tc>
          <w:tcPr>
            <w:tcW w:w="1701" w:type="dxa"/>
            <w:vAlign w:val="center"/>
            <w:hideMark/>
          </w:tcPr>
          <w:p w14:paraId="431AEDD1"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Services</w:t>
            </w:r>
          </w:p>
        </w:tc>
        <w:tc>
          <w:tcPr>
            <w:tcW w:w="1276" w:type="dxa"/>
            <w:vAlign w:val="center"/>
            <w:hideMark/>
          </w:tcPr>
          <w:p w14:paraId="7B22480F"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1/07/2014</w:t>
            </w:r>
          </w:p>
        </w:tc>
        <w:tc>
          <w:tcPr>
            <w:tcW w:w="1417" w:type="dxa"/>
            <w:vAlign w:val="center"/>
            <w:hideMark/>
          </w:tcPr>
          <w:p w14:paraId="6D335F2F"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30/06/2020</w:t>
            </w:r>
          </w:p>
        </w:tc>
        <w:tc>
          <w:tcPr>
            <w:tcW w:w="1134" w:type="dxa"/>
            <w:vAlign w:val="center"/>
            <w:hideMark/>
          </w:tcPr>
          <w:p w14:paraId="66D771F4"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6</w:t>
            </w:r>
          </w:p>
        </w:tc>
        <w:tc>
          <w:tcPr>
            <w:tcW w:w="1134" w:type="dxa"/>
            <w:vAlign w:val="center"/>
            <w:hideMark/>
          </w:tcPr>
          <w:p w14:paraId="723B7C6C"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34.01</w:t>
            </w:r>
          </w:p>
        </w:tc>
      </w:tr>
      <w:tr w:rsidR="00CB540F" w:rsidRPr="00336508" w14:paraId="1F640B24" w14:textId="77777777" w:rsidTr="00E2708B">
        <w:trPr>
          <w:cantSplit/>
          <w:trHeight w:val="720"/>
        </w:trPr>
        <w:tc>
          <w:tcPr>
            <w:tcW w:w="2411" w:type="dxa"/>
            <w:vAlign w:val="center"/>
            <w:hideMark/>
          </w:tcPr>
          <w:p w14:paraId="67A7783B"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CRC for Cell Therapy Manufacturing</w:t>
            </w:r>
          </w:p>
        </w:tc>
        <w:tc>
          <w:tcPr>
            <w:tcW w:w="5528" w:type="dxa"/>
            <w:vAlign w:val="center"/>
            <w:hideMark/>
          </w:tcPr>
          <w:p w14:paraId="1EBC5676"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 xml:space="preserve">To increase the affordability and accessibility of cell therapies and position Australia in the vanguard of cell therapy manufacture. </w:t>
            </w:r>
          </w:p>
        </w:tc>
        <w:tc>
          <w:tcPr>
            <w:tcW w:w="1701" w:type="dxa"/>
            <w:vAlign w:val="center"/>
            <w:hideMark/>
          </w:tcPr>
          <w:p w14:paraId="3A4DBD57"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Manufacturing</w:t>
            </w:r>
          </w:p>
        </w:tc>
        <w:tc>
          <w:tcPr>
            <w:tcW w:w="1276" w:type="dxa"/>
            <w:vAlign w:val="center"/>
            <w:hideMark/>
          </w:tcPr>
          <w:p w14:paraId="53658F97"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1/07/2013</w:t>
            </w:r>
          </w:p>
        </w:tc>
        <w:tc>
          <w:tcPr>
            <w:tcW w:w="1417" w:type="dxa"/>
            <w:vAlign w:val="center"/>
            <w:hideMark/>
          </w:tcPr>
          <w:p w14:paraId="7A427DA7"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30/06/2019</w:t>
            </w:r>
          </w:p>
        </w:tc>
        <w:tc>
          <w:tcPr>
            <w:tcW w:w="1134" w:type="dxa"/>
            <w:vAlign w:val="center"/>
            <w:hideMark/>
          </w:tcPr>
          <w:p w14:paraId="63DB5BCA"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6</w:t>
            </w:r>
          </w:p>
        </w:tc>
        <w:tc>
          <w:tcPr>
            <w:tcW w:w="1134" w:type="dxa"/>
            <w:vAlign w:val="center"/>
            <w:hideMark/>
          </w:tcPr>
          <w:p w14:paraId="715D326A"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20.00</w:t>
            </w:r>
          </w:p>
        </w:tc>
      </w:tr>
      <w:tr w:rsidR="00CB540F" w:rsidRPr="00336508" w14:paraId="7A9DE305" w14:textId="77777777" w:rsidTr="00E2708B">
        <w:trPr>
          <w:cantSplit/>
          <w:trHeight w:val="550"/>
        </w:trPr>
        <w:tc>
          <w:tcPr>
            <w:tcW w:w="2411" w:type="dxa"/>
            <w:vAlign w:val="center"/>
            <w:hideMark/>
          </w:tcPr>
          <w:p w14:paraId="5C0C1681"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CRC for Contamination Assessment and Remediation of the Environment</w:t>
            </w:r>
          </w:p>
        </w:tc>
        <w:tc>
          <w:tcPr>
            <w:tcW w:w="5528" w:type="dxa"/>
            <w:vAlign w:val="center"/>
            <w:hideMark/>
          </w:tcPr>
          <w:p w14:paraId="56C83611"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undertake research, develop technologies and provide policy guidance for assessing, cleaning up and preventing contamination of soil, water and air.</w:t>
            </w:r>
          </w:p>
        </w:tc>
        <w:tc>
          <w:tcPr>
            <w:tcW w:w="1701" w:type="dxa"/>
            <w:vAlign w:val="center"/>
            <w:hideMark/>
          </w:tcPr>
          <w:p w14:paraId="59CF16E5"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Services</w:t>
            </w:r>
          </w:p>
        </w:tc>
        <w:tc>
          <w:tcPr>
            <w:tcW w:w="1276" w:type="dxa"/>
            <w:vAlign w:val="center"/>
            <w:hideMark/>
          </w:tcPr>
          <w:p w14:paraId="78AE3E88"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1/07/2011</w:t>
            </w:r>
          </w:p>
        </w:tc>
        <w:tc>
          <w:tcPr>
            <w:tcW w:w="1417" w:type="dxa"/>
            <w:vAlign w:val="center"/>
            <w:hideMark/>
          </w:tcPr>
          <w:p w14:paraId="4FA1E476"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30/06/2020</w:t>
            </w:r>
          </w:p>
        </w:tc>
        <w:tc>
          <w:tcPr>
            <w:tcW w:w="1134" w:type="dxa"/>
            <w:vAlign w:val="center"/>
            <w:hideMark/>
          </w:tcPr>
          <w:p w14:paraId="10C662DB"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9</w:t>
            </w:r>
          </w:p>
        </w:tc>
        <w:tc>
          <w:tcPr>
            <w:tcW w:w="1134" w:type="dxa"/>
            <w:vAlign w:val="center"/>
            <w:hideMark/>
          </w:tcPr>
          <w:p w14:paraId="25CB12D3"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29.10</w:t>
            </w:r>
          </w:p>
        </w:tc>
      </w:tr>
      <w:tr w:rsidR="00CB540F" w:rsidRPr="00336508" w14:paraId="04E9A295" w14:textId="77777777" w:rsidTr="00E2708B">
        <w:trPr>
          <w:cantSplit/>
          <w:trHeight w:val="960"/>
        </w:trPr>
        <w:tc>
          <w:tcPr>
            <w:tcW w:w="2411" w:type="dxa"/>
            <w:vAlign w:val="center"/>
            <w:hideMark/>
          </w:tcPr>
          <w:p w14:paraId="161B23C4"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CRC for High Integrity Australian Pork</w:t>
            </w:r>
          </w:p>
        </w:tc>
        <w:tc>
          <w:tcPr>
            <w:tcW w:w="5528" w:type="dxa"/>
            <w:vAlign w:val="center"/>
            <w:hideMark/>
          </w:tcPr>
          <w:p w14:paraId="2A37CDBA"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address the major challenge the Australian pork industry's faces in maintaining local production of high quality food for a reasonable price without negatively impacting pig welfare, the environment, or the health of the consumer.</w:t>
            </w:r>
          </w:p>
        </w:tc>
        <w:tc>
          <w:tcPr>
            <w:tcW w:w="1701" w:type="dxa"/>
            <w:vAlign w:val="center"/>
            <w:hideMark/>
          </w:tcPr>
          <w:p w14:paraId="39DC22E6"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Agriculture, Forestry and Fishing</w:t>
            </w:r>
          </w:p>
        </w:tc>
        <w:tc>
          <w:tcPr>
            <w:tcW w:w="1276" w:type="dxa"/>
            <w:vAlign w:val="center"/>
            <w:hideMark/>
          </w:tcPr>
          <w:p w14:paraId="4D33B296"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1/07/2011</w:t>
            </w:r>
          </w:p>
        </w:tc>
        <w:tc>
          <w:tcPr>
            <w:tcW w:w="1417" w:type="dxa"/>
            <w:vAlign w:val="center"/>
            <w:hideMark/>
          </w:tcPr>
          <w:p w14:paraId="535706F2"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30/06/2019</w:t>
            </w:r>
          </w:p>
        </w:tc>
        <w:tc>
          <w:tcPr>
            <w:tcW w:w="1134" w:type="dxa"/>
            <w:vAlign w:val="center"/>
            <w:hideMark/>
          </w:tcPr>
          <w:p w14:paraId="4CB265AE"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8</w:t>
            </w:r>
          </w:p>
        </w:tc>
        <w:tc>
          <w:tcPr>
            <w:tcW w:w="1134" w:type="dxa"/>
            <w:vAlign w:val="center"/>
            <w:hideMark/>
          </w:tcPr>
          <w:p w14:paraId="72F39009"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19.86</w:t>
            </w:r>
          </w:p>
        </w:tc>
      </w:tr>
      <w:tr w:rsidR="00CB540F" w:rsidRPr="00336508" w14:paraId="47BA890B" w14:textId="77777777" w:rsidTr="00E2708B">
        <w:trPr>
          <w:cantSplit/>
          <w:trHeight w:val="720"/>
        </w:trPr>
        <w:tc>
          <w:tcPr>
            <w:tcW w:w="2411" w:type="dxa"/>
            <w:vAlign w:val="center"/>
            <w:hideMark/>
          </w:tcPr>
          <w:p w14:paraId="120EE49B"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CRC for Living with Autism Spectrum Disorders</w:t>
            </w:r>
          </w:p>
        </w:tc>
        <w:tc>
          <w:tcPr>
            <w:tcW w:w="5528" w:type="dxa"/>
            <w:vAlign w:val="center"/>
            <w:hideMark/>
          </w:tcPr>
          <w:p w14:paraId="6064C3CE"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 xml:space="preserve">To undertake innovative research to directly improve the lifetime prospects of individuals with Autism Spectrum Disorders (ASD); provide guidance, support and direction for their families; and enable medical practitioners, educators, therapists, support workers and employers to work effectively with people with ASD. </w:t>
            </w:r>
          </w:p>
        </w:tc>
        <w:tc>
          <w:tcPr>
            <w:tcW w:w="1701" w:type="dxa"/>
            <w:vAlign w:val="center"/>
            <w:hideMark/>
          </w:tcPr>
          <w:p w14:paraId="14B8AA34"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Services</w:t>
            </w:r>
          </w:p>
        </w:tc>
        <w:tc>
          <w:tcPr>
            <w:tcW w:w="1276" w:type="dxa"/>
            <w:vAlign w:val="center"/>
            <w:hideMark/>
          </w:tcPr>
          <w:p w14:paraId="0B6643BE"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1/07/2013</w:t>
            </w:r>
          </w:p>
        </w:tc>
        <w:tc>
          <w:tcPr>
            <w:tcW w:w="1417" w:type="dxa"/>
            <w:vAlign w:val="center"/>
            <w:hideMark/>
          </w:tcPr>
          <w:p w14:paraId="6D418200"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30/06/2021</w:t>
            </w:r>
          </w:p>
        </w:tc>
        <w:tc>
          <w:tcPr>
            <w:tcW w:w="1134" w:type="dxa"/>
            <w:vAlign w:val="center"/>
            <w:hideMark/>
          </w:tcPr>
          <w:p w14:paraId="052519C3"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8</w:t>
            </w:r>
          </w:p>
        </w:tc>
        <w:tc>
          <w:tcPr>
            <w:tcW w:w="1134" w:type="dxa"/>
            <w:vAlign w:val="center"/>
            <w:hideMark/>
          </w:tcPr>
          <w:p w14:paraId="7B5A068F"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31.00</w:t>
            </w:r>
          </w:p>
        </w:tc>
      </w:tr>
      <w:tr w:rsidR="00CB540F" w:rsidRPr="00336508" w14:paraId="3C2DFA82" w14:textId="77777777" w:rsidTr="00E2708B">
        <w:trPr>
          <w:cantSplit/>
          <w:trHeight w:val="1275"/>
        </w:trPr>
        <w:tc>
          <w:tcPr>
            <w:tcW w:w="2411" w:type="dxa"/>
            <w:vAlign w:val="center"/>
            <w:hideMark/>
          </w:tcPr>
          <w:p w14:paraId="5A2856D1"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CRC for Low Carbon Living</w:t>
            </w:r>
          </w:p>
        </w:tc>
        <w:tc>
          <w:tcPr>
            <w:tcW w:w="5528" w:type="dxa"/>
            <w:vAlign w:val="center"/>
            <w:hideMark/>
          </w:tcPr>
          <w:p w14:paraId="58977860"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provide government and industry with technological and policy tools to overcome identified market barriers which are preventing the adoption of cost effective low carbon products and services.</w:t>
            </w:r>
          </w:p>
        </w:tc>
        <w:tc>
          <w:tcPr>
            <w:tcW w:w="1701" w:type="dxa"/>
            <w:vAlign w:val="center"/>
            <w:hideMark/>
          </w:tcPr>
          <w:p w14:paraId="45F1DCA8"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Services</w:t>
            </w:r>
          </w:p>
        </w:tc>
        <w:tc>
          <w:tcPr>
            <w:tcW w:w="1276" w:type="dxa"/>
            <w:vAlign w:val="center"/>
            <w:hideMark/>
          </w:tcPr>
          <w:p w14:paraId="6AAAF471"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1/07/2012</w:t>
            </w:r>
          </w:p>
        </w:tc>
        <w:tc>
          <w:tcPr>
            <w:tcW w:w="1417" w:type="dxa"/>
            <w:vAlign w:val="center"/>
            <w:hideMark/>
          </w:tcPr>
          <w:p w14:paraId="3B7083F8"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30/06/2019</w:t>
            </w:r>
          </w:p>
        </w:tc>
        <w:tc>
          <w:tcPr>
            <w:tcW w:w="1134" w:type="dxa"/>
            <w:vAlign w:val="center"/>
            <w:hideMark/>
          </w:tcPr>
          <w:p w14:paraId="668390AA"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7</w:t>
            </w:r>
          </w:p>
        </w:tc>
        <w:tc>
          <w:tcPr>
            <w:tcW w:w="1134" w:type="dxa"/>
            <w:vAlign w:val="center"/>
            <w:hideMark/>
          </w:tcPr>
          <w:p w14:paraId="6051C636"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28.00</w:t>
            </w:r>
          </w:p>
        </w:tc>
      </w:tr>
      <w:tr w:rsidR="00CB540F" w:rsidRPr="00336508" w14:paraId="37BFC943" w14:textId="77777777" w:rsidTr="00E2708B">
        <w:trPr>
          <w:cantSplit/>
          <w:trHeight w:val="720"/>
        </w:trPr>
        <w:tc>
          <w:tcPr>
            <w:tcW w:w="2411" w:type="dxa"/>
            <w:vAlign w:val="center"/>
            <w:hideMark/>
          </w:tcPr>
          <w:p w14:paraId="4AF00E7D"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CRC for Mental Health</w:t>
            </w:r>
          </w:p>
        </w:tc>
        <w:tc>
          <w:tcPr>
            <w:tcW w:w="5528" w:type="dxa"/>
            <w:vAlign w:val="center"/>
            <w:hideMark/>
          </w:tcPr>
          <w:p w14:paraId="7668B343"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undertake research to identify and validate biomarkers for the early detection and treatment of neurodegenerative disorders such as Alzheimer’s and Parkinson’s diseases and psychoses including schizophrenia and mood disorders.</w:t>
            </w:r>
          </w:p>
        </w:tc>
        <w:tc>
          <w:tcPr>
            <w:tcW w:w="1701" w:type="dxa"/>
            <w:vAlign w:val="center"/>
            <w:hideMark/>
          </w:tcPr>
          <w:p w14:paraId="29B21A16"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Services</w:t>
            </w:r>
          </w:p>
        </w:tc>
        <w:tc>
          <w:tcPr>
            <w:tcW w:w="1276" w:type="dxa"/>
            <w:vAlign w:val="center"/>
            <w:hideMark/>
          </w:tcPr>
          <w:p w14:paraId="309F8480"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1/07/2011</w:t>
            </w:r>
          </w:p>
        </w:tc>
        <w:tc>
          <w:tcPr>
            <w:tcW w:w="1417" w:type="dxa"/>
            <w:vAlign w:val="center"/>
            <w:hideMark/>
          </w:tcPr>
          <w:p w14:paraId="72AAF96A"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30/06/2018</w:t>
            </w:r>
          </w:p>
        </w:tc>
        <w:tc>
          <w:tcPr>
            <w:tcW w:w="1134" w:type="dxa"/>
            <w:vAlign w:val="center"/>
            <w:hideMark/>
          </w:tcPr>
          <w:p w14:paraId="242F4C53"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7</w:t>
            </w:r>
          </w:p>
        </w:tc>
        <w:tc>
          <w:tcPr>
            <w:tcW w:w="1134" w:type="dxa"/>
            <w:vAlign w:val="center"/>
            <w:hideMark/>
          </w:tcPr>
          <w:p w14:paraId="458FC685"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23.11</w:t>
            </w:r>
          </w:p>
        </w:tc>
      </w:tr>
      <w:tr w:rsidR="00CB540F" w:rsidRPr="00336508" w14:paraId="1E0563EB" w14:textId="77777777" w:rsidTr="00E2708B">
        <w:trPr>
          <w:cantSplit/>
          <w:trHeight w:val="960"/>
        </w:trPr>
        <w:tc>
          <w:tcPr>
            <w:tcW w:w="2411" w:type="dxa"/>
            <w:vAlign w:val="center"/>
            <w:hideMark/>
          </w:tcPr>
          <w:p w14:paraId="5398ED39"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CRC for Optimising Resource Extraction</w:t>
            </w:r>
          </w:p>
        </w:tc>
        <w:tc>
          <w:tcPr>
            <w:tcW w:w="5528" w:type="dxa"/>
            <w:vAlign w:val="center"/>
            <w:hideMark/>
          </w:tcPr>
          <w:p w14:paraId="2CD19467"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transform the methods used by Australia's mining and minerals industry to evaluate and extract mineral deposits. The CRC will develop technology which will enable selective mining in high tonnage operations with potentially a significant reduction in capital expenditure and energy consumption.</w:t>
            </w:r>
          </w:p>
        </w:tc>
        <w:tc>
          <w:tcPr>
            <w:tcW w:w="1701" w:type="dxa"/>
            <w:vAlign w:val="center"/>
            <w:hideMark/>
          </w:tcPr>
          <w:p w14:paraId="7F36EE15"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Mining</w:t>
            </w:r>
          </w:p>
        </w:tc>
        <w:tc>
          <w:tcPr>
            <w:tcW w:w="1276" w:type="dxa"/>
            <w:vAlign w:val="center"/>
            <w:hideMark/>
          </w:tcPr>
          <w:p w14:paraId="7958A472"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1/07/2010</w:t>
            </w:r>
          </w:p>
        </w:tc>
        <w:tc>
          <w:tcPr>
            <w:tcW w:w="1417" w:type="dxa"/>
            <w:vAlign w:val="center"/>
            <w:hideMark/>
          </w:tcPr>
          <w:p w14:paraId="58A99D2D"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30/06/2015</w:t>
            </w:r>
          </w:p>
        </w:tc>
        <w:tc>
          <w:tcPr>
            <w:tcW w:w="1134" w:type="dxa"/>
            <w:vAlign w:val="center"/>
            <w:hideMark/>
          </w:tcPr>
          <w:p w14:paraId="7DFFB99C"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5</w:t>
            </w:r>
          </w:p>
        </w:tc>
        <w:tc>
          <w:tcPr>
            <w:tcW w:w="1134" w:type="dxa"/>
            <w:vAlign w:val="center"/>
            <w:hideMark/>
          </w:tcPr>
          <w:p w14:paraId="568095F3"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17.50</w:t>
            </w:r>
          </w:p>
        </w:tc>
      </w:tr>
      <w:tr w:rsidR="00CB540F" w:rsidRPr="00336508" w14:paraId="20632F66" w14:textId="77777777" w:rsidTr="00E2708B">
        <w:trPr>
          <w:cantSplit/>
          <w:trHeight w:val="1429"/>
        </w:trPr>
        <w:tc>
          <w:tcPr>
            <w:tcW w:w="2411" w:type="dxa"/>
            <w:vAlign w:val="center"/>
            <w:hideMark/>
          </w:tcPr>
          <w:p w14:paraId="4FD703A4"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CRC for Polymers</w:t>
            </w:r>
          </w:p>
        </w:tc>
        <w:tc>
          <w:tcPr>
            <w:tcW w:w="5528" w:type="dxa"/>
            <w:vAlign w:val="center"/>
            <w:hideMark/>
          </w:tcPr>
          <w:p w14:paraId="06B3792F"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establish Australian manufacturing as a leading provider and exporter of products that meets emerging global needs in three areas: health therapies and delivery; water and food security; and low-cost solar energy, using enabling and sustainable advanced polymer technology.</w:t>
            </w:r>
          </w:p>
        </w:tc>
        <w:tc>
          <w:tcPr>
            <w:tcW w:w="1701" w:type="dxa"/>
            <w:vAlign w:val="center"/>
            <w:hideMark/>
          </w:tcPr>
          <w:p w14:paraId="2E3CA1F1"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Manufacturing</w:t>
            </w:r>
          </w:p>
        </w:tc>
        <w:tc>
          <w:tcPr>
            <w:tcW w:w="1276" w:type="dxa"/>
            <w:vAlign w:val="center"/>
            <w:hideMark/>
          </w:tcPr>
          <w:p w14:paraId="671D7849"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1/07/2012</w:t>
            </w:r>
          </w:p>
        </w:tc>
        <w:tc>
          <w:tcPr>
            <w:tcW w:w="1417" w:type="dxa"/>
            <w:vAlign w:val="center"/>
            <w:hideMark/>
          </w:tcPr>
          <w:p w14:paraId="709C6B46"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30/06/2017</w:t>
            </w:r>
          </w:p>
        </w:tc>
        <w:tc>
          <w:tcPr>
            <w:tcW w:w="1134" w:type="dxa"/>
            <w:vAlign w:val="center"/>
            <w:hideMark/>
          </w:tcPr>
          <w:p w14:paraId="3BCC45B4"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5</w:t>
            </w:r>
          </w:p>
        </w:tc>
        <w:tc>
          <w:tcPr>
            <w:tcW w:w="1134" w:type="dxa"/>
            <w:vAlign w:val="center"/>
            <w:hideMark/>
          </w:tcPr>
          <w:p w14:paraId="269AEC2D"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14.50</w:t>
            </w:r>
          </w:p>
        </w:tc>
      </w:tr>
      <w:tr w:rsidR="00CB540F" w:rsidRPr="00336508" w14:paraId="6454E1C4" w14:textId="77777777" w:rsidTr="00E2708B">
        <w:trPr>
          <w:cantSplit/>
          <w:trHeight w:val="480"/>
        </w:trPr>
        <w:tc>
          <w:tcPr>
            <w:tcW w:w="2411" w:type="dxa"/>
            <w:vAlign w:val="center"/>
            <w:hideMark/>
          </w:tcPr>
          <w:p w14:paraId="181E269C"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CRC for Rail Manufacturing</w:t>
            </w:r>
          </w:p>
        </w:tc>
        <w:tc>
          <w:tcPr>
            <w:tcW w:w="5528" w:type="dxa"/>
            <w:vAlign w:val="center"/>
            <w:hideMark/>
          </w:tcPr>
          <w:p w14:paraId="57BBFE3F"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develop products, technologies and supply chain networks to increase the capability and globally competitive position of the rail industry.</w:t>
            </w:r>
          </w:p>
        </w:tc>
        <w:tc>
          <w:tcPr>
            <w:tcW w:w="1701" w:type="dxa"/>
            <w:vAlign w:val="center"/>
            <w:hideMark/>
          </w:tcPr>
          <w:p w14:paraId="62158CFA"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Manufacturing</w:t>
            </w:r>
          </w:p>
        </w:tc>
        <w:tc>
          <w:tcPr>
            <w:tcW w:w="1276" w:type="dxa"/>
            <w:vAlign w:val="center"/>
            <w:hideMark/>
          </w:tcPr>
          <w:p w14:paraId="6FCE47B5"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1/07/2014</w:t>
            </w:r>
          </w:p>
        </w:tc>
        <w:tc>
          <w:tcPr>
            <w:tcW w:w="1417" w:type="dxa"/>
            <w:vAlign w:val="center"/>
            <w:hideMark/>
          </w:tcPr>
          <w:p w14:paraId="57A1D261"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30/06/2020</w:t>
            </w:r>
          </w:p>
        </w:tc>
        <w:tc>
          <w:tcPr>
            <w:tcW w:w="1134" w:type="dxa"/>
            <w:vAlign w:val="center"/>
            <w:hideMark/>
          </w:tcPr>
          <w:p w14:paraId="7610B52B"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6</w:t>
            </w:r>
          </w:p>
        </w:tc>
        <w:tc>
          <w:tcPr>
            <w:tcW w:w="1134" w:type="dxa"/>
            <w:vAlign w:val="center"/>
            <w:hideMark/>
          </w:tcPr>
          <w:p w14:paraId="7A031BF8"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31.00</w:t>
            </w:r>
          </w:p>
        </w:tc>
      </w:tr>
      <w:tr w:rsidR="00CB540F" w:rsidRPr="00336508" w14:paraId="025D7DA1" w14:textId="77777777" w:rsidTr="00E2708B">
        <w:trPr>
          <w:cantSplit/>
          <w:trHeight w:val="720"/>
        </w:trPr>
        <w:tc>
          <w:tcPr>
            <w:tcW w:w="2411" w:type="dxa"/>
            <w:vAlign w:val="center"/>
            <w:hideMark/>
          </w:tcPr>
          <w:p w14:paraId="276612F7"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CRC for Remote Economic Participation</w:t>
            </w:r>
          </w:p>
        </w:tc>
        <w:tc>
          <w:tcPr>
            <w:tcW w:w="5528" w:type="dxa"/>
            <w:vAlign w:val="center"/>
            <w:hideMark/>
          </w:tcPr>
          <w:p w14:paraId="11F263C0"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deliver solutions that address social and economic disadvantage in remote Australia and contribute to the Australian Government’s ‘Closing The Gap’ policy, which aims to halve the unemployment, welfare and other forms of disadvantage experienced by Indigenous people living in remote areas.</w:t>
            </w:r>
          </w:p>
        </w:tc>
        <w:tc>
          <w:tcPr>
            <w:tcW w:w="1701" w:type="dxa"/>
            <w:vAlign w:val="center"/>
            <w:hideMark/>
          </w:tcPr>
          <w:p w14:paraId="1AE9844F"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Services</w:t>
            </w:r>
          </w:p>
        </w:tc>
        <w:tc>
          <w:tcPr>
            <w:tcW w:w="1276" w:type="dxa"/>
            <w:vAlign w:val="center"/>
            <w:hideMark/>
          </w:tcPr>
          <w:p w14:paraId="0B859016"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1/07/2010</w:t>
            </w:r>
          </w:p>
        </w:tc>
        <w:tc>
          <w:tcPr>
            <w:tcW w:w="1417" w:type="dxa"/>
            <w:vAlign w:val="center"/>
            <w:hideMark/>
          </w:tcPr>
          <w:p w14:paraId="1DF5571D"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30/06/2017</w:t>
            </w:r>
          </w:p>
        </w:tc>
        <w:tc>
          <w:tcPr>
            <w:tcW w:w="1134" w:type="dxa"/>
            <w:vAlign w:val="center"/>
            <w:hideMark/>
          </w:tcPr>
          <w:p w14:paraId="681BB312"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7</w:t>
            </w:r>
          </w:p>
        </w:tc>
        <w:tc>
          <w:tcPr>
            <w:tcW w:w="1134" w:type="dxa"/>
            <w:vAlign w:val="center"/>
            <w:hideMark/>
          </w:tcPr>
          <w:p w14:paraId="09B1BAF2"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32.50</w:t>
            </w:r>
          </w:p>
        </w:tc>
      </w:tr>
      <w:tr w:rsidR="00CB540F" w:rsidRPr="00336508" w14:paraId="1837DA56" w14:textId="77777777" w:rsidTr="00E2708B">
        <w:trPr>
          <w:cantSplit/>
          <w:trHeight w:val="720"/>
        </w:trPr>
        <w:tc>
          <w:tcPr>
            <w:tcW w:w="2411" w:type="dxa"/>
            <w:vAlign w:val="center"/>
            <w:hideMark/>
          </w:tcPr>
          <w:p w14:paraId="57A9474E"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CRC for Sheep Industry Innovation</w:t>
            </w:r>
          </w:p>
        </w:tc>
        <w:tc>
          <w:tcPr>
            <w:tcW w:w="5528" w:type="dxa"/>
            <w:vAlign w:val="center"/>
            <w:hideMark/>
          </w:tcPr>
          <w:p w14:paraId="14214F90"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enhance sheep wellbeing and productivity, value-based trading of sheep meat and deliver affordable technologies to transform the Australian sheep industry.</w:t>
            </w:r>
          </w:p>
        </w:tc>
        <w:tc>
          <w:tcPr>
            <w:tcW w:w="1701" w:type="dxa"/>
            <w:vAlign w:val="center"/>
            <w:hideMark/>
          </w:tcPr>
          <w:p w14:paraId="5CF5F1B8"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Agriculture, Forestry and Fishing</w:t>
            </w:r>
          </w:p>
        </w:tc>
        <w:tc>
          <w:tcPr>
            <w:tcW w:w="1276" w:type="dxa"/>
            <w:vAlign w:val="center"/>
            <w:hideMark/>
          </w:tcPr>
          <w:p w14:paraId="624718B4"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1/07/2014</w:t>
            </w:r>
          </w:p>
        </w:tc>
        <w:tc>
          <w:tcPr>
            <w:tcW w:w="1417" w:type="dxa"/>
            <w:vAlign w:val="center"/>
            <w:hideMark/>
          </w:tcPr>
          <w:p w14:paraId="5C8B8AB4"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30/06/2019</w:t>
            </w:r>
          </w:p>
        </w:tc>
        <w:tc>
          <w:tcPr>
            <w:tcW w:w="1134" w:type="dxa"/>
            <w:vAlign w:val="center"/>
            <w:hideMark/>
          </w:tcPr>
          <w:p w14:paraId="70550902"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5</w:t>
            </w:r>
          </w:p>
        </w:tc>
        <w:tc>
          <w:tcPr>
            <w:tcW w:w="1134" w:type="dxa"/>
            <w:vAlign w:val="center"/>
            <w:hideMark/>
          </w:tcPr>
          <w:p w14:paraId="094787F8"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15.50</w:t>
            </w:r>
          </w:p>
        </w:tc>
      </w:tr>
      <w:tr w:rsidR="00CB540F" w:rsidRPr="00336508" w14:paraId="493EAAA8" w14:textId="77777777" w:rsidTr="00E2708B">
        <w:trPr>
          <w:cantSplit/>
          <w:trHeight w:val="720"/>
        </w:trPr>
        <w:tc>
          <w:tcPr>
            <w:tcW w:w="2411" w:type="dxa"/>
            <w:vAlign w:val="center"/>
            <w:hideMark/>
          </w:tcPr>
          <w:p w14:paraId="31BFD349"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CRC for Spatial Information</w:t>
            </w:r>
          </w:p>
        </w:tc>
        <w:tc>
          <w:tcPr>
            <w:tcW w:w="5528" w:type="dxa"/>
            <w:vAlign w:val="center"/>
            <w:hideMark/>
          </w:tcPr>
          <w:p w14:paraId="27195A48"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 xml:space="preserve">To create a coordinated national network of satellite system reference stations; undertake research into the establishment of an Australian and New Zealand spatial information market place; and automate the production of essential spatial information products and combine existing data stores with the rapidly increasing stream of data from earth observation satellites. </w:t>
            </w:r>
          </w:p>
        </w:tc>
        <w:tc>
          <w:tcPr>
            <w:tcW w:w="1701" w:type="dxa"/>
            <w:vAlign w:val="center"/>
            <w:hideMark/>
          </w:tcPr>
          <w:p w14:paraId="12A94FEE"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Services</w:t>
            </w:r>
          </w:p>
        </w:tc>
        <w:tc>
          <w:tcPr>
            <w:tcW w:w="1276" w:type="dxa"/>
            <w:vAlign w:val="center"/>
            <w:hideMark/>
          </w:tcPr>
          <w:p w14:paraId="046C13CA"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1/01/2010</w:t>
            </w:r>
          </w:p>
        </w:tc>
        <w:tc>
          <w:tcPr>
            <w:tcW w:w="1417" w:type="dxa"/>
            <w:vAlign w:val="center"/>
            <w:hideMark/>
          </w:tcPr>
          <w:p w14:paraId="413FD3F2"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30/06/2018</w:t>
            </w:r>
          </w:p>
        </w:tc>
        <w:tc>
          <w:tcPr>
            <w:tcW w:w="1134" w:type="dxa"/>
            <w:vAlign w:val="center"/>
            <w:hideMark/>
          </w:tcPr>
          <w:p w14:paraId="48B2C128"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8</w:t>
            </w:r>
          </w:p>
        </w:tc>
        <w:tc>
          <w:tcPr>
            <w:tcW w:w="1134" w:type="dxa"/>
            <w:vAlign w:val="center"/>
            <w:hideMark/>
          </w:tcPr>
          <w:p w14:paraId="0CA8F7FF"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32.19</w:t>
            </w:r>
          </w:p>
        </w:tc>
      </w:tr>
      <w:tr w:rsidR="00CB540F" w:rsidRPr="00336508" w14:paraId="4EB080B4" w14:textId="77777777" w:rsidTr="00E2708B">
        <w:trPr>
          <w:cantSplit/>
          <w:trHeight w:val="720"/>
        </w:trPr>
        <w:tc>
          <w:tcPr>
            <w:tcW w:w="2411" w:type="dxa"/>
            <w:vAlign w:val="center"/>
            <w:hideMark/>
          </w:tcPr>
          <w:p w14:paraId="0425D1A4"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CRC for Water Sensitive Cities</w:t>
            </w:r>
          </w:p>
        </w:tc>
        <w:tc>
          <w:tcPr>
            <w:tcW w:w="5528" w:type="dxa"/>
            <w:vAlign w:val="center"/>
            <w:hideMark/>
          </w:tcPr>
          <w:p w14:paraId="39E8358E"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deliver the socio-technical urban water management solutions, education and training programs, and industry engagement required to make towns and cities water sensitive.</w:t>
            </w:r>
          </w:p>
        </w:tc>
        <w:tc>
          <w:tcPr>
            <w:tcW w:w="1701" w:type="dxa"/>
            <w:vAlign w:val="center"/>
            <w:hideMark/>
          </w:tcPr>
          <w:p w14:paraId="1C5B4C2C"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Services</w:t>
            </w:r>
          </w:p>
        </w:tc>
        <w:tc>
          <w:tcPr>
            <w:tcW w:w="1276" w:type="dxa"/>
            <w:vAlign w:val="center"/>
            <w:hideMark/>
          </w:tcPr>
          <w:p w14:paraId="758607AD"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1/07/2012</w:t>
            </w:r>
          </w:p>
        </w:tc>
        <w:tc>
          <w:tcPr>
            <w:tcW w:w="1417" w:type="dxa"/>
            <w:vAlign w:val="center"/>
            <w:hideMark/>
          </w:tcPr>
          <w:p w14:paraId="31E173EE"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30/06/2021</w:t>
            </w:r>
          </w:p>
        </w:tc>
        <w:tc>
          <w:tcPr>
            <w:tcW w:w="1134" w:type="dxa"/>
            <w:vAlign w:val="center"/>
            <w:hideMark/>
          </w:tcPr>
          <w:p w14:paraId="31294382"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w:t>
            </w:r>
          </w:p>
        </w:tc>
        <w:tc>
          <w:tcPr>
            <w:tcW w:w="1134" w:type="dxa"/>
            <w:vAlign w:val="center"/>
            <w:hideMark/>
          </w:tcPr>
          <w:p w14:paraId="170FA819"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30.00</w:t>
            </w:r>
          </w:p>
        </w:tc>
      </w:tr>
      <w:tr w:rsidR="00CB540F" w:rsidRPr="00336508" w14:paraId="0EA257F8" w14:textId="77777777" w:rsidTr="00E2708B">
        <w:trPr>
          <w:cantSplit/>
          <w:trHeight w:val="720"/>
        </w:trPr>
        <w:tc>
          <w:tcPr>
            <w:tcW w:w="2411" w:type="dxa"/>
            <w:vAlign w:val="center"/>
            <w:hideMark/>
          </w:tcPr>
          <w:p w14:paraId="64464704"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Dairy Futures CRC</w:t>
            </w:r>
          </w:p>
        </w:tc>
        <w:tc>
          <w:tcPr>
            <w:tcW w:w="5528" w:type="dxa"/>
            <w:vAlign w:val="center"/>
            <w:hideMark/>
          </w:tcPr>
          <w:p w14:paraId="771F452F"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 xml:space="preserve">To develop new approaches to selective breeding of both pasture and cattle to build a more resilient and profitable dairy industry. </w:t>
            </w:r>
          </w:p>
        </w:tc>
        <w:tc>
          <w:tcPr>
            <w:tcW w:w="1701" w:type="dxa"/>
            <w:vAlign w:val="center"/>
            <w:hideMark/>
          </w:tcPr>
          <w:p w14:paraId="05AE0906"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Agriculture, Forestry and Fishing</w:t>
            </w:r>
          </w:p>
        </w:tc>
        <w:tc>
          <w:tcPr>
            <w:tcW w:w="1276" w:type="dxa"/>
            <w:vAlign w:val="center"/>
            <w:hideMark/>
          </w:tcPr>
          <w:p w14:paraId="009CE2B5"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1/01/2010</w:t>
            </w:r>
          </w:p>
        </w:tc>
        <w:tc>
          <w:tcPr>
            <w:tcW w:w="1417" w:type="dxa"/>
            <w:vAlign w:val="center"/>
            <w:hideMark/>
          </w:tcPr>
          <w:p w14:paraId="1DB1DDB9"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30/06/2016</w:t>
            </w:r>
          </w:p>
        </w:tc>
        <w:tc>
          <w:tcPr>
            <w:tcW w:w="1134" w:type="dxa"/>
            <w:vAlign w:val="center"/>
            <w:hideMark/>
          </w:tcPr>
          <w:p w14:paraId="4B93BCE0"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6</w:t>
            </w:r>
          </w:p>
        </w:tc>
        <w:tc>
          <w:tcPr>
            <w:tcW w:w="1134" w:type="dxa"/>
            <w:vAlign w:val="center"/>
            <w:hideMark/>
          </w:tcPr>
          <w:p w14:paraId="7DC1CB54"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27.72</w:t>
            </w:r>
          </w:p>
        </w:tc>
      </w:tr>
      <w:tr w:rsidR="00CB540F" w:rsidRPr="00336508" w14:paraId="5719C430" w14:textId="77777777" w:rsidTr="00E2708B">
        <w:trPr>
          <w:cantSplit/>
          <w:trHeight w:val="480"/>
        </w:trPr>
        <w:tc>
          <w:tcPr>
            <w:tcW w:w="2411" w:type="dxa"/>
            <w:vAlign w:val="center"/>
            <w:hideMark/>
          </w:tcPr>
          <w:p w14:paraId="051581B7"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Data to Decisions CRC</w:t>
            </w:r>
          </w:p>
        </w:tc>
        <w:tc>
          <w:tcPr>
            <w:tcW w:w="5528" w:type="dxa"/>
            <w:vAlign w:val="center"/>
            <w:hideMark/>
          </w:tcPr>
          <w:p w14:paraId="251DFAEF"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develop robust tools to maximise the benefits that Australia's defence and national security sector can extract from big data to reduce national security threats.</w:t>
            </w:r>
          </w:p>
        </w:tc>
        <w:tc>
          <w:tcPr>
            <w:tcW w:w="1701" w:type="dxa"/>
            <w:vAlign w:val="center"/>
            <w:hideMark/>
          </w:tcPr>
          <w:p w14:paraId="0A30782C"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Services</w:t>
            </w:r>
          </w:p>
        </w:tc>
        <w:tc>
          <w:tcPr>
            <w:tcW w:w="1276" w:type="dxa"/>
            <w:vAlign w:val="center"/>
            <w:hideMark/>
          </w:tcPr>
          <w:p w14:paraId="007EDF32"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1/07/2014</w:t>
            </w:r>
          </w:p>
        </w:tc>
        <w:tc>
          <w:tcPr>
            <w:tcW w:w="1417" w:type="dxa"/>
            <w:vAlign w:val="center"/>
            <w:hideMark/>
          </w:tcPr>
          <w:p w14:paraId="1E451EEA"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30/06/2019</w:t>
            </w:r>
          </w:p>
        </w:tc>
        <w:tc>
          <w:tcPr>
            <w:tcW w:w="1134" w:type="dxa"/>
            <w:vAlign w:val="center"/>
            <w:hideMark/>
          </w:tcPr>
          <w:p w14:paraId="5CBFAEC1"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5</w:t>
            </w:r>
          </w:p>
        </w:tc>
        <w:tc>
          <w:tcPr>
            <w:tcW w:w="1134" w:type="dxa"/>
            <w:vAlign w:val="center"/>
            <w:hideMark/>
          </w:tcPr>
          <w:p w14:paraId="40A00CD9"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25.00</w:t>
            </w:r>
          </w:p>
        </w:tc>
      </w:tr>
      <w:tr w:rsidR="00CB540F" w:rsidRPr="00336508" w14:paraId="3A9C4AEC" w14:textId="77777777" w:rsidTr="00E2708B">
        <w:trPr>
          <w:cantSplit/>
          <w:trHeight w:val="480"/>
        </w:trPr>
        <w:tc>
          <w:tcPr>
            <w:tcW w:w="2411" w:type="dxa"/>
            <w:vAlign w:val="center"/>
            <w:hideMark/>
          </w:tcPr>
          <w:p w14:paraId="128839BC"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Deep Exploration Technologies CRC</w:t>
            </w:r>
          </w:p>
        </w:tc>
        <w:tc>
          <w:tcPr>
            <w:tcW w:w="5528" w:type="dxa"/>
            <w:vAlign w:val="center"/>
            <w:hideMark/>
          </w:tcPr>
          <w:p w14:paraId="0F1BA20A"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 xml:space="preserve">To develop new technologies that respond to significant future challenges in the Australian mining industry including: exploring to greater depths in the vast areas of Australia’s deep covered prospective basement; and reducing the mineral resources inventory due to high production rates and low mineral exploration success. </w:t>
            </w:r>
          </w:p>
        </w:tc>
        <w:tc>
          <w:tcPr>
            <w:tcW w:w="1701" w:type="dxa"/>
            <w:vAlign w:val="center"/>
            <w:hideMark/>
          </w:tcPr>
          <w:p w14:paraId="32240AB6"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Mining</w:t>
            </w:r>
          </w:p>
        </w:tc>
        <w:tc>
          <w:tcPr>
            <w:tcW w:w="1276" w:type="dxa"/>
            <w:vAlign w:val="center"/>
            <w:hideMark/>
          </w:tcPr>
          <w:p w14:paraId="2BBBC0FC"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4/02/2010</w:t>
            </w:r>
          </w:p>
        </w:tc>
        <w:tc>
          <w:tcPr>
            <w:tcW w:w="1417" w:type="dxa"/>
            <w:vAlign w:val="center"/>
            <w:hideMark/>
          </w:tcPr>
          <w:p w14:paraId="5CE7475B"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30/06/2018</w:t>
            </w:r>
          </w:p>
        </w:tc>
        <w:tc>
          <w:tcPr>
            <w:tcW w:w="1134" w:type="dxa"/>
            <w:vAlign w:val="center"/>
            <w:hideMark/>
          </w:tcPr>
          <w:p w14:paraId="2FA956A9"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8</w:t>
            </w:r>
          </w:p>
        </w:tc>
        <w:tc>
          <w:tcPr>
            <w:tcW w:w="1134" w:type="dxa"/>
            <w:vAlign w:val="center"/>
            <w:hideMark/>
          </w:tcPr>
          <w:p w14:paraId="0E6E5AC1"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28.00</w:t>
            </w:r>
          </w:p>
        </w:tc>
      </w:tr>
      <w:tr w:rsidR="00CB540F" w:rsidRPr="00336508" w14:paraId="5D649862" w14:textId="77777777" w:rsidTr="00E2708B">
        <w:trPr>
          <w:cantSplit/>
          <w:trHeight w:val="720"/>
        </w:trPr>
        <w:tc>
          <w:tcPr>
            <w:tcW w:w="2411" w:type="dxa"/>
            <w:vAlign w:val="center"/>
            <w:hideMark/>
          </w:tcPr>
          <w:p w14:paraId="18F30B0A"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Energy Pipelines CRC</w:t>
            </w:r>
          </w:p>
        </w:tc>
        <w:tc>
          <w:tcPr>
            <w:tcW w:w="5528" w:type="dxa"/>
            <w:vAlign w:val="center"/>
            <w:hideMark/>
          </w:tcPr>
          <w:p w14:paraId="3EFB472A"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provide the Australian energy pipeline industry with the technology necessary to extend the life of the existing ageing natural gas transmission network and to build the new networks necessary to support increased demand for natural gas.</w:t>
            </w:r>
          </w:p>
        </w:tc>
        <w:tc>
          <w:tcPr>
            <w:tcW w:w="1701" w:type="dxa"/>
            <w:vAlign w:val="center"/>
            <w:hideMark/>
          </w:tcPr>
          <w:p w14:paraId="48E5E981"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Services</w:t>
            </w:r>
          </w:p>
        </w:tc>
        <w:tc>
          <w:tcPr>
            <w:tcW w:w="1276" w:type="dxa"/>
            <w:vAlign w:val="center"/>
            <w:hideMark/>
          </w:tcPr>
          <w:p w14:paraId="373BCC23"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3/02/2010</w:t>
            </w:r>
          </w:p>
        </w:tc>
        <w:tc>
          <w:tcPr>
            <w:tcW w:w="1417" w:type="dxa"/>
            <w:vAlign w:val="center"/>
            <w:hideMark/>
          </w:tcPr>
          <w:p w14:paraId="0C131F21"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30/06/2019</w:t>
            </w:r>
          </w:p>
        </w:tc>
        <w:tc>
          <w:tcPr>
            <w:tcW w:w="1134" w:type="dxa"/>
            <w:vAlign w:val="center"/>
            <w:hideMark/>
          </w:tcPr>
          <w:p w14:paraId="549DE23E"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w:t>
            </w:r>
          </w:p>
        </w:tc>
        <w:tc>
          <w:tcPr>
            <w:tcW w:w="1134" w:type="dxa"/>
            <w:vAlign w:val="center"/>
            <w:hideMark/>
          </w:tcPr>
          <w:p w14:paraId="47FD59A3"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17.48</w:t>
            </w:r>
          </w:p>
        </w:tc>
      </w:tr>
      <w:tr w:rsidR="00CB540F" w:rsidRPr="00336508" w14:paraId="455C06E6" w14:textId="77777777" w:rsidTr="00E2708B">
        <w:trPr>
          <w:cantSplit/>
          <w:trHeight w:val="480"/>
        </w:trPr>
        <w:tc>
          <w:tcPr>
            <w:tcW w:w="2411" w:type="dxa"/>
            <w:vAlign w:val="center"/>
            <w:hideMark/>
          </w:tcPr>
          <w:p w14:paraId="7736BD17"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Invasive Animals CRC</w:t>
            </w:r>
          </w:p>
        </w:tc>
        <w:tc>
          <w:tcPr>
            <w:tcW w:w="5528" w:type="dxa"/>
            <w:vAlign w:val="center"/>
            <w:hideMark/>
          </w:tcPr>
          <w:p w14:paraId="0A01253A"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counteract the environmental, social and economic impacts of invasive animals through the development and application of new technologies and by integration of strategic pest management approaches across agencies and jurisdictions.</w:t>
            </w:r>
          </w:p>
        </w:tc>
        <w:tc>
          <w:tcPr>
            <w:tcW w:w="1701" w:type="dxa"/>
            <w:vAlign w:val="center"/>
            <w:hideMark/>
          </w:tcPr>
          <w:p w14:paraId="68FDDDF0"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Agriculture, Forestry and Fishing</w:t>
            </w:r>
          </w:p>
        </w:tc>
        <w:tc>
          <w:tcPr>
            <w:tcW w:w="1276" w:type="dxa"/>
            <w:vAlign w:val="center"/>
            <w:hideMark/>
          </w:tcPr>
          <w:p w14:paraId="6E381F0B"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1/07/2012</w:t>
            </w:r>
          </w:p>
        </w:tc>
        <w:tc>
          <w:tcPr>
            <w:tcW w:w="1417" w:type="dxa"/>
            <w:vAlign w:val="center"/>
            <w:hideMark/>
          </w:tcPr>
          <w:p w14:paraId="7A0BE78C"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30/06/2017</w:t>
            </w:r>
          </w:p>
        </w:tc>
        <w:tc>
          <w:tcPr>
            <w:tcW w:w="1134" w:type="dxa"/>
            <w:vAlign w:val="center"/>
            <w:hideMark/>
          </w:tcPr>
          <w:p w14:paraId="35BEDE1F"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5</w:t>
            </w:r>
          </w:p>
        </w:tc>
        <w:tc>
          <w:tcPr>
            <w:tcW w:w="1134" w:type="dxa"/>
            <w:vAlign w:val="center"/>
            <w:hideMark/>
          </w:tcPr>
          <w:p w14:paraId="765C1344"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19.70</w:t>
            </w:r>
          </w:p>
        </w:tc>
      </w:tr>
      <w:tr w:rsidR="00CB540F" w:rsidRPr="00336508" w14:paraId="0E69C94D" w14:textId="77777777" w:rsidTr="00E2708B">
        <w:trPr>
          <w:cantSplit/>
          <w:trHeight w:val="480"/>
        </w:trPr>
        <w:tc>
          <w:tcPr>
            <w:tcW w:w="2411" w:type="dxa"/>
            <w:vAlign w:val="center"/>
            <w:hideMark/>
          </w:tcPr>
          <w:p w14:paraId="76816E4F"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Oral Health CRC</w:t>
            </w:r>
          </w:p>
        </w:tc>
        <w:tc>
          <w:tcPr>
            <w:tcW w:w="5528" w:type="dxa"/>
            <w:vAlign w:val="center"/>
            <w:hideMark/>
          </w:tcPr>
          <w:p w14:paraId="5E71B4D9"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 xml:space="preserve">To undertake research to address the substantial national economic and social burden of oral disease and disorders. The research will include development of early diagnostics, new preventative strategies and products and oral health promotion programmes. </w:t>
            </w:r>
          </w:p>
        </w:tc>
        <w:tc>
          <w:tcPr>
            <w:tcW w:w="1701" w:type="dxa"/>
            <w:vAlign w:val="center"/>
            <w:hideMark/>
          </w:tcPr>
          <w:p w14:paraId="4B33D51A"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Services</w:t>
            </w:r>
          </w:p>
        </w:tc>
        <w:tc>
          <w:tcPr>
            <w:tcW w:w="1276" w:type="dxa"/>
            <w:vAlign w:val="center"/>
            <w:hideMark/>
          </w:tcPr>
          <w:p w14:paraId="1E833258"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4/02/2010</w:t>
            </w:r>
          </w:p>
        </w:tc>
        <w:tc>
          <w:tcPr>
            <w:tcW w:w="1417" w:type="dxa"/>
            <w:vAlign w:val="center"/>
            <w:hideMark/>
          </w:tcPr>
          <w:p w14:paraId="2A2F2307"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30/06/2018</w:t>
            </w:r>
          </w:p>
        </w:tc>
        <w:tc>
          <w:tcPr>
            <w:tcW w:w="1134" w:type="dxa"/>
            <w:vAlign w:val="center"/>
            <w:hideMark/>
          </w:tcPr>
          <w:p w14:paraId="6D5F7AD6"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8</w:t>
            </w:r>
          </w:p>
        </w:tc>
        <w:tc>
          <w:tcPr>
            <w:tcW w:w="1134" w:type="dxa"/>
            <w:vAlign w:val="center"/>
            <w:hideMark/>
          </w:tcPr>
          <w:p w14:paraId="02F865E6"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30.25</w:t>
            </w:r>
          </w:p>
        </w:tc>
      </w:tr>
      <w:tr w:rsidR="00CB540F" w:rsidRPr="00336508" w14:paraId="1CD7C2CA" w14:textId="77777777" w:rsidTr="00E2708B">
        <w:trPr>
          <w:cantSplit/>
          <w:trHeight w:val="720"/>
        </w:trPr>
        <w:tc>
          <w:tcPr>
            <w:tcW w:w="2411" w:type="dxa"/>
            <w:vAlign w:val="center"/>
            <w:hideMark/>
          </w:tcPr>
          <w:p w14:paraId="0B5C50EA"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Plant Biosecurity CRC</w:t>
            </w:r>
          </w:p>
        </w:tc>
        <w:tc>
          <w:tcPr>
            <w:tcW w:w="5528" w:type="dxa"/>
            <w:vAlign w:val="center"/>
            <w:hideMark/>
          </w:tcPr>
          <w:p w14:paraId="6F98E57D"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develop and deploy knowledge and tools to provide the scientific support essential for safeguarding Australia from the economic, environmental and social consequences of damaging pest incursions.</w:t>
            </w:r>
          </w:p>
        </w:tc>
        <w:tc>
          <w:tcPr>
            <w:tcW w:w="1701" w:type="dxa"/>
            <w:vAlign w:val="center"/>
            <w:hideMark/>
          </w:tcPr>
          <w:p w14:paraId="57A8ED5C"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Agriculture, Forestry and Fishing</w:t>
            </w:r>
          </w:p>
        </w:tc>
        <w:tc>
          <w:tcPr>
            <w:tcW w:w="1276" w:type="dxa"/>
            <w:vAlign w:val="center"/>
            <w:hideMark/>
          </w:tcPr>
          <w:p w14:paraId="06A6D37E"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1/07/2012</w:t>
            </w:r>
          </w:p>
        </w:tc>
        <w:tc>
          <w:tcPr>
            <w:tcW w:w="1417" w:type="dxa"/>
            <w:vAlign w:val="center"/>
            <w:hideMark/>
          </w:tcPr>
          <w:p w14:paraId="490C3FEC"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30/06/2018</w:t>
            </w:r>
          </w:p>
        </w:tc>
        <w:tc>
          <w:tcPr>
            <w:tcW w:w="1134" w:type="dxa"/>
            <w:vAlign w:val="center"/>
            <w:hideMark/>
          </w:tcPr>
          <w:p w14:paraId="75FD0E95"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6</w:t>
            </w:r>
          </w:p>
        </w:tc>
        <w:tc>
          <w:tcPr>
            <w:tcW w:w="1134" w:type="dxa"/>
            <w:vAlign w:val="center"/>
            <w:hideMark/>
          </w:tcPr>
          <w:p w14:paraId="08255FC5"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29.65</w:t>
            </w:r>
          </w:p>
        </w:tc>
      </w:tr>
      <w:tr w:rsidR="00CB540F" w:rsidRPr="00336508" w14:paraId="5DDD1926" w14:textId="77777777" w:rsidTr="00E2708B">
        <w:trPr>
          <w:cantSplit/>
          <w:trHeight w:val="960"/>
        </w:trPr>
        <w:tc>
          <w:tcPr>
            <w:tcW w:w="2411" w:type="dxa"/>
            <w:vAlign w:val="center"/>
            <w:hideMark/>
          </w:tcPr>
          <w:p w14:paraId="1C587808"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Poultry CRC</w:t>
            </w:r>
          </w:p>
        </w:tc>
        <w:tc>
          <w:tcPr>
            <w:tcW w:w="5528" w:type="dxa"/>
            <w:vAlign w:val="center"/>
            <w:hideMark/>
          </w:tcPr>
          <w:p w14:paraId="09018AAD"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conduct research and drive education and training to help Australia’s poultry industry achieve sustainable, ethical poultry production in the face of population growth and climate change.</w:t>
            </w:r>
          </w:p>
        </w:tc>
        <w:tc>
          <w:tcPr>
            <w:tcW w:w="1701" w:type="dxa"/>
            <w:vAlign w:val="center"/>
            <w:hideMark/>
          </w:tcPr>
          <w:p w14:paraId="1B31B211"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Agriculture, Forestry and Fishing</w:t>
            </w:r>
          </w:p>
        </w:tc>
        <w:tc>
          <w:tcPr>
            <w:tcW w:w="1276" w:type="dxa"/>
            <w:vAlign w:val="center"/>
            <w:hideMark/>
          </w:tcPr>
          <w:p w14:paraId="5C88F7E3"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4/02/2010</w:t>
            </w:r>
          </w:p>
        </w:tc>
        <w:tc>
          <w:tcPr>
            <w:tcW w:w="1417" w:type="dxa"/>
            <w:vAlign w:val="center"/>
            <w:hideMark/>
          </w:tcPr>
          <w:p w14:paraId="0D9AA4C5"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30/06/2017</w:t>
            </w:r>
          </w:p>
        </w:tc>
        <w:tc>
          <w:tcPr>
            <w:tcW w:w="1134" w:type="dxa"/>
            <w:vAlign w:val="center"/>
            <w:hideMark/>
          </w:tcPr>
          <w:p w14:paraId="00AFE33A"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7</w:t>
            </w:r>
          </w:p>
        </w:tc>
        <w:tc>
          <w:tcPr>
            <w:tcW w:w="1134" w:type="dxa"/>
            <w:vAlign w:val="center"/>
            <w:hideMark/>
          </w:tcPr>
          <w:p w14:paraId="76ACCA62"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27.00</w:t>
            </w:r>
          </w:p>
        </w:tc>
      </w:tr>
      <w:tr w:rsidR="00CB540F" w:rsidRPr="00336508" w14:paraId="4FA51866" w14:textId="77777777" w:rsidTr="00E2708B">
        <w:trPr>
          <w:cantSplit/>
          <w:trHeight w:val="1200"/>
        </w:trPr>
        <w:tc>
          <w:tcPr>
            <w:tcW w:w="2411" w:type="dxa"/>
            <w:vAlign w:val="center"/>
            <w:hideMark/>
          </w:tcPr>
          <w:p w14:paraId="061A9C4D"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Seafood CRC</w:t>
            </w:r>
          </w:p>
        </w:tc>
        <w:tc>
          <w:tcPr>
            <w:tcW w:w="5528" w:type="dxa"/>
            <w:vAlign w:val="center"/>
            <w:hideMark/>
          </w:tcPr>
          <w:p w14:paraId="45EAF31D"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assist the seafood industry to profitably deliver safe, high-quality, nutritious Australian seafood products to premium markets, domestically and overseas.</w:t>
            </w:r>
          </w:p>
        </w:tc>
        <w:tc>
          <w:tcPr>
            <w:tcW w:w="1701" w:type="dxa"/>
            <w:vAlign w:val="center"/>
            <w:hideMark/>
          </w:tcPr>
          <w:p w14:paraId="617D81C4"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Agriculture, Forestry and Fishing</w:t>
            </w:r>
          </w:p>
        </w:tc>
        <w:tc>
          <w:tcPr>
            <w:tcW w:w="1276" w:type="dxa"/>
            <w:vAlign w:val="center"/>
            <w:hideMark/>
          </w:tcPr>
          <w:p w14:paraId="26E81B10"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1/07/2007</w:t>
            </w:r>
          </w:p>
        </w:tc>
        <w:tc>
          <w:tcPr>
            <w:tcW w:w="1417" w:type="dxa"/>
            <w:vAlign w:val="center"/>
            <w:hideMark/>
          </w:tcPr>
          <w:p w14:paraId="31630D01"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30/06/2015</w:t>
            </w:r>
          </w:p>
        </w:tc>
        <w:tc>
          <w:tcPr>
            <w:tcW w:w="1134" w:type="dxa"/>
            <w:vAlign w:val="center"/>
            <w:hideMark/>
          </w:tcPr>
          <w:p w14:paraId="3FF6B12F"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7</w:t>
            </w:r>
          </w:p>
        </w:tc>
        <w:tc>
          <w:tcPr>
            <w:tcW w:w="1134" w:type="dxa"/>
            <w:vAlign w:val="center"/>
            <w:hideMark/>
          </w:tcPr>
          <w:p w14:paraId="75F83F66"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35.52</w:t>
            </w:r>
          </w:p>
        </w:tc>
      </w:tr>
      <w:tr w:rsidR="00CB540F" w:rsidRPr="00336508" w14:paraId="11AC40E1" w14:textId="77777777" w:rsidTr="00E2708B">
        <w:trPr>
          <w:cantSplit/>
          <w:trHeight w:val="720"/>
        </w:trPr>
        <w:tc>
          <w:tcPr>
            <w:tcW w:w="2411" w:type="dxa"/>
            <w:vAlign w:val="center"/>
            <w:hideMark/>
          </w:tcPr>
          <w:p w14:paraId="0BA5F3EC"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Space Environment Management CRC</w:t>
            </w:r>
          </w:p>
        </w:tc>
        <w:tc>
          <w:tcPr>
            <w:tcW w:w="5528" w:type="dxa"/>
            <w:vAlign w:val="center"/>
            <w:hideMark/>
          </w:tcPr>
          <w:p w14:paraId="788B69AA"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monitor, analyse and manage space debris and develop new technologies and strategies to preserve the space environment for the benefit of Australia.</w:t>
            </w:r>
          </w:p>
        </w:tc>
        <w:tc>
          <w:tcPr>
            <w:tcW w:w="1701" w:type="dxa"/>
            <w:vAlign w:val="center"/>
            <w:hideMark/>
          </w:tcPr>
          <w:p w14:paraId="1761A329"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Services</w:t>
            </w:r>
          </w:p>
        </w:tc>
        <w:tc>
          <w:tcPr>
            <w:tcW w:w="1276" w:type="dxa"/>
            <w:vAlign w:val="center"/>
            <w:hideMark/>
          </w:tcPr>
          <w:p w14:paraId="17BD0DE0"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1/07/2014</w:t>
            </w:r>
          </w:p>
        </w:tc>
        <w:tc>
          <w:tcPr>
            <w:tcW w:w="1417" w:type="dxa"/>
            <w:vAlign w:val="center"/>
            <w:hideMark/>
          </w:tcPr>
          <w:p w14:paraId="4ACA03C5"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30/06/2019</w:t>
            </w:r>
          </w:p>
        </w:tc>
        <w:tc>
          <w:tcPr>
            <w:tcW w:w="1134" w:type="dxa"/>
            <w:vAlign w:val="center"/>
            <w:hideMark/>
          </w:tcPr>
          <w:p w14:paraId="42FF7BA7"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5</w:t>
            </w:r>
          </w:p>
        </w:tc>
        <w:tc>
          <w:tcPr>
            <w:tcW w:w="1134" w:type="dxa"/>
            <w:vAlign w:val="center"/>
            <w:hideMark/>
          </w:tcPr>
          <w:p w14:paraId="5E377C66"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19.83</w:t>
            </w:r>
          </w:p>
        </w:tc>
      </w:tr>
      <w:tr w:rsidR="00CB540F" w:rsidRPr="00336508" w14:paraId="3299E9ED" w14:textId="77777777" w:rsidTr="00E2708B">
        <w:trPr>
          <w:cantSplit/>
          <w:trHeight w:val="720"/>
        </w:trPr>
        <w:tc>
          <w:tcPr>
            <w:tcW w:w="2411" w:type="dxa"/>
            <w:vAlign w:val="center"/>
            <w:hideMark/>
          </w:tcPr>
          <w:p w14:paraId="1841B9D4"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 xml:space="preserve">The </w:t>
            </w:r>
            <w:proofErr w:type="spellStart"/>
            <w:r w:rsidRPr="00336508">
              <w:rPr>
                <w:rFonts w:cs="Arial"/>
                <w:color w:val="auto"/>
                <w:sz w:val="20"/>
                <w:szCs w:val="20"/>
              </w:rPr>
              <w:t>HEARing</w:t>
            </w:r>
            <w:proofErr w:type="spellEnd"/>
            <w:r w:rsidRPr="00336508">
              <w:rPr>
                <w:rFonts w:cs="Arial"/>
                <w:color w:val="auto"/>
                <w:sz w:val="20"/>
                <w:szCs w:val="20"/>
              </w:rPr>
              <w:t xml:space="preserve"> CRC</w:t>
            </w:r>
          </w:p>
        </w:tc>
        <w:tc>
          <w:tcPr>
            <w:tcW w:w="5528" w:type="dxa"/>
            <w:vAlign w:val="center"/>
            <w:hideMark/>
          </w:tcPr>
          <w:p w14:paraId="2C82B56F"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develop new devices, therapies and service delivery models to improve the prevention, detection and remediation of hearing disorders.</w:t>
            </w:r>
          </w:p>
        </w:tc>
        <w:tc>
          <w:tcPr>
            <w:tcW w:w="1701" w:type="dxa"/>
            <w:vAlign w:val="center"/>
            <w:hideMark/>
          </w:tcPr>
          <w:p w14:paraId="2D773EBD"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Services</w:t>
            </w:r>
          </w:p>
        </w:tc>
        <w:tc>
          <w:tcPr>
            <w:tcW w:w="1276" w:type="dxa"/>
            <w:vAlign w:val="center"/>
            <w:hideMark/>
          </w:tcPr>
          <w:p w14:paraId="52AEA337"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1/07/2014</w:t>
            </w:r>
          </w:p>
        </w:tc>
        <w:tc>
          <w:tcPr>
            <w:tcW w:w="1417" w:type="dxa"/>
            <w:vAlign w:val="center"/>
            <w:hideMark/>
          </w:tcPr>
          <w:p w14:paraId="10B8448F"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30/06/2019</w:t>
            </w:r>
          </w:p>
        </w:tc>
        <w:tc>
          <w:tcPr>
            <w:tcW w:w="1134" w:type="dxa"/>
            <w:vAlign w:val="center"/>
            <w:hideMark/>
          </w:tcPr>
          <w:p w14:paraId="082AD1AF"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5</w:t>
            </w:r>
          </w:p>
        </w:tc>
        <w:tc>
          <w:tcPr>
            <w:tcW w:w="1134" w:type="dxa"/>
            <w:vAlign w:val="center"/>
            <w:hideMark/>
          </w:tcPr>
          <w:p w14:paraId="6DBACEBC"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28.00</w:t>
            </w:r>
          </w:p>
        </w:tc>
      </w:tr>
      <w:tr w:rsidR="00CB540F" w:rsidRPr="00336508" w14:paraId="13D2000E" w14:textId="77777777" w:rsidTr="00E2708B">
        <w:trPr>
          <w:cantSplit/>
          <w:trHeight w:val="480"/>
        </w:trPr>
        <w:tc>
          <w:tcPr>
            <w:tcW w:w="2411" w:type="dxa"/>
            <w:vAlign w:val="center"/>
            <w:hideMark/>
          </w:tcPr>
          <w:p w14:paraId="55AFE4AA"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 xml:space="preserve">The </w:t>
            </w:r>
            <w:proofErr w:type="spellStart"/>
            <w:r w:rsidRPr="00336508">
              <w:rPr>
                <w:rFonts w:cs="Arial"/>
                <w:color w:val="auto"/>
                <w:sz w:val="20"/>
                <w:szCs w:val="20"/>
              </w:rPr>
              <w:t>Lowitja</w:t>
            </w:r>
            <w:proofErr w:type="spellEnd"/>
            <w:r w:rsidRPr="00336508">
              <w:rPr>
                <w:rFonts w:cs="Arial"/>
                <w:color w:val="auto"/>
                <w:sz w:val="20"/>
                <w:szCs w:val="20"/>
              </w:rPr>
              <w:t xml:space="preserve"> Institute Aboriginal and Torres Strait Islander Health CRC</w:t>
            </w:r>
          </w:p>
        </w:tc>
        <w:tc>
          <w:tcPr>
            <w:tcW w:w="5528" w:type="dxa"/>
            <w:vAlign w:val="center"/>
            <w:hideMark/>
          </w:tcPr>
          <w:p w14:paraId="57E4371B"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address the major challenge of closing the health gap by producing knowledge, tools and resources that can be used to enhance positive health outcomes for Aboriginal and Torres Strait Islander people.</w:t>
            </w:r>
          </w:p>
        </w:tc>
        <w:tc>
          <w:tcPr>
            <w:tcW w:w="1701" w:type="dxa"/>
            <w:vAlign w:val="center"/>
            <w:hideMark/>
          </w:tcPr>
          <w:p w14:paraId="6922EF7B"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Services</w:t>
            </w:r>
          </w:p>
        </w:tc>
        <w:tc>
          <w:tcPr>
            <w:tcW w:w="1276" w:type="dxa"/>
            <w:vAlign w:val="center"/>
            <w:hideMark/>
          </w:tcPr>
          <w:p w14:paraId="7C4A385E"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1/07/2014</w:t>
            </w:r>
          </w:p>
        </w:tc>
        <w:tc>
          <w:tcPr>
            <w:tcW w:w="1417" w:type="dxa"/>
            <w:vAlign w:val="center"/>
            <w:hideMark/>
          </w:tcPr>
          <w:p w14:paraId="46616390"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30/06/2019</w:t>
            </w:r>
          </w:p>
        </w:tc>
        <w:tc>
          <w:tcPr>
            <w:tcW w:w="1134" w:type="dxa"/>
            <w:vAlign w:val="center"/>
            <w:hideMark/>
          </w:tcPr>
          <w:p w14:paraId="21355711"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5</w:t>
            </w:r>
          </w:p>
        </w:tc>
        <w:tc>
          <w:tcPr>
            <w:tcW w:w="1134" w:type="dxa"/>
            <w:vAlign w:val="center"/>
            <w:hideMark/>
          </w:tcPr>
          <w:p w14:paraId="1659F328"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25.00</w:t>
            </w:r>
          </w:p>
        </w:tc>
      </w:tr>
      <w:tr w:rsidR="00CB540F" w:rsidRPr="00336508" w14:paraId="1966B296" w14:textId="77777777" w:rsidTr="00E2708B">
        <w:trPr>
          <w:cantSplit/>
          <w:trHeight w:val="960"/>
        </w:trPr>
        <w:tc>
          <w:tcPr>
            <w:tcW w:w="2411" w:type="dxa"/>
            <w:vAlign w:val="center"/>
            <w:hideMark/>
          </w:tcPr>
          <w:p w14:paraId="7A58C73D"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Vision CRC</w:t>
            </w:r>
          </w:p>
        </w:tc>
        <w:tc>
          <w:tcPr>
            <w:tcW w:w="5528" w:type="dxa"/>
            <w:vAlign w:val="center"/>
            <w:hideMark/>
          </w:tcPr>
          <w:p w14:paraId="3AE06B2B"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deliver innovative solutions to common eye conditions such as myopia, presbyopia and hyperopia. The CRC is also developing effective models for sustainable eye care systems in Indigenous and developing communities.</w:t>
            </w:r>
          </w:p>
        </w:tc>
        <w:tc>
          <w:tcPr>
            <w:tcW w:w="1701" w:type="dxa"/>
            <w:vAlign w:val="center"/>
            <w:hideMark/>
          </w:tcPr>
          <w:p w14:paraId="4E7C1BC6"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Services</w:t>
            </w:r>
          </w:p>
        </w:tc>
        <w:tc>
          <w:tcPr>
            <w:tcW w:w="1276" w:type="dxa"/>
            <w:vAlign w:val="center"/>
            <w:hideMark/>
          </w:tcPr>
          <w:p w14:paraId="0A425BE4"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1/07/2010</w:t>
            </w:r>
          </w:p>
        </w:tc>
        <w:tc>
          <w:tcPr>
            <w:tcW w:w="1417" w:type="dxa"/>
            <w:vAlign w:val="center"/>
            <w:hideMark/>
          </w:tcPr>
          <w:p w14:paraId="2ECBEEF4"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30/06/2015</w:t>
            </w:r>
          </w:p>
        </w:tc>
        <w:tc>
          <w:tcPr>
            <w:tcW w:w="1134" w:type="dxa"/>
            <w:vAlign w:val="center"/>
            <w:hideMark/>
          </w:tcPr>
          <w:p w14:paraId="609AD829"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5</w:t>
            </w:r>
          </w:p>
        </w:tc>
        <w:tc>
          <w:tcPr>
            <w:tcW w:w="1134" w:type="dxa"/>
            <w:vAlign w:val="center"/>
            <w:hideMark/>
          </w:tcPr>
          <w:p w14:paraId="2F638EB6"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27.00</w:t>
            </w:r>
          </w:p>
        </w:tc>
      </w:tr>
      <w:tr w:rsidR="00CB540F" w:rsidRPr="00336508" w14:paraId="3602869B" w14:textId="77777777" w:rsidTr="00E2708B">
        <w:trPr>
          <w:cantSplit/>
          <w:trHeight w:val="960"/>
        </w:trPr>
        <w:tc>
          <w:tcPr>
            <w:tcW w:w="2411" w:type="dxa"/>
            <w:vAlign w:val="center"/>
            <w:hideMark/>
          </w:tcPr>
          <w:p w14:paraId="13DDEF80"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Wound Management Innovation CRC</w:t>
            </w:r>
          </w:p>
        </w:tc>
        <w:tc>
          <w:tcPr>
            <w:tcW w:w="5528" w:type="dxa"/>
            <w:vAlign w:val="center"/>
            <w:hideMark/>
          </w:tcPr>
          <w:p w14:paraId="4439AE28"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improve wound healing, provide quality-of-life for people with wounds and develop cost-effective wound care to lessen the burden on health systems.</w:t>
            </w:r>
          </w:p>
        </w:tc>
        <w:tc>
          <w:tcPr>
            <w:tcW w:w="1701" w:type="dxa"/>
            <w:vAlign w:val="center"/>
            <w:hideMark/>
          </w:tcPr>
          <w:p w14:paraId="73DB1842"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Services</w:t>
            </w:r>
          </w:p>
        </w:tc>
        <w:tc>
          <w:tcPr>
            <w:tcW w:w="1276" w:type="dxa"/>
            <w:vAlign w:val="center"/>
            <w:hideMark/>
          </w:tcPr>
          <w:p w14:paraId="373E931D"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1/07/2010</w:t>
            </w:r>
          </w:p>
        </w:tc>
        <w:tc>
          <w:tcPr>
            <w:tcW w:w="1417" w:type="dxa"/>
            <w:vAlign w:val="center"/>
            <w:hideMark/>
          </w:tcPr>
          <w:p w14:paraId="769E9207"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30/06/2018</w:t>
            </w:r>
          </w:p>
        </w:tc>
        <w:tc>
          <w:tcPr>
            <w:tcW w:w="1134" w:type="dxa"/>
            <w:vAlign w:val="center"/>
            <w:hideMark/>
          </w:tcPr>
          <w:p w14:paraId="3C551639"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8</w:t>
            </w:r>
          </w:p>
        </w:tc>
        <w:tc>
          <w:tcPr>
            <w:tcW w:w="1134" w:type="dxa"/>
            <w:vAlign w:val="center"/>
            <w:hideMark/>
          </w:tcPr>
          <w:p w14:paraId="27424FF7"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27.93</w:t>
            </w:r>
          </w:p>
        </w:tc>
      </w:tr>
      <w:tr w:rsidR="00CB540F" w:rsidRPr="00336508" w14:paraId="58217D22" w14:textId="77777777" w:rsidTr="00E2708B">
        <w:trPr>
          <w:cantSplit/>
          <w:trHeight w:val="960"/>
        </w:trPr>
        <w:tc>
          <w:tcPr>
            <w:tcW w:w="2411" w:type="dxa"/>
            <w:vAlign w:val="center"/>
            <w:hideMark/>
          </w:tcPr>
          <w:p w14:paraId="19F2B3EA"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Young and Well CRC</w:t>
            </w:r>
          </w:p>
        </w:tc>
        <w:tc>
          <w:tcPr>
            <w:tcW w:w="5528" w:type="dxa"/>
            <w:vAlign w:val="center"/>
            <w:hideMark/>
          </w:tcPr>
          <w:p w14:paraId="0EECD60D"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To explore the role of technology in young people's lives and to address the challenge of how it can be used to improve the mental health and wellbeing of young people aged 12 to 25.</w:t>
            </w:r>
          </w:p>
        </w:tc>
        <w:tc>
          <w:tcPr>
            <w:tcW w:w="1701" w:type="dxa"/>
            <w:vAlign w:val="center"/>
            <w:hideMark/>
          </w:tcPr>
          <w:p w14:paraId="2EDC737C"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Services</w:t>
            </w:r>
          </w:p>
        </w:tc>
        <w:tc>
          <w:tcPr>
            <w:tcW w:w="1276" w:type="dxa"/>
            <w:vAlign w:val="center"/>
            <w:hideMark/>
          </w:tcPr>
          <w:p w14:paraId="5A472FD1"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1/07/2011</w:t>
            </w:r>
          </w:p>
        </w:tc>
        <w:tc>
          <w:tcPr>
            <w:tcW w:w="1417" w:type="dxa"/>
            <w:vAlign w:val="center"/>
            <w:hideMark/>
          </w:tcPr>
          <w:p w14:paraId="7802419C"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30/06/2016</w:t>
            </w:r>
          </w:p>
        </w:tc>
        <w:tc>
          <w:tcPr>
            <w:tcW w:w="1134" w:type="dxa"/>
            <w:vAlign w:val="center"/>
            <w:hideMark/>
          </w:tcPr>
          <w:p w14:paraId="099BF1F7"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5</w:t>
            </w:r>
          </w:p>
        </w:tc>
        <w:tc>
          <w:tcPr>
            <w:tcW w:w="1134" w:type="dxa"/>
            <w:vAlign w:val="center"/>
            <w:hideMark/>
          </w:tcPr>
          <w:p w14:paraId="3E9E409C" w14:textId="77777777" w:rsidR="00CB540F" w:rsidRPr="00336508" w:rsidRDefault="00CB540F" w:rsidP="00CB540F">
            <w:pPr>
              <w:spacing w:line="240" w:lineRule="auto"/>
              <w:rPr>
                <w:rFonts w:cs="Arial"/>
                <w:color w:val="auto"/>
                <w:sz w:val="20"/>
                <w:szCs w:val="20"/>
              </w:rPr>
            </w:pPr>
            <w:r w:rsidRPr="00336508">
              <w:rPr>
                <w:rFonts w:cs="Arial"/>
                <w:color w:val="auto"/>
                <w:sz w:val="20"/>
                <w:szCs w:val="20"/>
              </w:rPr>
              <w:t>27.46</w:t>
            </w:r>
          </w:p>
        </w:tc>
      </w:tr>
    </w:tbl>
    <w:p w14:paraId="17CA60BD" w14:textId="77777777" w:rsidR="00CB540F" w:rsidRPr="00CB540F" w:rsidRDefault="00CB540F" w:rsidP="00CB540F">
      <w:pPr>
        <w:spacing w:after="200" w:line="276" w:lineRule="auto"/>
        <w:rPr>
          <w:rFonts w:eastAsiaTheme="minorHAnsi" w:cs="Arial"/>
          <w:color w:val="auto"/>
        </w:rPr>
      </w:pPr>
    </w:p>
    <w:p w14:paraId="49EDEEE7" w14:textId="77777777" w:rsidR="00CB540F" w:rsidRPr="00CB540F" w:rsidRDefault="00CB540F" w:rsidP="00CB540F">
      <w:pPr>
        <w:spacing w:line="240" w:lineRule="auto"/>
        <w:rPr>
          <w:rFonts w:eastAsiaTheme="minorHAnsi" w:cs="Arial"/>
          <w:color w:val="auto"/>
        </w:rPr>
        <w:sectPr w:rsidR="00CB540F" w:rsidRPr="00CB540F" w:rsidSect="009F64E0">
          <w:pgSz w:w="16838" w:h="11906" w:orient="landscape"/>
          <w:pgMar w:top="1440" w:right="1440" w:bottom="1440" w:left="1440" w:header="708" w:footer="708" w:gutter="0"/>
          <w:cols w:space="708"/>
          <w:docGrid w:linePitch="360"/>
        </w:sectPr>
      </w:pPr>
    </w:p>
    <w:p w14:paraId="47F2EF41" w14:textId="77777777" w:rsidR="00CB540F" w:rsidRPr="00CB540F" w:rsidRDefault="00CB540F" w:rsidP="00CC5BF1">
      <w:pPr>
        <w:pStyle w:val="Heading3"/>
        <w:ind w:left="0" w:firstLine="0"/>
      </w:pPr>
      <w:bookmarkStart w:id="83" w:name="_Toc413948640"/>
      <w:bookmarkStart w:id="84" w:name="_Toc415042881"/>
      <w:r w:rsidRPr="00CB540F">
        <w:t>4. Suggested administrative changes</w:t>
      </w:r>
      <w:bookmarkEnd w:id="83"/>
      <w:bookmarkEnd w:id="84"/>
    </w:p>
    <w:p w14:paraId="4DD17A90" w14:textId="77777777" w:rsidR="00CB540F" w:rsidRPr="00CB540F" w:rsidRDefault="000924C8" w:rsidP="002D34D5">
      <w:pPr>
        <w:pStyle w:val="BodyText"/>
      </w:pPr>
      <w:r>
        <w:t>As noted earlier in this</w:t>
      </w:r>
      <w:r w:rsidR="00CB540F" w:rsidRPr="00CB540F">
        <w:t xml:space="preserve"> report, stakeholders suggested changes to the administration of the programme to simplify the selection process and reduce reporting requirements and overall administrative burden. In addition, and in line with the government’s policy objectives of regulation reform, the Department of Industry and Science has been exploring options to reduce the programme’s regulatory burden on industry, busi</w:t>
      </w:r>
      <w:r w:rsidR="000F7697">
        <w:t>nesses and the research sector.</w:t>
      </w:r>
    </w:p>
    <w:p w14:paraId="7857BA01" w14:textId="77777777" w:rsidR="00CB540F" w:rsidRPr="00CB540F" w:rsidRDefault="00CB540F" w:rsidP="002D34D5">
      <w:pPr>
        <w:pStyle w:val="BodyText"/>
      </w:pPr>
      <w:r w:rsidRPr="00CB540F">
        <w:t>The following are examples that should be considered following this review:</w:t>
      </w:r>
    </w:p>
    <w:p w14:paraId="5887B471" w14:textId="77777777" w:rsidR="00CB540F" w:rsidRPr="00CB540F" w:rsidRDefault="00CB540F" w:rsidP="00336508">
      <w:pPr>
        <w:pStyle w:val="ListBullet"/>
        <w:rPr>
          <w:rFonts w:eastAsiaTheme="minorHAnsi"/>
        </w:rPr>
      </w:pPr>
      <w:r w:rsidRPr="00CB540F">
        <w:rPr>
          <w:rFonts w:eastAsiaTheme="minorHAnsi"/>
        </w:rPr>
        <w:t>reducing and simplifying information collected in the app</w:t>
      </w:r>
      <w:r w:rsidR="000F7697">
        <w:rPr>
          <w:rFonts w:eastAsiaTheme="minorHAnsi"/>
        </w:rPr>
        <w:t>lication and selection process;</w:t>
      </w:r>
    </w:p>
    <w:p w14:paraId="69224B75" w14:textId="77777777" w:rsidR="00CB540F" w:rsidRPr="00CB540F" w:rsidRDefault="00CB540F" w:rsidP="00336508">
      <w:pPr>
        <w:pStyle w:val="ListBullet"/>
        <w:rPr>
          <w:rFonts w:eastAsiaTheme="minorHAnsi"/>
        </w:rPr>
      </w:pPr>
      <w:r w:rsidRPr="00CB540F">
        <w:rPr>
          <w:rFonts w:eastAsiaTheme="minorHAnsi"/>
        </w:rPr>
        <w:t>the use o</w:t>
      </w:r>
      <w:r w:rsidR="000F7697">
        <w:rPr>
          <w:rFonts w:eastAsiaTheme="minorHAnsi"/>
        </w:rPr>
        <w:t>f short form/simpler contracts;</w:t>
      </w:r>
    </w:p>
    <w:p w14:paraId="63B5C3BC" w14:textId="77777777" w:rsidR="00CB540F" w:rsidRPr="00CB540F" w:rsidRDefault="00CB540F" w:rsidP="00336508">
      <w:pPr>
        <w:pStyle w:val="ListBullet"/>
        <w:rPr>
          <w:rFonts w:eastAsiaTheme="minorHAnsi"/>
        </w:rPr>
      </w:pPr>
      <w:r w:rsidRPr="00CB540F">
        <w:rPr>
          <w:rFonts w:eastAsiaTheme="minorHAnsi"/>
        </w:rPr>
        <w:t>the ability to use central or already collected information to simpli</w:t>
      </w:r>
      <w:r w:rsidR="000F7697">
        <w:rPr>
          <w:rFonts w:eastAsiaTheme="minorHAnsi"/>
        </w:rPr>
        <w:t>fy annual and other reporting;</w:t>
      </w:r>
    </w:p>
    <w:p w14:paraId="4F22E348" w14:textId="77777777" w:rsidR="00CB540F" w:rsidRPr="00CB540F" w:rsidRDefault="00CB540F" w:rsidP="00336508">
      <w:pPr>
        <w:pStyle w:val="ListBullet"/>
        <w:rPr>
          <w:rFonts w:eastAsiaTheme="minorHAnsi"/>
        </w:rPr>
      </w:pPr>
      <w:r w:rsidRPr="00CB540F">
        <w:rPr>
          <w:rFonts w:eastAsiaTheme="minorHAnsi"/>
        </w:rPr>
        <w:t>the necessity and timing of reviews and visits for performance evaluation;</w:t>
      </w:r>
    </w:p>
    <w:p w14:paraId="08760EC9" w14:textId="77777777" w:rsidR="00CB540F" w:rsidRPr="00CB540F" w:rsidRDefault="00CB540F" w:rsidP="00336508">
      <w:pPr>
        <w:pStyle w:val="ListBullet"/>
        <w:rPr>
          <w:rFonts w:eastAsiaTheme="minorHAnsi"/>
        </w:rPr>
      </w:pPr>
      <w:r w:rsidRPr="00CB540F">
        <w:rPr>
          <w:rFonts w:eastAsiaTheme="minorHAnsi"/>
        </w:rPr>
        <w:t>making the impact tool more user-friendly, including potentially through development of a purpose built software application;</w:t>
      </w:r>
      <w:r w:rsidR="007B08AD">
        <w:rPr>
          <w:rFonts w:eastAsiaTheme="minorHAnsi"/>
        </w:rPr>
        <w:t xml:space="preserve"> and</w:t>
      </w:r>
    </w:p>
    <w:p w14:paraId="3421EF64" w14:textId="77777777" w:rsidR="00CB540F" w:rsidRPr="00CB540F" w:rsidRDefault="00CB540F" w:rsidP="00336508">
      <w:pPr>
        <w:pStyle w:val="ListBullet"/>
        <w:rPr>
          <w:rFonts w:eastAsiaTheme="minorHAnsi"/>
        </w:rPr>
      </w:pPr>
      <w:r w:rsidRPr="00CB540F">
        <w:rPr>
          <w:rFonts w:eastAsiaTheme="minorHAnsi"/>
        </w:rPr>
        <w:t>financial and compliance reporting requirements should be simplified wherever possible, which might include:</w:t>
      </w:r>
    </w:p>
    <w:p w14:paraId="14E995EA" w14:textId="77777777" w:rsidR="00CB540F" w:rsidRPr="00CB540F" w:rsidRDefault="00CB540F" w:rsidP="00336508">
      <w:pPr>
        <w:pStyle w:val="ListBullet"/>
        <w:rPr>
          <w:rFonts w:eastAsiaTheme="minorHAnsi"/>
        </w:rPr>
      </w:pPr>
      <w:r w:rsidRPr="00CB540F">
        <w:rPr>
          <w:rFonts w:eastAsiaTheme="minorHAnsi"/>
        </w:rPr>
        <w:t xml:space="preserve">restructuring the requirements in </w:t>
      </w:r>
      <w:r w:rsidRPr="00336508">
        <w:rPr>
          <w:rStyle w:val="Emphasis"/>
        </w:rPr>
        <w:t>Schedule 2 – Activities of the Commonwealth Agreement;</w:t>
      </w:r>
    </w:p>
    <w:p w14:paraId="6028E987" w14:textId="77777777" w:rsidR="00CB540F" w:rsidRPr="00CB540F" w:rsidRDefault="00CB540F" w:rsidP="00336508">
      <w:pPr>
        <w:pStyle w:val="ListBullet"/>
        <w:rPr>
          <w:rFonts w:eastAsiaTheme="minorHAnsi"/>
        </w:rPr>
      </w:pPr>
      <w:r w:rsidRPr="00CB540F">
        <w:rPr>
          <w:rFonts w:eastAsiaTheme="minorHAnsi"/>
        </w:rPr>
        <w:t>restructuring the departmental requirements for annual reports;</w:t>
      </w:r>
      <w:r w:rsidR="00C314F6">
        <w:rPr>
          <w:rFonts w:eastAsiaTheme="minorHAnsi"/>
        </w:rPr>
        <w:t xml:space="preserve"> and</w:t>
      </w:r>
    </w:p>
    <w:p w14:paraId="1C93D0BD" w14:textId="77777777" w:rsidR="00CB540F" w:rsidRPr="00CB540F" w:rsidRDefault="00CB540F" w:rsidP="00336508">
      <w:pPr>
        <w:pStyle w:val="ListBullet"/>
        <w:rPr>
          <w:rFonts w:eastAsiaTheme="minorHAnsi"/>
        </w:rPr>
      </w:pPr>
      <w:r w:rsidRPr="00CB540F">
        <w:rPr>
          <w:rFonts w:eastAsiaTheme="minorHAnsi"/>
        </w:rPr>
        <w:t>removing the requirement for separate development of transition plans and wind-up plans, to instead be incorporated into the annual report process.</w:t>
      </w:r>
    </w:p>
    <w:p w14:paraId="6DBB9D54" w14:textId="77777777" w:rsidR="00CB540F" w:rsidRPr="00CB540F" w:rsidRDefault="00CB540F" w:rsidP="00CC5BF1">
      <w:pPr>
        <w:pStyle w:val="Heading3"/>
        <w:ind w:left="0" w:firstLine="0"/>
      </w:pPr>
      <w:bookmarkStart w:id="85" w:name="_Toc413948641"/>
      <w:bookmarkStart w:id="86" w:name="_Toc415042882"/>
      <w:r w:rsidRPr="00CB540F">
        <w:t>5. Summary of industry-research collaboration government initiatives</w:t>
      </w:r>
      <w:bookmarkEnd w:id="85"/>
      <w:bookmarkEnd w:id="86"/>
    </w:p>
    <w:p w14:paraId="518F81F8" w14:textId="77777777" w:rsidR="00CB540F" w:rsidRPr="00CB540F" w:rsidRDefault="00CB540F" w:rsidP="002D34D5">
      <w:pPr>
        <w:pStyle w:val="BodyText"/>
      </w:pPr>
      <w:r w:rsidRPr="00CB540F">
        <w:t>In Australia, the Commonwealth, state and territory governments have instituted a range of policies and funding programmes to encourage collaboration between industry and research organisations.</w:t>
      </w:r>
    </w:p>
    <w:p w14:paraId="0979FADD" w14:textId="77777777" w:rsidR="00CB540F" w:rsidRPr="00CB540F" w:rsidRDefault="00CB540F" w:rsidP="002D34D5">
      <w:pPr>
        <w:pStyle w:val="BodyText"/>
      </w:pPr>
      <w:r w:rsidRPr="00CB540F">
        <w:t>At the national</w:t>
      </w:r>
      <w:r w:rsidR="000F7697">
        <w:t xml:space="preserve"> level, the framework includes:</w:t>
      </w:r>
    </w:p>
    <w:p w14:paraId="279995C0" w14:textId="77777777" w:rsidR="00CB540F" w:rsidRPr="00CB540F" w:rsidRDefault="00CB540F" w:rsidP="00336508">
      <w:pPr>
        <w:pStyle w:val="ListBullet"/>
        <w:rPr>
          <w:rFonts w:eastAsiaTheme="minorHAnsi"/>
        </w:rPr>
      </w:pPr>
      <w:r w:rsidRPr="00CB540F">
        <w:rPr>
          <w:rFonts w:eastAsiaTheme="minorHAnsi"/>
        </w:rPr>
        <w:t xml:space="preserve">the new </w:t>
      </w:r>
      <w:r w:rsidRPr="00336508">
        <w:rPr>
          <w:rStyle w:val="Emphasis"/>
        </w:rPr>
        <w:t>Industry Innovation and Competitiveness Agenda</w:t>
      </w:r>
      <w:r w:rsidRPr="00CB540F">
        <w:rPr>
          <w:rFonts w:eastAsiaTheme="minorHAnsi"/>
        </w:rPr>
        <w:t xml:space="preserve">, one of the elements of which is the </w:t>
      </w:r>
      <w:r w:rsidRPr="00336508">
        <w:rPr>
          <w:rStyle w:val="Emphasis"/>
        </w:rPr>
        <w:t>Boosting the Commercial Returns from Research</w:t>
      </w:r>
      <w:r w:rsidRPr="00CB540F">
        <w:rPr>
          <w:rFonts w:eastAsiaTheme="minorHAnsi"/>
        </w:rPr>
        <w:t xml:space="preserve"> strategy;</w:t>
      </w:r>
    </w:p>
    <w:p w14:paraId="4A12B9B2" w14:textId="77777777" w:rsidR="00CB540F" w:rsidRPr="00CB540F" w:rsidRDefault="00CB540F" w:rsidP="00336508">
      <w:pPr>
        <w:pStyle w:val="ListBullet"/>
        <w:rPr>
          <w:rFonts w:eastAsiaTheme="minorHAnsi"/>
        </w:rPr>
      </w:pPr>
      <w:r w:rsidRPr="00CB540F">
        <w:rPr>
          <w:rFonts w:eastAsiaTheme="minorHAnsi"/>
        </w:rPr>
        <w:t>tax incentives to encourage investment in research and development, including collaborative research;</w:t>
      </w:r>
    </w:p>
    <w:p w14:paraId="4B6ABE6D" w14:textId="77777777" w:rsidR="00CB540F" w:rsidRPr="00CB540F" w:rsidRDefault="00CB540F" w:rsidP="00336508">
      <w:pPr>
        <w:pStyle w:val="ListBullet"/>
        <w:rPr>
          <w:rFonts w:eastAsiaTheme="minorHAnsi"/>
        </w:rPr>
      </w:pPr>
      <w:r w:rsidRPr="00CB540F">
        <w:rPr>
          <w:rFonts w:eastAsiaTheme="minorHAnsi"/>
        </w:rPr>
        <w:t>the Cooperative Research Centres (CRC) Programme;</w:t>
      </w:r>
    </w:p>
    <w:p w14:paraId="5918307D" w14:textId="77777777" w:rsidR="00CB540F" w:rsidRPr="00CB540F" w:rsidRDefault="00CB540F" w:rsidP="00336508">
      <w:pPr>
        <w:pStyle w:val="ListBullet"/>
        <w:rPr>
          <w:rFonts w:eastAsiaTheme="minorHAnsi"/>
        </w:rPr>
      </w:pPr>
      <w:r w:rsidRPr="00CB540F">
        <w:rPr>
          <w:rFonts w:eastAsiaTheme="minorHAnsi"/>
        </w:rPr>
        <w:t>the CSIRO and its administered programmes;</w:t>
      </w:r>
    </w:p>
    <w:p w14:paraId="100923E6" w14:textId="77777777" w:rsidR="00CB540F" w:rsidRPr="00CB540F" w:rsidRDefault="00CB540F" w:rsidP="00336508">
      <w:pPr>
        <w:pStyle w:val="ListBullet"/>
        <w:rPr>
          <w:rFonts w:eastAsiaTheme="minorHAnsi"/>
        </w:rPr>
      </w:pPr>
      <w:r w:rsidRPr="00CB540F">
        <w:rPr>
          <w:rFonts w:eastAsiaTheme="minorHAnsi"/>
        </w:rPr>
        <w:t>university research block grants, especially the Joint Research Engagement scheme, which is more closely focused on collaboration between institutions, industry and other end-users;</w:t>
      </w:r>
    </w:p>
    <w:p w14:paraId="49B2E507" w14:textId="77777777" w:rsidR="00CB540F" w:rsidRPr="00CB540F" w:rsidRDefault="000924C8" w:rsidP="00336508">
      <w:pPr>
        <w:pStyle w:val="ListBullet"/>
        <w:rPr>
          <w:rFonts w:eastAsiaTheme="minorHAnsi"/>
        </w:rPr>
      </w:pPr>
      <w:r>
        <w:rPr>
          <w:rFonts w:eastAsiaTheme="minorHAnsi"/>
        </w:rPr>
        <w:t>the new Entrepreneurs’</w:t>
      </w:r>
      <w:r w:rsidR="00CB540F" w:rsidRPr="00CB540F">
        <w:rPr>
          <w:rFonts w:eastAsiaTheme="minorHAnsi"/>
        </w:rPr>
        <w:t xml:space="preserve"> Infrastructure Programme, particularly the Research Connections and Accelerating Commercialisation components; and</w:t>
      </w:r>
    </w:p>
    <w:p w14:paraId="6F091967" w14:textId="77777777" w:rsidR="00CB540F" w:rsidRPr="00CB540F" w:rsidRDefault="00CB540F" w:rsidP="00336508">
      <w:pPr>
        <w:pStyle w:val="ListBullet"/>
        <w:rPr>
          <w:rFonts w:eastAsiaTheme="minorHAnsi"/>
        </w:rPr>
      </w:pPr>
      <w:r w:rsidRPr="00CB540F">
        <w:rPr>
          <w:rFonts w:eastAsiaTheme="minorHAnsi"/>
        </w:rPr>
        <w:t>other sector-specific arrangements such as the Rural Research and Development Corporations.</w:t>
      </w:r>
    </w:p>
    <w:p w14:paraId="4B2078C8" w14:textId="77777777" w:rsidR="00CB540F" w:rsidRPr="00CB540F" w:rsidRDefault="00CB540F" w:rsidP="002D34D5">
      <w:pPr>
        <w:pStyle w:val="BodyText"/>
      </w:pPr>
      <w:r w:rsidRPr="00CB540F">
        <w:t>This framework includes grants that are explicitly intended to support collaborative research. These range from the competitive grants schemes managed by the Australian Research Council and the National Health and Medical Research Council, to the capability and technology demonstrator grants available thr</w:t>
      </w:r>
      <w:r w:rsidR="000F7697">
        <w:t>ough the Department of Defence.</w:t>
      </w:r>
    </w:p>
    <w:p w14:paraId="37C66DF1" w14:textId="77777777" w:rsidR="00CB540F" w:rsidRPr="00CB540F" w:rsidRDefault="00CB540F" w:rsidP="002D34D5">
      <w:pPr>
        <w:pStyle w:val="BodyText"/>
      </w:pPr>
      <w:r w:rsidRPr="00CB540F">
        <w:t>In addition, many of the research grant programmes administered through other portfolios support collaborative projects, even when this is not a stated goal. While some of these programmes (notably those in Defence) are directly accessible by industry, the majority are research-led in that they are only open to applications from researchers or research organisations. Duration of funding varies from</w:t>
      </w:r>
      <w:r w:rsidR="000F7697">
        <w:t xml:space="preserve"> up to one to over five years.</w:t>
      </w:r>
    </w:p>
    <w:p w14:paraId="527495DC" w14:textId="77777777" w:rsidR="00431ADB" w:rsidRDefault="00CB540F" w:rsidP="002D34D5">
      <w:pPr>
        <w:pStyle w:val="BodyText"/>
      </w:pPr>
      <w:r w:rsidRPr="00CB540F">
        <w:t>State and territory programmes tend to be smaller in scale and more ‘industry-facing’ than Australian Government initiatives. They are often focused on SMEs or on particular industries (manufacturing, mining, biosciences), and usually involve smaller grant amounts. Several states operate innovation voucher schemes intended to support SME partnerships with re</w:t>
      </w:r>
      <w:r w:rsidR="000F7697">
        <w:t>search organisations.</w:t>
      </w:r>
    </w:p>
    <w:p w14:paraId="5DA5F48F" w14:textId="77777777" w:rsidR="00CB540F" w:rsidRPr="00CB540F" w:rsidRDefault="00CB540F" w:rsidP="002D34D5">
      <w:pPr>
        <w:pStyle w:val="BodyText"/>
      </w:pPr>
      <w:r w:rsidRPr="00CB540F">
        <w:t>These usually involve matched funding of $50,000 - $100,000 for projects lasting less than a year. Victoria and South Australia offer funding to support CRC bids and operation for research organisations based in the state.</w:t>
      </w:r>
    </w:p>
    <w:p w14:paraId="42A3F168" w14:textId="77777777" w:rsidR="00422A90" w:rsidRDefault="00431ADB" w:rsidP="002D34D5">
      <w:pPr>
        <w:pStyle w:val="BodyText"/>
        <w:sectPr w:rsidR="00422A90" w:rsidSect="009F64E0">
          <w:pgSz w:w="11906" w:h="16838"/>
          <w:pgMar w:top="1440" w:right="1440" w:bottom="1440" w:left="1440" w:header="708" w:footer="708" w:gutter="0"/>
          <w:cols w:space="708"/>
          <w:docGrid w:linePitch="360"/>
        </w:sectPr>
      </w:pPr>
      <w:r>
        <w:t>A list of Commonwealth</w:t>
      </w:r>
      <w:r w:rsidR="00CB540F" w:rsidRPr="00CB540F">
        <w:t xml:space="preserve">, state and territory programmes </w:t>
      </w:r>
      <w:r w:rsidR="000924C8">
        <w:t>is</w:t>
      </w:r>
      <w:r>
        <w:t xml:space="preserve"> on the following pages.</w:t>
      </w:r>
      <w:r w:rsidR="00CB540F" w:rsidRPr="00CB540F">
        <w:t xml:space="preserve"> This includes a brief description of the programme and an indication of the grant size, duration and focus.</w:t>
      </w:r>
    </w:p>
    <w:p w14:paraId="26710C5B" w14:textId="77777777" w:rsidR="00422A90" w:rsidRPr="00336508" w:rsidRDefault="004E6EF0" w:rsidP="00422A90">
      <w:pPr>
        <w:spacing w:line="240" w:lineRule="auto"/>
        <w:rPr>
          <w:rStyle w:val="Strong"/>
        </w:rPr>
      </w:pPr>
      <w:r>
        <w:rPr>
          <w:rStyle w:val="Strong"/>
        </w:rPr>
        <w:t xml:space="preserve">Table 1: </w:t>
      </w:r>
      <w:r w:rsidR="00422A90" w:rsidRPr="00336508">
        <w:rPr>
          <w:rStyle w:val="Strong"/>
        </w:rPr>
        <w:t xml:space="preserve">Fostering collaboration and commercialising research: Key Australian programmes and Initiatives - </w:t>
      </w:r>
    </w:p>
    <w:p w14:paraId="59F3D646" w14:textId="77777777" w:rsidR="00422A90" w:rsidRDefault="00422A90" w:rsidP="000F7697">
      <w:pPr>
        <w:spacing w:after="240" w:line="276" w:lineRule="auto"/>
        <w:rPr>
          <w:rStyle w:val="Strong"/>
        </w:rPr>
      </w:pPr>
      <w:r w:rsidRPr="00336508">
        <w:rPr>
          <w:rStyle w:val="Strong"/>
        </w:rPr>
        <w:t>Commonwealth Government grant programmes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contains merged cells and blank cells."/>
      </w:tblPr>
      <w:tblGrid>
        <w:gridCol w:w="1391"/>
        <w:gridCol w:w="2685"/>
        <w:gridCol w:w="4987"/>
        <w:gridCol w:w="606"/>
        <w:gridCol w:w="696"/>
        <w:gridCol w:w="696"/>
        <w:gridCol w:w="685"/>
        <w:gridCol w:w="781"/>
        <w:gridCol w:w="621"/>
        <w:gridCol w:w="621"/>
        <w:gridCol w:w="621"/>
        <w:gridCol w:w="634"/>
        <w:gridCol w:w="590"/>
      </w:tblGrid>
      <w:tr w:rsidR="00422A90" w:rsidRPr="00677C2C" w14:paraId="00BB4DF8" w14:textId="77777777" w:rsidTr="001F05D8">
        <w:trPr>
          <w:trHeight w:val="255"/>
          <w:tblHeader/>
        </w:trPr>
        <w:tc>
          <w:tcPr>
            <w:tcW w:w="0" w:type="auto"/>
            <w:vMerge w:val="restart"/>
            <w:shd w:val="clear" w:color="000000" w:fill="000000"/>
            <w:noWrap/>
            <w:vAlign w:val="center"/>
            <w:hideMark/>
          </w:tcPr>
          <w:p w14:paraId="7A7025C0" w14:textId="77777777" w:rsidR="00422A90" w:rsidRPr="00677C2C" w:rsidRDefault="00422A90" w:rsidP="00422A90">
            <w:pPr>
              <w:spacing w:line="240" w:lineRule="auto"/>
              <w:jc w:val="center"/>
              <w:rPr>
                <w:rFonts w:cs="Arial"/>
                <w:b/>
                <w:bCs/>
                <w:color w:val="FFFFFF"/>
                <w:sz w:val="16"/>
                <w:szCs w:val="16"/>
                <w:lang w:eastAsia="en-AU"/>
              </w:rPr>
            </w:pPr>
            <w:r w:rsidRPr="00677C2C">
              <w:rPr>
                <w:rFonts w:cs="Arial"/>
                <w:b/>
                <w:bCs/>
                <w:color w:val="FFFFFF"/>
                <w:sz w:val="16"/>
                <w:szCs w:val="16"/>
                <w:lang w:eastAsia="en-AU"/>
              </w:rPr>
              <w:t>Portfolio</w:t>
            </w:r>
          </w:p>
        </w:tc>
        <w:tc>
          <w:tcPr>
            <w:tcW w:w="0" w:type="auto"/>
            <w:vMerge w:val="restart"/>
            <w:shd w:val="clear" w:color="000000" w:fill="000000"/>
            <w:vAlign w:val="center"/>
            <w:hideMark/>
          </w:tcPr>
          <w:p w14:paraId="3B652D4A" w14:textId="77777777" w:rsidR="00422A90" w:rsidRPr="00677C2C" w:rsidRDefault="00422A90" w:rsidP="00422A90">
            <w:pPr>
              <w:spacing w:line="240" w:lineRule="auto"/>
              <w:jc w:val="center"/>
              <w:rPr>
                <w:rFonts w:cs="Arial"/>
                <w:b/>
                <w:bCs/>
                <w:color w:val="FFFFFF"/>
                <w:sz w:val="16"/>
                <w:szCs w:val="16"/>
                <w:lang w:eastAsia="en-AU"/>
              </w:rPr>
            </w:pPr>
            <w:r w:rsidRPr="00677C2C">
              <w:rPr>
                <w:rFonts w:cs="Arial"/>
                <w:b/>
                <w:bCs/>
                <w:color w:val="FFFFFF"/>
                <w:sz w:val="16"/>
                <w:szCs w:val="16"/>
                <w:lang w:eastAsia="en-AU"/>
              </w:rPr>
              <w:t>Programme / initiative</w:t>
            </w:r>
          </w:p>
        </w:tc>
        <w:tc>
          <w:tcPr>
            <w:tcW w:w="0" w:type="auto"/>
            <w:vMerge w:val="restart"/>
            <w:shd w:val="clear" w:color="000000" w:fill="000000"/>
            <w:vAlign w:val="center"/>
            <w:hideMark/>
          </w:tcPr>
          <w:p w14:paraId="338730FF" w14:textId="77777777" w:rsidR="00422A90" w:rsidRPr="00677C2C" w:rsidRDefault="00422A90" w:rsidP="00422A90">
            <w:pPr>
              <w:jc w:val="center"/>
              <w:rPr>
                <w:rFonts w:cs="Arial"/>
                <w:b/>
                <w:bCs/>
                <w:color w:val="FFFFFF"/>
                <w:sz w:val="16"/>
                <w:szCs w:val="16"/>
                <w:lang w:eastAsia="en-AU"/>
              </w:rPr>
            </w:pPr>
            <w:r w:rsidRPr="00677C2C">
              <w:rPr>
                <w:rFonts w:cs="Arial"/>
                <w:b/>
                <w:bCs/>
                <w:color w:val="FFFFFF"/>
                <w:sz w:val="16"/>
                <w:szCs w:val="16"/>
                <w:lang w:eastAsia="en-AU"/>
              </w:rPr>
              <w:t>Description</w:t>
            </w:r>
          </w:p>
        </w:tc>
        <w:tc>
          <w:tcPr>
            <w:tcW w:w="0" w:type="auto"/>
            <w:gridSpan w:val="4"/>
            <w:shd w:val="clear" w:color="000000" w:fill="000000"/>
            <w:noWrap/>
            <w:vAlign w:val="center"/>
            <w:hideMark/>
          </w:tcPr>
          <w:p w14:paraId="646F7A8E" w14:textId="77777777" w:rsidR="00422A90" w:rsidRPr="00677C2C" w:rsidRDefault="00422A90" w:rsidP="00422A90">
            <w:pPr>
              <w:spacing w:line="240" w:lineRule="auto"/>
              <w:jc w:val="center"/>
              <w:rPr>
                <w:rFonts w:cs="Arial"/>
                <w:b/>
                <w:color w:val="FFFFFF"/>
                <w:sz w:val="16"/>
                <w:szCs w:val="16"/>
                <w:lang w:eastAsia="en-AU"/>
              </w:rPr>
            </w:pPr>
            <w:r w:rsidRPr="00677C2C">
              <w:rPr>
                <w:rFonts w:cs="Arial"/>
                <w:b/>
                <w:color w:val="FFFFFF"/>
                <w:sz w:val="16"/>
                <w:szCs w:val="16"/>
                <w:lang w:eastAsia="en-AU"/>
              </w:rPr>
              <w:t>Duration</w:t>
            </w:r>
          </w:p>
        </w:tc>
        <w:tc>
          <w:tcPr>
            <w:tcW w:w="0" w:type="auto"/>
            <w:gridSpan w:val="4"/>
            <w:shd w:val="clear" w:color="000000" w:fill="000000"/>
            <w:noWrap/>
            <w:vAlign w:val="center"/>
            <w:hideMark/>
          </w:tcPr>
          <w:p w14:paraId="23BD8436" w14:textId="77777777" w:rsidR="00422A90" w:rsidRPr="00677C2C" w:rsidRDefault="00422A90" w:rsidP="00422A90">
            <w:pPr>
              <w:spacing w:line="240" w:lineRule="auto"/>
              <w:jc w:val="center"/>
              <w:rPr>
                <w:rFonts w:cs="Arial"/>
                <w:b/>
                <w:color w:val="FFFFFF"/>
                <w:sz w:val="16"/>
                <w:szCs w:val="16"/>
                <w:lang w:eastAsia="en-AU"/>
              </w:rPr>
            </w:pPr>
            <w:r w:rsidRPr="00677C2C">
              <w:rPr>
                <w:rFonts w:cs="Arial"/>
                <w:b/>
                <w:color w:val="FFFFFF"/>
                <w:sz w:val="16"/>
                <w:szCs w:val="16"/>
                <w:lang w:eastAsia="en-AU"/>
              </w:rPr>
              <w:t>Total Project Funding</w:t>
            </w:r>
          </w:p>
        </w:tc>
        <w:tc>
          <w:tcPr>
            <w:tcW w:w="0" w:type="auto"/>
            <w:gridSpan w:val="2"/>
            <w:shd w:val="clear" w:color="000000" w:fill="000000"/>
            <w:noWrap/>
            <w:vAlign w:val="center"/>
            <w:hideMark/>
          </w:tcPr>
          <w:p w14:paraId="3885D14D" w14:textId="77777777" w:rsidR="00422A90" w:rsidRPr="00677C2C" w:rsidRDefault="00422A90" w:rsidP="00422A90">
            <w:pPr>
              <w:spacing w:line="240" w:lineRule="auto"/>
              <w:jc w:val="center"/>
              <w:rPr>
                <w:rFonts w:cs="Arial"/>
                <w:b/>
                <w:color w:val="FFFFFF"/>
                <w:sz w:val="16"/>
                <w:szCs w:val="16"/>
                <w:lang w:eastAsia="en-AU"/>
              </w:rPr>
            </w:pPr>
            <w:r w:rsidRPr="00677C2C">
              <w:rPr>
                <w:rFonts w:cs="Arial"/>
                <w:b/>
                <w:color w:val="FFFFFF"/>
                <w:sz w:val="16"/>
                <w:szCs w:val="16"/>
                <w:lang w:eastAsia="en-AU"/>
              </w:rPr>
              <w:t>Partners</w:t>
            </w:r>
          </w:p>
        </w:tc>
      </w:tr>
      <w:tr w:rsidR="00422A90" w:rsidRPr="00677C2C" w14:paraId="54AEA579" w14:textId="77777777" w:rsidTr="001F05D8">
        <w:trPr>
          <w:trHeight w:val="510"/>
          <w:tblHeader/>
        </w:trPr>
        <w:tc>
          <w:tcPr>
            <w:tcW w:w="0" w:type="auto"/>
            <w:vMerge/>
            <w:vAlign w:val="center"/>
            <w:hideMark/>
          </w:tcPr>
          <w:p w14:paraId="2CAAD226" w14:textId="77777777" w:rsidR="00422A90" w:rsidRPr="00677C2C" w:rsidRDefault="00422A90" w:rsidP="00422A90">
            <w:pPr>
              <w:spacing w:line="240" w:lineRule="auto"/>
              <w:rPr>
                <w:rFonts w:cs="Arial"/>
                <w:b/>
                <w:bCs/>
                <w:color w:val="FFFFFF"/>
                <w:sz w:val="16"/>
                <w:szCs w:val="16"/>
                <w:lang w:eastAsia="en-AU"/>
              </w:rPr>
            </w:pPr>
          </w:p>
        </w:tc>
        <w:tc>
          <w:tcPr>
            <w:tcW w:w="0" w:type="auto"/>
            <w:vMerge/>
            <w:vAlign w:val="center"/>
            <w:hideMark/>
          </w:tcPr>
          <w:p w14:paraId="304CD858" w14:textId="77777777" w:rsidR="00422A90" w:rsidRPr="00677C2C" w:rsidRDefault="00422A90" w:rsidP="00422A90">
            <w:pPr>
              <w:spacing w:line="240" w:lineRule="auto"/>
              <w:rPr>
                <w:rFonts w:cs="Arial"/>
                <w:b/>
                <w:bCs/>
                <w:color w:val="FFFFFF"/>
                <w:sz w:val="16"/>
                <w:szCs w:val="16"/>
                <w:lang w:eastAsia="en-AU"/>
              </w:rPr>
            </w:pPr>
          </w:p>
        </w:tc>
        <w:tc>
          <w:tcPr>
            <w:tcW w:w="0" w:type="auto"/>
            <w:vMerge/>
            <w:vAlign w:val="center"/>
            <w:hideMark/>
          </w:tcPr>
          <w:p w14:paraId="0F147376" w14:textId="77777777" w:rsidR="00422A90" w:rsidRPr="00677C2C" w:rsidRDefault="00422A90" w:rsidP="00422A90">
            <w:pPr>
              <w:rPr>
                <w:rFonts w:cs="Arial"/>
                <w:b/>
                <w:bCs/>
                <w:color w:val="FFFFFF"/>
                <w:sz w:val="16"/>
                <w:szCs w:val="16"/>
                <w:lang w:eastAsia="en-AU"/>
              </w:rPr>
            </w:pPr>
          </w:p>
        </w:tc>
        <w:tc>
          <w:tcPr>
            <w:tcW w:w="0" w:type="auto"/>
            <w:shd w:val="clear" w:color="000000" w:fill="000000"/>
            <w:vAlign w:val="center"/>
            <w:hideMark/>
          </w:tcPr>
          <w:p w14:paraId="1E9E3CA4" w14:textId="77777777" w:rsidR="00422A90" w:rsidRPr="00677C2C" w:rsidRDefault="00422A90" w:rsidP="00422A90">
            <w:pPr>
              <w:spacing w:line="240" w:lineRule="auto"/>
              <w:jc w:val="center"/>
              <w:rPr>
                <w:rFonts w:cs="Arial"/>
                <w:b/>
                <w:color w:val="FFFFFF"/>
                <w:sz w:val="16"/>
                <w:szCs w:val="16"/>
                <w:lang w:eastAsia="en-AU"/>
              </w:rPr>
            </w:pPr>
            <w:r w:rsidRPr="00677C2C">
              <w:rPr>
                <w:rFonts w:cs="Arial"/>
                <w:b/>
                <w:color w:val="FFFFFF"/>
                <w:sz w:val="16"/>
                <w:szCs w:val="16"/>
                <w:lang w:eastAsia="en-AU"/>
              </w:rPr>
              <w:t>&lt; 1 year</w:t>
            </w:r>
          </w:p>
        </w:tc>
        <w:tc>
          <w:tcPr>
            <w:tcW w:w="0" w:type="auto"/>
            <w:shd w:val="clear" w:color="000000" w:fill="000000"/>
            <w:vAlign w:val="center"/>
            <w:hideMark/>
          </w:tcPr>
          <w:p w14:paraId="37891557" w14:textId="77777777" w:rsidR="00422A90" w:rsidRPr="00677C2C" w:rsidRDefault="00422A90" w:rsidP="00422A90">
            <w:pPr>
              <w:spacing w:line="240" w:lineRule="auto"/>
              <w:jc w:val="center"/>
              <w:rPr>
                <w:rFonts w:cs="Arial"/>
                <w:b/>
                <w:color w:val="FFFFFF"/>
                <w:sz w:val="16"/>
                <w:szCs w:val="16"/>
                <w:lang w:eastAsia="en-AU"/>
              </w:rPr>
            </w:pPr>
            <w:r w:rsidRPr="00677C2C">
              <w:rPr>
                <w:rFonts w:cs="Arial"/>
                <w:b/>
                <w:color w:val="FFFFFF"/>
                <w:sz w:val="16"/>
                <w:szCs w:val="16"/>
                <w:lang w:eastAsia="en-AU"/>
              </w:rPr>
              <w:t>1-3 years</w:t>
            </w:r>
          </w:p>
        </w:tc>
        <w:tc>
          <w:tcPr>
            <w:tcW w:w="0" w:type="auto"/>
            <w:shd w:val="clear" w:color="000000" w:fill="000000"/>
            <w:vAlign w:val="center"/>
            <w:hideMark/>
          </w:tcPr>
          <w:p w14:paraId="21047DD1" w14:textId="77777777" w:rsidR="00422A90" w:rsidRPr="00677C2C" w:rsidRDefault="00422A90" w:rsidP="00422A90">
            <w:pPr>
              <w:spacing w:line="240" w:lineRule="auto"/>
              <w:jc w:val="center"/>
              <w:rPr>
                <w:rFonts w:cs="Arial"/>
                <w:b/>
                <w:color w:val="FFFFFF"/>
                <w:sz w:val="16"/>
                <w:szCs w:val="16"/>
                <w:lang w:eastAsia="en-AU"/>
              </w:rPr>
            </w:pPr>
            <w:r w:rsidRPr="00677C2C">
              <w:rPr>
                <w:rFonts w:cs="Arial"/>
                <w:b/>
                <w:color w:val="FFFFFF"/>
                <w:sz w:val="16"/>
                <w:szCs w:val="16"/>
                <w:lang w:eastAsia="en-AU"/>
              </w:rPr>
              <w:t>3-5 years</w:t>
            </w:r>
          </w:p>
        </w:tc>
        <w:tc>
          <w:tcPr>
            <w:tcW w:w="0" w:type="auto"/>
            <w:shd w:val="clear" w:color="000000" w:fill="000000"/>
            <w:vAlign w:val="center"/>
            <w:hideMark/>
          </w:tcPr>
          <w:p w14:paraId="445B7692" w14:textId="77777777" w:rsidR="00422A90" w:rsidRPr="00677C2C" w:rsidRDefault="00422A90" w:rsidP="00422A90">
            <w:pPr>
              <w:spacing w:line="240" w:lineRule="auto"/>
              <w:jc w:val="center"/>
              <w:rPr>
                <w:rFonts w:cs="Arial"/>
                <w:b/>
                <w:color w:val="FFFFFF"/>
                <w:sz w:val="16"/>
                <w:szCs w:val="16"/>
                <w:lang w:eastAsia="en-AU"/>
              </w:rPr>
            </w:pPr>
            <w:r w:rsidRPr="00677C2C">
              <w:rPr>
                <w:rFonts w:cs="Arial"/>
                <w:b/>
                <w:color w:val="FFFFFF"/>
                <w:sz w:val="16"/>
                <w:szCs w:val="16"/>
                <w:lang w:eastAsia="en-AU"/>
              </w:rPr>
              <w:t>5+ years</w:t>
            </w:r>
          </w:p>
        </w:tc>
        <w:tc>
          <w:tcPr>
            <w:tcW w:w="0" w:type="auto"/>
            <w:shd w:val="clear" w:color="000000" w:fill="000000"/>
            <w:vAlign w:val="center"/>
            <w:hideMark/>
          </w:tcPr>
          <w:p w14:paraId="03E088FF" w14:textId="77777777" w:rsidR="00422A90" w:rsidRPr="00677C2C" w:rsidRDefault="00422A90" w:rsidP="00422A90">
            <w:pPr>
              <w:spacing w:line="240" w:lineRule="auto"/>
              <w:jc w:val="center"/>
              <w:rPr>
                <w:rFonts w:cs="Arial"/>
                <w:b/>
                <w:color w:val="FFFFFF"/>
                <w:sz w:val="16"/>
                <w:szCs w:val="16"/>
                <w:lang w:eastAsia="en-AU"/>
              </w:rPr>
            </w:pPr>
            <w:r w:rsidRPr="00677C2C">
              <w:rPr>
                <w:rFonts w:cs="Arial"/>
                <w:b/>
                <w:color w:val="FFFFFF"/>
                <w:sz w:val="16"/>
                <w:szCs w:val="16"/>
                <w:lang w:eastAsia="en-AU"/>
              </w:rPr>
              <w:t>&lt;$500K</w:t>
            </w:r>
          </w:p>
        </w:tc>
        <w:tc>
          <w:tcPr>
            <w:tcW w:w="0" w:type="auto"/>
            <w:shd w:val="clear" w:color="000000" w:fill="000000"/>
            <w:vAlign w:val="center"/>
            <w:hideMark/>
          </w:tcPr>
          <w:p w14:paraId="57F45CD3" w14:textId="77777777" w:rsidR="00422A90" w:rsidRPr="00677C2C" w:rsidRDefault="00422A90" w:rsidP="00422A90">
            <w:pPr>
              <w:spacing w:line="240" w:lineRule="auto"/>
              <w:jc w:val="center"/>
              <w:rPr>
                <w:rFonts w:cs="Arial"/>
                <w:b/>
                <w:color w:val="FFFFFF"/>
                <w:sz w:val="16"/>
                <w:szCs w:val="16"/>
                <w:lang w:eastAsia="en-AU"/>
              </w:rPr>
            </w:pPr>
            <w:r w:rsidRPr="00677C2C">
              <w:rPr>
                <w:rFonts w:cs="Arial"/>
                <w:b/>
                <w:color w:val="FFFFFF"/>
                <w:sz w:val="16"/>
                <w:szCs w:val="16"/>
                <w:lang w:eastAsia="en-AU"/>
              </w:rPr>
              <w:t>&lt;$2M</w:t>
            </w:r>
          </w:p>
        </w:tc>
        <w:tc>
          <w:tcPr>
            <w:tcW w:w="0" w:type="auto"/>
            <w:shd w:val="clear" w:color="000000" w:fill="000000"/>
            <w:vAlign w:val="center"/>
            <w:hideMark/>
          </w:tcPr>
          <w:p w14:paraId="549A01B6" w14:textId="77777777" w:rsidR="00422A90" w:rsidRPr="00677C2C" w:rsidRDefault="00422A90" w:rsidP="00422A90">
            <w:pPr>
              <w:spacing w:line="240" w:lineRule="auto"/>
              <w:jc w:val="center"/>
              <w:rPr>
                <w:rFonts w:cs="Arial"/>
                <w:b/>
                <w:color w:val="FFFFFF"/>
                <w:sz w:val="16"/>
                <w:szCs w:val="16"/>
                <w:lang w:eastAsia="en-AU"/>
              </w:rPr>
            </w:pPr>
            <w:r w:rsidRPr="00677C2C">
              <w:rPr>
                <w:rFonts w:cs="Arial"/>
                <w:b/>
                <w:color w:val="FFFFFF"/>
                <w:sz w:val="16"/>
                <w:szCs w:val="16"/>
                <w:lang w:eastAsia="en-AU"/>
              </w:rPr>
              <w:t>&lt;$5M</w:t>
            </w:r>
          </w:p>
        </w:tc>
        <w:tc>
          <w:tcPr>
            <w:tcW w:w="0" w:type="auto"/>
            <w:shd w:val="clear" w:color="000000" w:fill="000000"/>
            <w:vAlign w:val="center"/>
            <w:hideMark/>
          </w:tcPr>
          <w:p w14:paraId="33409502" w14:textId="77777777" w:rsidR="00422A90" w:rsidRPr="00677C2C" w:rsidRDefault="00422A90" w:rsidP="00422A90">
            <w:pPr>
              <w:spacing w:line="240" w:lineRule="auto"/>
              <w:jc w:val="center"/>
              <w:rPr>
                <w:rFonts w:cs="Arial"/>
                <w:b/>
                <w:color w:val="FFFFFF"/>
                <w:sz w:val="16"/>
                <w:szCs w:val="16"/>
                <w:lang w:eastAsia="en-AU"/>
              </w:rPr>
            </w:pPr>
            <w:r w:rsidRPr="00677C2C">
              <w:rPr>
                <w:rFonts w:cs="Arial"/>
                <w:b/>
                <w:color w:val="FFFFFF"/>
                <w:sz w:val="16"/>
                <w:szCs w:val="16"/>
                <w:lang w:eastAsia="en-AU"/>
              </w:rPr>
              <w:t>&gt;$5M</w:t>
            </w:r>
          </w:p>
        </w:tc>
        <w:tc>
          <w:tcPr>
            <w:tcW w:w="0" w:type="auto"/>
            <w:shd w:val="clear" w:color="000000" w:fill="000000"/>
            <w:noWrap/>
            <w:vAlign w:val="center"/>
            <w:hideMark/>
          </w:tcPr>
          <w:p w14:paraId="4FA14B29" w14:textId="77777777" w:rsidR="00422A90" w:rsidRPr="00677C2C" w:rsidRDefault="00422A90" w:rsidP="00422A90">
            <w:pPr>
              <w:spacing w:line="240" w:lineRule="auto"/>
              <w:jc w:val="center"/>
              <w:rPr>
                <w:rFonts w:cs="Arial"/>
                <w:b/>
                <w:color w:val="FFFFFF"/>
                <w:sz w:val="16"/>
                <w:szCs w:val="16"/>
                <w:lang w:eastAsia="en-AU"/>
              </w:rPr>
            </w:pPr>
            <w:r w:rsidRPr="00677C2C">
              <w:rPr>
                <w:rFonts w:cs="Arial"/>
                <w:b/>
                <w:color w:val="FFFFFF"/>
                <w:sz w:val="16"/>
                <w:szCs w:val="16"/>
                <w:lang w:eastAsia="en-AU"/>
              </w:rPr>
              <w:t>1 to 1</w:t>
            </w:r>
          </w:p>
        </w:tc>
        <w:tc>
          <w:tcPr>
            <w:tcW w:w="0" w:type="auto"/>
            <w:shd w:val="clear" w:color="000000" w:fill="000000"/>
            <w:noWrap/>
            <w:vAlign w:val="center"/>
            <w:hideMark/>
          </w:tcPr>
          <w:p w14:paraId="79CD5123" w14:textId="77777777" w:rsidR="00422A90" w:rsidRPr="00677C2C" w:rsidRDefault="00422A90" w:rsidP="00422A90">
            <w:pPr>
              <w:spacing w:line="240" w:lineRule="auto"/>
              <w:jc w:val="center"/>
              <w:rPr>
                <w:rFonts w:cs="Arial"/>
                <w:b/>
                <w:color w:val="FFFFFF"/>
                <w:sz w:val="16"/>
                <w:szCs w:val="16"/>
                <w:lang w:eastAsia="en-AU"/>
              </w:rPr>
            </w:pPr>
            <w:r w:rsidRPr="00677C2C">
              <w:rPr>
                <w:rFonts w:cs="Arial"/>
                <w:b/>
                <w:color w:val="FFFFFF"/>
                <w:sz w:val="16"/>
                <w:szCs w:val="16"/>
                <w:lang w:eastAsia="en-AU"/>
              </w:rPr>
              <w:t>Multi</w:t>
            </w:r>
          </w:p>
        </w:tc>
      </w:tr>
      <w:tr w:rsidR="00422A90" w:rsidRPr="00677C2C" w14:paraId="6C3FE64D" w14:textId="77777777" w:rsidTr="00057762">
        <w:trPr>
          <w:trHeight w:val="1053"/>
        </w:trPr>
        <w:tc>
          <w:tcPr>
            <w:tcW w:w="0" w:type="auto"/>
            <w:vMerge w:val="restart"/>
            <w:shd w:val="clear" w:color="auto" w:fill="auto"/>
            <w:vAlign w:val="center"/>
            <w:hideMark/>
          </w:tcPr>
          <w:p w14:paraId="4B0EF33D" w14:textId="77777777" w:rsidR="00422A90" w:rsidRPr="00677C2C" w:rsidRDefault="00422A90" w:rsidP="00422A90">
            <w:pPr>
              <w:spacing w:line="240" w:lineRule="auto"/>
              <w:jc w:val="center"/>
              <w:rPr>
                <w:rFonts w:cs="Arial"/>
                <w:color w:val="000000"/>
                <w:sz w:val="16"/>
                <w:szCs w:val="16"/>
                <w:lang w:eastAsia="en-AU"/>
              </w:rPr>
            </w:pPr>
            <w:r w:rsidRPr="00677C2C">
              <w:rPr>
                <w:rFonts w:cs="Arial"/>
                <w:color w:val="000000"/>
                <w:sz w:val="16"/>
                <w:szCs w:val="16"/>
                <w:lang w:eastAsia="en-AU"/>
              </w:rPr>
              <w:t xml:space="preserve">Education and Training </w:t>
            </w:r>
          </w:p>
        </w:tc>
        <w:tc>
          <w:tcPr>
            <w:tcW w:w="0" w:type="auto"/>
            <w:shd w:val="clear" w:color="auto" w:fill="auto"/>
            <w:vAlign w:val="center"/>
            <w:hideMark/>
          </w:tcPr>
          <w:p w14:paraId="179654A9" w14:textId="77777777" w:rsidR="00422A90" w:rsidRPr="00677C2C" w:rsidRDefault="00B96CA1" w:rsidP="00422A90">
            <w:pPr>
              <w:spacing w:line="240" w:lineRule="auto"/>
              <w:rPr>
                <w:rFonts w:cs="Arial"/>
                <w:color w:val="0000FF"/>
                <w:sz w:val="16"/>
                <w:szCs w:val="16"/>
                <w:u w:val="single"/>
                <w:lang w:eastAsia="en-AU"/>
              </w:rPr>
            </w:pPr>
            <w:hyperlink r:id="rId27" w:history="1">
              <w:r w:rsidR="00422A90" w:rsidRPr="00677C2C">
                <w:rPr>
                  <w:rFonts w:cs="Arial"/>
                  <w:color w:val="0000FF"/>
                  <w:sz w:val="16"/>
                  <w:szCs w:val="16"/>
                  <w:u w:val="single"/>
                  <w:lang w:eastAsia="en-AU"/>
                </w:rPr>
                <w:t>ARC Centres of Excellence</w:t>
              </w:r>
            </w:hyperlink>
          </w:p>
        </w:tc>
        <w:tc>
          <w:tcPr>
            <w:tcW w:w="0" w:type="auto"/>
            <w:shd w:val="clear" w:color="auto" w:fill="auto"/>
            <w:vAlign w:val="center"/>
            <w:hideMark/>
          </w:tcPr>
          <w:p w14:paraId="7D3AA7A4" w14:textId="77777777" w:rsidR="00422A90" w:rsidRPr="00677C2C" w:rsidRDefault="00422A90" w:rsidP="00422A90">
            <w:pPr>
              <w:rPr>
                <w:rFonts w:cs="Arial"/>
                <w:color w:val="000000"/>
                <w:sz w:val="16"/>
                <w:szCs w:val="16"/>
                <w:lang w:eastAsia="en-AU"/>
              </w:rPr>
            </w:pPr>
            <w:r w:rsidRPr="00677C2C">
              <w:rPr>
                <w:rFonts w:cs="Arial"/>
                <w:color w:val="000000"/>
                <w:sz w:val="16"/>
                <w:szCs w:val="16"/>
                <w:lang w:eastAsia="en-AU"/>
              </w:rPr>
              <w:t xml:space="preserve">Build capacity, scale and focus in centres that undertake basic and applied research, collaborate with end-users, provide training and development for the next generation of researchers, and achieve global recognition for their expertise. </w:t>
            </w:r>
          </w:p>
        </w:tc>
        <w:tc>
          <w:tcPr>
            <w:tcW w:w="0" w:type="auto"/>
            <w:shd w:val="clear" w:color="auto" w:fill="auto"/>
            <w:noWrap/>
            <w:vAlign w:val="center"/>
            <w:hideMark/>
          </w:tcPr>
          <w:p w14:paraId="4E3E2D06" w14:textId="77777777" w:rsidR="00422A90" w:rsidRPr="00AE6792" w:rsidRDefault="00422A90" w:rsidP="00057762">
            <w:pPr>
              <w:spacing w:line="240" w:lineRule="auto"/>
              <w:jc w:val="center"/>
              <w:rPr>
                <w:rFonts w:cs="Arial"/>
                <w:color w:val="000000"/>
                <w:lang w:eastAsia="en-AU"/>
              </w:rPr>
            </w:pPr>
          </w:p>
        </w:tc>
        <w:tc>
          <w:tcPr>
            <w:tcW w:w="0" w:type="auto"/>
            <w:shd w:val="clear" w:color="auto" w:fill="auto"/>
            <w:noWrap/>
            <w:vAlign w:val="center"/>
            <w:hideMark/>
          </w:tcPr>
          <w:p w14:paraId="42520EFA" w14:textId="77777777" w:rsidR="00422A90" w:rsidRPr="00AE6792" w:rsidRDefault="00422A90" w:rsidP="00057762">
            <w:pPr>
              <w:spacing w:line="240" w:lineRule="auto"/>
              <w:jc w:val="center"/>
              <w:rPr>
                <w:rFonts w:cs="Arial"/>
                <w:color w:val="366092"/>
                <w:lang w:eastAsia="en-AU"/>
              </w:rPr>
            </w:pPr>
          </w:p>
        </w:tc>
        <w:tc>
          <w:tcPr>
            <w:tcW w:w="0" w:type="auto"/>
            <w:shd w:val="clear" w:color="auto" w:fill="auto"/>
            <w:noWrap/>
            <w:vAlign w:val="center"/>
            <w:hideMark/>
          </w:tcPr>
          <w:p w14:paraId="611577D1" w14:textId="77777777" w:rsidR="00422A90" w:rsidRPr="00527F52" w:rsidRDefault="0089101F" w:rsidP="00057762">
            <w:pPr>
              <w:spacing w:line="240" w:lineRule="auto"/>
              <w:jc w:val="center"/>
              <w:rPr>
                <w:rFonts w:cs="Arial"/>
                <w:color w:val="007FAA"/>
                <w:lang w:eastAsia="en-AU"/>
              </w:rPr>
            </w:pPr>
            <w:r w:rsidRPr="00527F52">
              <w:rPr>
                <w:rFonts w:cs="Arial"/>
                <w:color w:val="007FAA"/>
                <w:lang w:eastAsia="en-AU"/>
              </w:rPr>
              <w:sym w:font="Wingdings" w:char="F06C"/>
            </w:r>
          </w:p>
        </w:tc>
        <w:tc>
          <w:tcPr>
            <w:tcW w:w="0" w:type="auto"/>
            <w:shd w:val="clear" w:color="auto" w:fill="auto"/>
            <w:noWrap/>
            <w:vAlign w:val="center"/>
            <w:hideMark/>
          </w:tcPr>
          <w:p w14:paraId="0FA27574" w14:textId="77777777" w:rsidR="00422A90" w:rsidRPr="00AE6792" w:rsidRDefault="00527F52" w:rsidP="00057762">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6680A586" w14:textId="77777777" w:rsidR="00422A90" w:rsidRPr="00AE6792" w:rsidRDefault="00422A90" w:rsidP="00057762">
            <w:pPr>
              <w:spacing w:line="240" w:lineRule="auto"/>
              <w:jc w:val="center"/>
              <w:rPr>
                <w:rFonts w:cs="Arial"/>
                <w:color w:val="00B0F0"/>
                <w:lang w:eastAsia="en-AU"/>
              </w:rPr>
            </w:pPr>
          </w:p>
        </w:tc>
        <w:tc>
          <w:tcPr>
            <w:tcW w:w="0" w:type="auto"/>
            <w:shd w:val="clear" w:color="auto" w:fill="auto"/>
            <w:noWrap/>
            <w:vAlign w:val="center"/>
            <w:hideMark/>
          </w:tcPr>
          <w:p w14:paraId="705B0355" w14:textId="77777777" w:rsidR="00422A90" w:rsidRPr="00AE6792" w:rsidRDefault="00422A90" w:rsidP="00057762">
            <w:pPr>
              <w:spacing w:line="240" w:lineRule="auto"/>
              <w:jc w:val="center"/>
              <w:rPr>
                <w:rFonts w:cs="Arial"/>
                <w:color w:val="00B0F0"/>
                <w:lang w:eastAsia="en-AU"/>
              </w:rPr>
            </w:pPr>
          </w:p>
        </w:tc>
        <w:tc>
          <w:tcPr>
            <w:tcW w:w="0" w:type="auto"/>
            <w:shd w:val="clear" w:color="auto" w:fill="auto"/>
            <w:noWrap/>
            <w:vAlign w:val="center"/>
            <w:hideMark/>
          </w:tcPr>
          <w:p w14:paraId="6E9BC52B" w14:textId="77777777" w:rsidR="00422A90" w:rsidRPr="00AE6792" w:rsidRDefault="00527F52" w:rsidP="00057762">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68E7F509" w14:textId="77777777" w:rsidR="00422A90" w:rsidRPr="00AE6792" w:rsidRDefault="00527F52" w:rsidP="00057762">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25B04232" w14:textId="77777777" w:rsidR="00422A90" w:rsidRPr="00AE6792" w:rsidRDefault="00422A90" w:rsidP="00057762">
            <w:pPr>
              <w:spacing w:line="240" w:lineRule="auto"/>
              <w:jc w:val="center"/>
              <w:rPr>
                <w:rFonts w:cs="Arial"/>
                <w:color w:val="00B0F0"/>
                <w:lang w:eastAsia="en-AU"/>
              </w:rPr>
            </w:pPr>
          </w:p>
        </w:tc>
        <w:tc>
          <w:tcPr>
            <w:tcW w:w="0" w:type="auto"/>
            <w:shd w:val="clear" w:color="auto" w:fill="auto"/>
            <w:noWrap/>
            <w:vAlign w:val="center"/>
            <w:hideMark/>
          </w:tcPr>
          <w:p w14:paraId="75E84F87" w14:textId="77777777" w:rsidR="00422A90" w:rsidRPr="00AE6792" w:rsidRDefault="00527F52" w:rsidP="00057762">
            <w:pPr>
              <w:spacing w:line="240" w:lineRule="auto"/>
              <w:jc w:val="center"/>
              <w:rPr>
                <w:rFonts w:cs="Arial"/>
                <w:color w:val="00B0F0"/>
                <w:lang w:eastAsia="en-AU"/>
              </w:rPr>
            </w:pPr>
            <w:r w:rsidRPr="00527F52">
              <w:rPr>
                <w:rFonts w:cs="Arial"/>
                <w:color w:val="007FAA"/>
                <w:lang w:eastAsia="en-AU"/>
              </w:rPr>
              <w:sym w:font="Wingdings" w:char="F06C"/>
            </w:r>
          </w:p>
        </w:tc>
      </w:tr>
      <w:tr w:rsidR="00527F52" w:rsidRPr="00677C2C" w14:paraId="69B4C1A2" w14:textId="77777777" w:rsidTr="00057762">
        <w:trPr>
          <w:trHeight w:val="510"/>
        </w:trPr>
        <w:tc>
          <w:tcPr>
            <w:tcW w:w="0" w:type="auto"/>
            <w:vMerge/>
            <w:vAlign w:val="center"/>
            <w:hideMark/>
          </w:tcPr>
          <w:p w14:paraId="6A730657" w14:textId="77777777" w:rsidR="00527F52" w:rsidRPr="00677C2C" w:rsidRDefault="00527F52" w:rsidP="00527F52">
            <w:pPr>
              <w:spacing w:line="240" w:lineRule="auto"/>
              <w:rPr>
                <w:rFonts w:cs="Arial"/>
                <w:color w:val="000000"/>
                <w:sz w:val="16"/>
                <w:szCs w:val="16"/>
                <w:lang w:eastAsia="en-AU"/>
              </w:rPr>
            </w:pPr>
          </w:p>
        </w:tc>
        <w:tc>
          <w:tcPr>
            <w:tcW w:w="0" w:type="auto"/>
            <w:shd w:val="clear" w:color="auto" w:fill="auto"/>
            <w:vAlign w:val="center"/>
            <w:hideMark/>
          </w:tcPr>
          <w:p w14:paraId="59C726DF" w14:textId="77777777" w:rsidR="00527F52" w:rsidRPr="00677C2C" w:rsidRDefault="00B96CA1" w:rsidP="00527F52">
            <w:pPr>
              <w:spacing w:line="240" w:lineRule="auto"/>
              <w:rPr>
                <w:rFonts w:cs="Arial"/>
                <w:color w:val="0000FF"/>
                <w:sz w:val="16"/>
                <w:szCs w:val="16"/>
                <w:u w:val="single"/>
                <w:lang w:eastAsia="en-AU"/>
              </w:rPr>
            </w:pPr>
            <w:hyperlink r:id="rId28" w:history="1">
              <w:r w:rsidR="00527F52" w:rsidRPr="00677C2C">
                <w:rPr>
                  <w:rFonts w:cs="Arial"/>
                  <w:color w:val="0000FF"/>
                  <w:sz w:val="16"/>
                  <w:szCs w:val="16"/>
                  <w:u w:val="single"/>
                  <w:lang w:eastAsia="en-AU"/>
                </w:rPr>
                <w:t>ARC Linkage-Projects</w:t>
              </w:r>
            </w:hyperlink>
          </w:p>
        </w:tc>
        <w:tc>
          <w:tcPr>
            <w:tcW w:w="0" w:type="auto"/>
            <w:shd w:val="clear" w:color="auto" w:fill="auto"/>
            <w:vAlign w:val="center"/>
            <w:hideMark/>
          </w:tcPr>
          <w:p w14:paraId="482B2F19" w14:textId="77777777" w:rsidR="00527F52" w:rsidRPr="00677C2C" w:rsidRDefault="00527F52" w:rsidP="00527F52">
            <w:pPr>
              <w:rPr>
                <w:rFonts w:cs="Arial"/>
                <w:color w:val="000000"/>
                <w:sz w:val="16"/>
                <w:szCs w:val="16"/>
                <w:lang w:eastAsia="en-AU"/>
              </w:rPr>
            </w:pPr>
            <w:r w:rsidRPr="00677C2C">
              <w:rPr>
                <w:rFonts w:cs="Arial"/>
                <w:color w:val="000000"/>
                <w:sz w:val="16"/>
                <w:szCs w:val="16"/>
                <w:lang w:eastAsia="en-AU"/>
              </w:rPr>
              <w:t xml:space="preserve">Supports collaborative projects which are undertaken to acquire new knowledge and which involve risk or innovation. </w:t>
            </w:r>
          </w:p>
        </w:tc>
        <w:tc>
          <w:tcPr>
            <w:tcW w:w="0" w:type="auto"/>
            <w:shd w:val="clear" w:color="auto" w:fill="auto"/>
            <w:noWrap/>
            <w:vAlign w:val="center"/>
            <w:hideMark/>
          </w:tcPr>
          <w:p w14:paraId="3BBAB61D" w14:textId="77777777" w:rsidR="00527F52" w:rsidRPr="00AE6792" w:rsidRDefault="00527F52" w:rsidP="00057762">
            <w:pPr>
              <w:spacing w:line="240" w:lineRule="auto"/>
              <w:jc w:val="center"/>
              <w:rPr>
                <w:rFonts w:cs="Arial"/>
                <w:color w:val="000000"/>
                <w:lang w:eastAsia="en-AU"/>
              </w:rPr>
            </w:pPr>
          </w:p>
        </w:tc>
        <w:tc>
          <w:tcPr>
            <w:tcW w:w="0" w:type="auto"/>
            <w:shd w:val="clear" w:color="auto" w:fill="auto"/>
            <w:noWrap/>
            <w:vAlign w:val="center"/>
            <w:hideMark/>
          </w:tcPr>
          <w:p w14:paraId="04E93CD2" w14:textId="77777777" w:rsidR="00527F52" w:rsidRDefault="00527F52" w:rsidP="00057762">
            <w:pPr>
              <w:jc w:val="center"/>
            </w:pPr>
            <w:r w:rsidRPr="00561338">
              <w:rPr>
                <w:rFonts w:cs="Arial"/>
                <w:color w:val="007FAA"/>
                <w:lang w:eastAsia="en-AU"/>
              </w:rPr>
              <w:sym w:font="Wingdings" w:char="F06C"/>
            </w:r>
          </w:p>
        </w:tc>
        <w:tc>
          <w:tcPr>
            <w:tcW w:w="0" w:type="auto"/>
            <w:shd w:val="clear" w:color="auto" w:fill="auto"/>
            <w:noWrap/>
            <w:vAlign w:val="center"/>
            <w:hideMark/>
          </w:tcPr>
          <w:p w14:paraId="02CF064E" w14:textId="77777777" w:rsidR="00527F52" w:rsidRDefault="00527F52" w:rsidP="00057762">
            <w:pPr>
              <w:jc w:val="center"/>
            </w:pPr>
            <w:r w:rsidRPr="00561338">
              <w:rPr>
                <w:rFonts w:cs="Arial"/>
                <w:color w:val="007FAA"/>
                <w:lang w:eastAsia="en-AU"/>
              </w:rPr>
              <w:sym w:font="Wingdings" w:char="F06C"/>
            </w:r>
          </w:p>
        </w:tc>
        <w:tc>
          <w:tcPr>
            <w:tcW w:w="0" w:type="auto"/>
            <w:shd w:val="clear" w:color="auto" w:fill="auto"/>
            <w:noWrap/>
            <w:vAlign w:val="center"/>
            <w:hideMark/>
          </w:tcPr>
          <w:p w14:paraId="5B3192C9" w14:textId="77777777" w:rsidR="00527F52" w:rsidRDefault="00527F52" w:rsidP="00057762">
            <w:pPr>
              <w:jc w:val="center"/>
            </w:pPr>
            <w:r w:rsidRPr="00561338">
              <w:rPr>
                <w:rFonts w:cs="Arial"/>
                <w:color w:val="007FAA"/>
                <w:lang w:eastAsia="en-AU"/>
              </w:rPr>
              <w:sym w:font="Wingdings" w:char="F06C"/>
            </w:r>
          </w:p>
        </w:tc>
        <w:tc>
          <w:tcPr>
            <w:tcW w:w="0" w:type="auto"/>
            <w:shd w:val="clear" w:color="auto" w:fill="auto"/>
            <w:noWrap/>
            <w:vAlign w:val="center"/>
            <w:hideMark/>
          </w:tcPr>
          <w:p w14:paraId="17D9088F" w14:textId="77777777" w:rsidR="00527F52" w:rsidRPr="00AE6792" w:rsidRDefault="00527F52" w:rsidP="00057762">
            <w:pPr>
              <w:spacing w:line="240" w:lineRule="auto"/>
              <w:jc w:val="center"/>
              <w:rPr>
                <w:rFonts w:cs="Arial"/>
                <w:color w:val="366092"/>
                <w:lang w:eastAsia="en-AU"/>
              </w:rPr>
            </w:pPr>
          </w:p>
        </w:tc>
        <w:tc>
          <w:tcPr>
            <w:tcW w:w="0" w:type="auto"/>
            <w:shd w:val="clear" w:color="auto" w:fill="auto"/>
            <w:noWrap/>
            <w:vAlign w:val="center"/>
            <w:hideMark/>
          </w:tcPr>
          <w:p w14:paraId="7C2A10C4" w14:textId="77777777" w:rsidR="00527F52" w:rsidRDefault="00527F52" w:rsidP="00057762">
            <w:pPr>
              <w:jc w:val="center"/>
            </w:pPr>
            <w:r w:rsidRPr="00362C2C">
              <w:rPr>
                <w:rFonts w:cs="Arial"/>
                <w:color w:val="007FAA"/>
                <w:lang w:eastAsia="en-AU"/>
              </w:rPr>
              <w:sym w:font="Wingdings" w:char="F06C"/>
            </w:r>
          </w:p>
        </w:tc>
        <w:tc>
          <w:tcPr>
            <w:tcW w:w="0" w:type="auto"/>
            <w:shd w:val="clear" w:color="auto" w:fill="auto"/>
            <w:noWrap/>
            <w:vAlign w:val="center"/>
            <w:hideMark/>
          </w:tcPr>
          <w:p w14:paraId="74D21F98" w14:textId="77777777" w:rsidR="00527F52" w:rsidRDefault="00527F52" w:rsidP="00057762">
            <w:pPr>
              <w:jc w:val="center"/>
            </w:pPr>
            <w:r w:rsidRPr="00362C2C">
              <w:rPr>
                <w:rFonts w:cs="Arial"/>
                <w:color w:val="007FAA"/>
                <w:lang w:eastAsia="en-AU"/>
              </w:rPr>
              <w:sym w:font="Wingdings" w:char="F06C"/>
            </w:r>
          </w:p>
        </w:tc>
        <w:tc>
          <w:tcPr>
            <w:tcW w:w="0" w:type="auto"/>
            <w:shd w:val="clear" w:color="auto" w:fill="auto"/>
            <w:noWrap/>
            <w:vAlign w:val="center"/>
            <w:hideMark/>
          </w:tcPr>
          <w:p w14:paraId="3C12F5BE" w14:textId="77777777" w:rsidR="00527F52" w:rsidRDefault="00527F52" w:rsidP="00057762">
            <w:pPr>
              <w:jc w:val="center"/>
            </w:pPr>
            <w:r w:rsidRPr="00362C2C">
              <w:rPr>
                <w:rFonts w:cs="Arial"/>
                <w:color w:val="007FAA"/>
                <w:lang w:eastAsia="en-AU"/>
              </w:rPr>
              <w:sym w:font="Wingdings" w:char="F06C"/>
            </w:r>
          </w:p>
        </w:tc>
        <w:tc>
          <w:tcPr>
            <w:tcW w:w="0" w:type="auto"/>
            <w:shd w:val="clear" w:color="auto" w:fill="auto"/>
            <w:noWrap/>
            <w:vAlign w:val="center"/>
            <w:hideMark/>
          </w:tcPr>
          <w:p w14:paraId="3E6A46AD" w14:textId="77777777" w:rsidR="00527F52" w:rsidRDefault="00527F52" w:rsidP="00057762">
            <w:pPr>
              <w:jc w:val="center"/>
            </w:pPr>
            <w:r w:rsidRPr="00362C2C">
              <w:rPr>
                <w:rFonts w:cs="Arial"/>
                <w:color w:val="007FAA"/>
                <w:lang w:eastAsia="en-AU"/>
              </w:rPr>
              <w:sym w:font="Wingdings" w:char="F06C"/>
            </w:r>
          </w:p>
        </w:tc>
        <w:tc>
          <w:tcPr>
            <w:tcW w:w="0" w:type="auto"/>
            <w:shd w:val="clear" w:color="auto" w:fill="auto"/>
            <w:noWrap/>
            <w:vAlign w:val="center"/>
            <w:hideMark/>
          </w:tcPr>
          <w:p w14:paraId="0E262DB9" w14:textId="77777777" w:rsidR="00527F52" w:rsidRDefault="00527F52" w:rsidP="00057762">
            <w:pPr>
              <w:jc w:val="center"/>
            </w:pPr>
            <w:r w:rsidRPr="00362C2C">
              <w:rPr>
                <w:rFonts w:cs="Arial"/>
                <w:color w:val="007FAA"/>
                <w:lang w:eastAsia="en-AU"/>
              </w:rPr>
              <w:sym w:font="Wingdings" w:char="F06C"/>
            </w:r>
          </w:p>
        </w:tc>
      </w:tr>
      <w:tr w:rsidR="00527F52" w:rsidRPr="00677C2C" w14:paraId="6E41405D" w14:textId="77777777" w:rsidTr="00057762">
        <w:trPr>
          <w:trHeight w:val="605"/>
        </w:trPr>
        <w:tc>
          <w:tcPr>
            <w:tcW w:w="0" w:type="auto"/>
            <w:vMerge/>
            <w:vAlign w:val="center"/>
            <w:hideMark/>
          </w:tcPr>
          <w:p w14:paraId="5675633B" w14:textId="77777777" w:rsidR="00527F52" w:rsidRPr="00677C2C" w:rsidRDefault="00527F52" w:rsidP="00527F52">
            <w:pPr>
              <w:spacing w:line="240" w:lineRule="auto"/>
              <w:rPr>
                <w:rFonts w:cs="Arial"/>
                <w:color w:val="000000"/>
                <w:sz w:val="16"/>
                <w:szCs w:val="16"/>
                <w:lang w:eastAsia="en-AU"/>
              </w:rPr>
            </w:pPr>
          </w:p>
        </w:tc>
        <w:tc>
          <w:tcPr>
            <w:tcW w:w="0" w:type="auto"/>
            <w:shd w:val="clear" w:color="auto" w:fill="auto"/>
            <w:vAlign w:val="center"/>
            <w:hideMark/>
          </w:tcPr>
          <w:p w14:paraId="706CA02D" w14:textId="77777777" w:rsidR="00527F52" w:rsidRPr="00677C2C" w:rsidRDefault="00B96CA1" w:rsidP="00527F52">
            <w:pPr>
              <w:spacing w:line="240" w:lineRule="auto"/>
              <w:rPr>
                <w:rFonts w:cs="Arial"/>
                <w:color w:val="0000FF"/>
                <w:sz w:val="16"/>
                <w:szCs w:val="16"/>
                <w:u w:val="single"/>
                <w:lang w:eastAsia="en-AU"/>
              </w:rPr>
            </w:pPr>
            <w:hyperlink r:id="rId29" w:history="1">
              <w:r w:rsidR="00527F52" w:rsidRPr="00677C2C">
                <w:rPr>
                  <w:rFonts w:cs="Arial"/>
                  <w:color w:val="0000FF"/>
                  <w:sz w:val="16"/>
                  <w:szCs w:val="16"/>
                  <w:u w:val="single"/>
                  <w:lang w:eastAsia="en-AU"/>
                </w:rPr>
                <w:t>ARC Linkage-Infrastructure, Equipment and Facilities</w:t>
              </w:r>
            </w:hyperlink>
          </w:p>
        </w:tc>
        <w:tc>
          <w:tcPr>
            <w:tcW w:w="0" w:type="auto"/>
            <w:shd w:val="clear" w:color="auto" w:fill="auto"/>
            <w:vAlign w:val="center"/>
            <w:hideMark/>
          </w:tcPr>
          <w:p w14:paraId="1249E512" w14:textId="77777777" w:rsidR="00527F52" w:rsidRPr="00677C2C" w:rsidRDefault="00527F52" w:rsidP="00527F52">
            <w:pPr>
              <w:rPr>
                <w:rFonts w:cs="Arial"/>
                <w:color w:val="000000"/>
                <w:sz w:val="16"/>
                <w:szCs w:val="16"/>
                <w:lang w:eastAsia="en-AU"/>
              </w:rPr>
            </w:pPr>
            <w:r w:rsidRPr="00677C2C">
              <w:rPr>
                <w:rFonts w:cs="Arial"/>
                <w:color w:val="000000"/>
                <w:sz w:val="16"/>
                <w:szCs w:val="16"/>
                <w:lang w:eastAsia="en-AU"/>
              </w:rPr>
              <w:t>Fosters collaboration through its support of the cooperative use of national and international research facilities.</w:t>
            </w:r>
          </w:p>
        </w:tc>
        <w:tc>
          <w:tcPr>
            <w:tcW w:w="0" w:type="auto"/>
            <w:shd w:val="clear" w:color="auto" w:fill="auto"/>
            <w:noWrap/>
            <w:vAlign w:val="center"/>
            <w:hideMark/>
          </w:tcPr>
          <w:p w14:paraId="37E5ADA5" w14:textId="77777777" w:rsidR="00527F52" w:rsidRPr="00AE6792" w:rsidRDefault="00527F52" w:rsidP="00057762">
            <w:pPr>
              <w:spacing w:line="240" w:lineRule="auto"/>
              <w:jc w:val="center"/>
              <w:rPr>
                <w:rFonts w:cs="Arial"/>
                <w:color w:val="000000"/>
                <w:lang w:eastAsia="en-AU"/>
              </w:rPr>
            </w:pPr>
          </w:p>
        </w:tc>
        <w:tc>
          <w:tcPr>
            <w:tcW w:w="0" w:type="auto"/>
            <w:shd w:val="clear" w:color="auto" w:fill="auto"/>
            <w:noWrap/>
            <w:vAlign w:val="center"/>
            <w:hideMark/>
          </w:tcPr>
          <w:p w14:paraId="01435F13" w14:textId="77777777" w:rsidR="00527F52" w:rsidRDefault="00527F52" w:rsidP="00057762">
            <w:pPr>
              <w:jc w:val="center"/>
            </w:pPr>
            <w:r w:rsidRPr="00DC63B2">
              <w:rPr>
                <w:rFonts w:cs="Arial"/>
                <w:color w:val="007FAA"/>
                <w:lang w:eastAsia="en-AU"/>
              </w:rPr>
              <w:sym w:font="Wingdings" w:char="F06C"/>
            </w:r>
          </w:p>
        </w:tc>
        <w:tc>
          <w:tcPr>
            <w:tcW w:w="0" w:type="auto"/>
            <w:shd w:val="clear" w:color="auto" w:fill="auto"/>
            <w:noWrap/>
            <w:vAlign w:val="center"/>
            <w:hideMark/>
          </w:tcPr>
          <w:p w14:paraId="10A2FDFF" w14:textId="77777777" w:rsidR="00527F52" w:rsidRDefault="00527F52" w:rsidP="00057762">
            <w:pPr>
              <w:jc w:val="center"/>
            </w:pPr>
            <w:r w:rsidRPr="00DC63B2">
              <w:rPr>
                <w:rFonts w:cs="Arial"/>
                <w:color w:val="007FAA"/>
                <w:lang w:eastAsia="en-AU"/>
              </w:rPr>
              <w:sym w:font="Wingdings" w:char="F06C"/>
            </w:r>
          </w:p>
        </w:tc>
        <w:tc>
          <w:tcPr>
            <w:tcW w:w="0" w:type="auto"/>
            <w:shd w:val="clear" w:color="auto" w:fill="auto"/>
            <w:noWrap/>
            <w:vAlign w:val="center"/>
            <w:hideMark/>
          </w:tcPr>
          <w:p w14:paraId="57F6EBEA" w14:textId="77777777" w:rsidR="00527F52" w:rsidRPr="00AE6792" w:rsidRDefault="00527F52" w:rsidP="00057762">
            <w:pPr>
              <w:spacing w:line="240" w:lineRule="auto"/>
              <w:jc w:val="center"/>
              <w:rPr>
                <w:rFonts w:cs="Arial"/>
                <w:color w:val="000000"/>
                <w:lang w:eastAsia="en-AU"/>
              </w:rPr>
            </w:pPr>
          </w:p>
        </w:tc>
        <w:tc>
          <w:tcPr>
            <w:tcW w:w="0" w:type="auto"/>
            <w:shd w:val="clear" w:color="auto" w:fill="auto"/>
            <w:noWrap/>
            <w:vAlign w:val="center"/>
            <w:hideMark/>
          </w:tcPr>
          <w:p w14:paraId="36C551E7" w14:textId="77777777" w:rsidR="00527F52" w:rsidRPr="00AE6792" w:rsidRDefault="00527F52" w:rsidP="00057762">
            <w:pPr>
              <w:spacing w:line="240" w:lineRule="auto"/>
              <w:jc w:val="center"/>
              <w:rPr>
                <w:rFonts w:cs="Arial"/>
                <w:color w:val="000000"/>
                <w:lang w:eastAsia="en-AU"/>
              </w:rPr>
            </w:pPr>
          </w:p>
        </w:tc>
        <w:tc>
          <w:tcPr>
            <w:tcW w:w="0" w:type="auto"/>
            <w:shd w:val="clear" w:color="auto" w:fill="auto"/>
            <w:noWrap/>
            <w:vAlign w:val="center"/>
            <w:hideMark/>
          </w:tcPr>
          <w:p w14:paraId="4AE3DDA3" w14:textId="77777777" w:rsidR="00527F52" w:rsidRDefault="00527F52" w:rsidP="00057762">
            <w:pPr>
              <w:jc w:val="center"/>
            </w:pPr>
            <w:r w:rsidRPr="003E54B8">
              <w:rPr>
                <w:rFonts w:cs="Arial"/>
                <w:color w:val="007FAA"/>
                <w:lang w:eastAsia="en-AU"/>
              </w:rPr>
              <w:sym w:font="Wingdings" w:char="F06C"/>
            </w:r>
          </w:p>
        </w:tc>
        <w:tc>
          <w:tcPr>
            <w:tcW w:w="0" w:type="auto"/>
            <w:shd w:val="clear" w:color="auto" w:fill="auto"/>
            <w:noWrap/>
            <w:vAlign w:val="center"/>
            <w:hideMark/>
          </w:tcPr>
          <w:p w14:paraId="22BAA470" w14:textId="77777777" w:rsidR="00527F52" w:rsidRDefault="00527F52" w:rsidP="00057762">
            <w:pPr>
              <w:jc w:val="center"/>
            </w:pPr>
            <w:r w:rsidRPr="003E54B8">
              <w:rPr>
                <w:rFonts w:cs="Arial"/>
                <w:color w:val="007FAA"/>
                <w:lang w:eastAsia="en-AU"/>
              </w:rPr>
              <w:sym w:font="Wingdings" w:char="F06C"/>
            </w:r>
          </w:p>
        </w:tc>
        <w:tc>
          <w:tcPr>
            <w:tcW w:w="0" w:type="auto"/>
            <w:shd w:val="clear" w:color="auto" w:fill="auto"/>
            <w:noWrap/>
            <w:vAlign w:val="center"/>
            <w:hideMark/>
          </w:tcPr>
          <w:p w14:paraId="6D431794" w14:textId="77777777" w:rsidR="00527F52" w:rsidRPr="00AE6792" w:rsidRDefault="00527F52" w:rsidP="00057762">
            <w:pPr>
              <w:spacing w:line="240" w:lineRule="auto"/>
              <w:jc w:val="center"/>
              <w:rPr>
                <w:rFonts w:cs="Arial"/>
                <w:color w:val="000000"/>
                <w:lang w:eastAsia="en-AU"/>
              </w:rPr>
            </w:pPr>
          </w:p>
        </w:tc>
        <w:tc>
          <w:tcPr>
            <w:tcW w:w="0" w:type="auto"/>
            <w:shd w:val="clear" w:color="auto" w:fill="auto"/>
            <w:noWrap/>
            <w:vAlign w:val="center"/>
            <w:hideMark/>
          </w:tcPr>
          <w:p w14:paraId="41EC8020" w14:textId="77777777" w:rsidR="00527F52" w:rsidRDefault="00527F52" w:rsidP="00057762">
            <w:pPr>
              <w:jc w:val="center"/>
            </w:pPr>
            <w:r w:rsidRPr="000440C6">
              <w:rPr>
                <w:rFonts w:cs="Arial"/>
                <w:color w:val="007FAA"/>
                <w:lang w:eastAsia="en-AU"/>
              </w:rPr>
              <w:sym w:font="Wingdings" w:char="F06C"/>
            </w:r>
          </w:p>
        </w:tc>
        <w:tc>
          <w:tcPr>
            <w:tcW w:w="0" w:type="auto"/>
            <w:shd w:val="clear" w:color="auto" w:fill="auto"/>
            <w:noWrap/>
            <w:vAlign w:val="center"/>
            <w:hideMark/>
          </w:tcPr>
          <w:p w14:paraId="28FC331A" w14:textId="77777777" w:rsidR="00527F52" w:rsidRDefault="00527F52" w:rsidP="00057762">
            <w:pPr>
              <w:jc w:val="center"/>
            </w:pPr>
            <w:r w:rsidRPr="000440C6">
              <w:rPr>
                <w:rFonts w:cs="Arial"/>
                <w:color w:val="007FAA"/>
                <w:lang w:eastAsia="en-AU"/>
              </w:rPr>
              <w:sym w:font="Wingdings" w:char="F06C"/>
            </w:r>
          </w:p>
        </w:tc>
      </w:tr>
      <w:tr w:rsidR="00422A90" w:rsidRPr="00677C2C" w14:paraId="6B8E90A2" w14:textId="77777777" w:rsidTr="00057762">
        <w:trPr>
          <w:trHeight w:val="858"/>
        </w:trPr>
        <w:tc>
          <w:tcPr>
            <w:tcW w:w="0" w:type="auto"/>
            <w:vMerge/>
            <w:vAlign w:val="center"/>
            <w:hideMark/>
          </w:tcPr>
          <w:p w14:paraId="584F1A68" w14:textId="77777777" w:rsidR="00422A90" w:rsidRPr="00677C2C" w:rsidRDefault="00422A90" w:rsidP="00527F52">
            <w:pPr>
              <w:spacing w:line="240" w:lineRule="auto"/>
              <w:rPr>
                <w:rFonts w:cs="Arial"/>
                <w:color w:val="000000"/>
                <w:sz w:val="16"/>
                <w:szCs w:val="16"/>
                <w:lang w:eastAsia="en-AU"/>
              </w:rPr>
            </w:pPr>
          </w:p>
        </w:tc>
        <w:tc>
          <w:tcPr>
            <w:tcW w:w="0" w:type="auto"/>
            <w:shd w:val="clear" w:color="auto" w:fill="auto"/>
            <w:vAlign w:val="center"/>
            <w:hideMark/>
          </w:tcPr>
          <w:p w14:paraId="6DB4F3E6" w14:textId="77777777" w:rsidR="00422A90" w:rsidRPr="00677C2C" w:rsidRDefault="00B96CA1" w:rsidP="00422A90">
            <w:pPr>
              <w:spacing w:line="240" w:lineRule="auto"/>
              <w:rPr>
                <w:rFonts w:cs="Arial"/>
                <w:color w:val="0000FF"/>
                <w:sz w:val="16"/>
                <w:szCs w:val="16"/>
                <w:u w:val="single"/>
                <w:lang w:eastAsia="en-AU"/>
              </w:rPr>
            </w:pPr>
            <w:hyperlink r:id="rId30" w:history="1">
              <w:r w:rsidR="00422A90" w:rsidRPr="00677C2C">
                <w:rPr>
                  <w:rFonts w:cs="Arial"/>
                  <w:color w:val="0000FF"/>
                  <w:sz w:val="16"/>
                  <w:szCs w:val="16"/>
                  <w:u w:val="single"/>
                  <w:lang w:eastAsia="en-AU"/>
                </w:rPr>
                <w:t>ARC Industrial Transformation Research Hubs</w:t>
              </w:r>
            </w:hyperlink>
          </w:p>
        </w:tc>
        <w:tc>
          <w:tcPr>
            <w:tcW w:w="0" w:type="auto"/>
            <w:shd w:val="clear" w:color="auto" w:fill="auto"/>
            <w:vAlign w:val="center"/>
            <w:hideMark/>
          </w:tcPr>
          <w:p w14:paraId="51FDC2E1" w14:textId="77777777" w:rsidR="00422A90" w:rsidRPr="00677C2C" w:rsidRDefault="00422A90" w:rsidP="00422A90">
            <w:pPr>
              <w:rPr>
                <w:rFonts w:cs="Arial"/>
                <w:color w:val="000000"/>
                <w:sz w:val="16"/>
                <w:szCs w:val="16"/>
                <w:lang w:eastAsia="en-AU"/>
              </w:rPr>
            </w:pPr>
            <w:r w:rsidRPr="00677C2C">
              <w:rPr>
                <w:rFonts w:cs="Arial"/>
                <w:color w:val="000000"/>
                <w:sz w:val="16"/>
                <w:szCs w:val="16"/>
                <w:lang w:eastAsia="en-AU"/>
              </w:rPr>
              <w:t>Engages researchers in issues facing the new industrial economies and training the future workforce by supporting collaboration between Australian universities and industry.</w:t>
            </w:r>
          </w:p>
        </w:tc>
        <w:tc>
          <w:tcPr>
            <w:tcW w:w="0" w:type="auto"/>
            <w:shd w:val="clear" w:color="auto" w:fill="auto"/>
            <w:noWrap/>
            <w:vAlign w:val="center"/>
            <w:hideMark/>
          </w:tcPr>
          <w:p w14:paraId="0F2A030A"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59C34D2E"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3474C08B" w14:textId="77777777" w:rsidR="00422A90" w:rsidRPr="00CD2DAC" w:rsidRDefault="00CD2DAC" w:rsidP="00057762">
            <w:pPr>
              <w:spacing w:line="240" w:lineRule="auto"/>
              <w:jc w:val="center"/>
              <w:rPr>
                <w:rFonts w:cs="Arial"/>
                <w:color w:val="008000"/>
                <w:lang w:eastAsia="en-AU"/>
              </w:rPr>
            </w:pPr>
            <w:r w:rsidRPr="00CD2DAC">
              <w:rPr>
                <w:rFonts w:cs="Arial"/>
                <w:color w:val="008000"/>
                <w:lang w:eastAsia="en-AU"/>
              </w:rPr>
              <w:sym w:font="Wingdings" w:char="F06E"/>
            </w:r>
          </w:p>
        </w:tc>
        <w:tc>
          <w:tcPr>
            <w:tcW w:w="0" w:type="auto"/>
            <w:shd w:val="clear" w:color="auto" w:fill="auto"/>
            <w:noWrap/>
            <w:vAlign w:val="center"/>
            <w:hideMark/>
          </w:tcPr>
          <w:p w14:paraId="7E0B5E5F" w14:textId="77777777" w:rsidR="00422A90"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15306677"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7CD791C2" w14:textId="77777777" w:rsidR="00422A90"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74FFB7F5" w14:textId="77777777" w:rsidR="00422A90"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11413535" w14:textId="77777777" w:rsidR="00422A90"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0DA2E7D5"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3DA484FC" w14:textId="77777777" w:rsidR="00422A90"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r>
      <w:tr w:rsidR="00422A90" w:rsidRPr="00677C2C" w14:paraId="1D6AC266" w14:textId="77777777" w:rsidTr="00057762">
        <w:trPr>
          <w:trHeight w:val="827"/>
        </w:trPr>
        <w:tc>
          <w:tcPr>
            <w:tcW w:w="0" w:type="auto"/>
            <w:vMerge/>
            <w:vAlign w:val="center"/>
            <w:hideMark/>
          </w:tcPr>
          <w:p w14:paraId="574F95EE" w14:textId="77777777" w:rsidR="00422A90" w:rsidRPr="00677C2C" w:rsidRDefault="00422A90" w:rsidP="00422A90">
            <w:pPr>
              <w:spacing w:line="240" w:lineRule="auto"/>
              <w:rPr>
                <w:rFonts w:cs="Arial"/>
                <w:color w:val="000000"/>
                <w:sz w:val="16"/>
                <w:szCs w:val="16"/>
                <w:lang w:eastAsia="en-AU"/>
              </w:rPr>
            </w:pPr>
          </w:p>
        </w:tc>
        <w:tc>
          <w:tcPr>
            <w:tcW w:w="0" w:type="auto"/>
            <w:shd w:val="clear" w:color="auto" w:fill="auto"/>
            <w:vAlign w:val="center"/>
            <w:hideMark/>
          </w:tcPr>
          <w:p w14:paraId="2337A7B3" w14:textId="77777777" w:rsidR="00422A90" w:rsidRPr="00677C2C" w:rsidRDefault="00B96CA1" w:rsidP="00422A90">
            <w:pPr>
              <w:spacing w:line="240" w:lineRule="auto"/>
              <w:rPr>
                <w:rFonts w:cs="Arial"/>
                <w:color w:val="0000FF"/>
                <w:sz w:val="16"/>
                <w:szCs w:val="16"/>
                <w:u w:val="single"/>
                <w:lang w:eastAsia="en-AU"/>
              </w:rPr>
            </w:pPr>
            <w:hyperlink r:id="rId31" w:history="1">
              <w:r w:rsidR="00422A90" w:rsidRPr="00677C2C">
                <w:rPr>
                  <w:rFonts w:cs="Arial"/>
                  <w:color w:val="0000FF"/>
                  <w:sz w:val="16"/>
                  <w:szCs w:val="16"/>
                  <w:u w:val="single"/>
                  <w:lang w:eastAsia="en-AU"/>
                </w:rPr>
                <w:t>Industrial Transformation Research Centres</w:t>
              </w:r>
            </w:hyperlink>
          </w:p>
        </w:tc>
        <w:tc>
          <w:tcPr>
            <w:tcW w:w="0" w:type="auto"/>
            <w:shd w:val="clear" w:color="auto" w:fill="auto"/>
            <w:vAlign w:val="center"/>
            <w:hideMark/>
          </w:tcPr>
          <w:p w14:paraId="29294882" w14:textId="77777777" w:rsidR="00422A90" w:rsidRPr="00677C2C" w:rsidRDefault="00422A90" w:rsidP="00422A90">
            <w:pPr>
              <w:rPr>
                <w:rFonts w:cs="Arial"/>
                <w:color w:val="000000"/>
                <w:sz w:val="16"/>
                <w:szCs w:val="16"/>
                <w:lang w:eastAsia="en-AU"/>
              </w:rPr>
            </w:pPr>
            <w:r w:rsidRPr="00677C2C">
              <w:rPr>
                <w:rFonts w:cs="Arial"/>
                <w:color w:val="000000"/>
                <w:sz w:val="16"/>
                <w:szCs w:val="16"/>
                <w:lang w:eastAsia="en-AU"/>
              </w:rPr>
              <w:t>Fosters partnerships between university researchers and other research end-users to provide Higher Degree by Research and postdoctoral training for industries vital to Australia's future.</w:t>
            </w:r>
          </w:p>
        </w:tc>
        <w:tc>
          <w:tcPr>
            <w:tcW w:w="0" w:type="auto"/>
            <w:shd w:val="clear" w:color="auto" w:fill="auto"/>
            <w:noWrap/>
            <w:vAlign w:val="center"/>
            <w:hideMark/>
          </w:tcPr>
          <w:p w14:paraId="2FCF6BD5"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4368A498" w14:textId="77777777" w:rsidR="00422A90"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207F295F"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4962E64C"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7229C1B4"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46F91D43" w14:textId="77777777" w:rsidR="00422A90"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5DE46B61" w14:textId="77777777" w:rsidR="00422A90"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1EF8527D"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37814E9E"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76B1C8A1" w14:textId="77777777" w:rsidR="00422A90"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r>
      <w:tr w:rsidR="00422A90" w:rsidRPr="00677C2C" w14:paraId="61BDEFC0" w14:textId="77777777" w:rsidTr="00057762">
        <w:trPr>
          <w:trHeight w:val="570"/>
        </w:trPr>
        <w:tc>
          <w:tcPr>
            <w:tcW w:w="0" w:type="auto"/>
            <w:vMerge w:val="restart"/>
            <w:shd w:val="clear" w:color="auto" w:fill="auto"/>
            <w:vAlign w:val="center"/>
            <w:hideMark/>
          </w:tcPr>
          <w:p w14:paraId="23B08AEA" w14:textId="77777777" w:rsidR="00422A90" w:rsidRPr="00677C2C" w:rsidRDefault="00422A90" w:rsidP="00422A90">
            <w:pPr>
              <w:spacing w:line="240" w:lineRule="auto"/>
              <w:jc w:val="center"/>
              <w:rPr>
                <w:rFonts w:cs="Arial"/>
                <w:color w:val="000000"/>
                <w:sz w:val="16"/>
                <w:szCs w:val="16"/>
                <w:lang w:eastAsia="en-AU"/>
              </w:rPr>
            </w:pPr>
            <w:r w:rsidRPr="00677C2C">
              <w:rPr>
                <w:rFonts w:cs="Arial"/>
                <w:color w:val="000000"/>
                <w:sz w:val="16"/>
                <w:szCs w:val="16"/>
                <w:lang w:eastAsia="en-AU"/>
              </w:rPr>
              <w:t>Defence</w:t>
            </w:r>
          </w:p>
        </w:tc>
        <w:tc>
          <w:tcPr>
            <w:tcW w:w="0" w:type="auto"/>
            <w:shd w:val="clear" w:color="auto" w:fill="auto"/>
            <w:vAlign w:val="center"/>
            <w:hideMark/>
          </w:tcPr>
          <w:p w14:paraId="46CDEDE7" w14:textId="77777777" w:rsidR="00422A90" w:rsidRPr="00677C2C" w:rsidRDefault="00B96CA1" w:rsidP="00422A90">
            <w:pPr>
              <w:spacing w:line="240" w:lineRule="auto"/>
              <w:rPr>
                <w:rFonts w:cs="Arial"/>
                <w:color w:val="0000FF"/>
                <w:sz w:val="16"/>
                <w:szCs w:val="16"/>
                <w:u w:val="single"/>
                <w:lang w:eastAsia="en-AU"/>
              </w:rPr>
            </w:pPr>
            <w:hyperlink r:id="rId32" w:history="1">
              <w:r w:rsidR="00422A90" w:rsidRPr="00677C2C">
                <w:rPr>
                  <w:rFonts w:cs="Arial"/>
                  <w:color w:val="0000FF"/>
                  <w:sz w:val="16"/>
                  <w:szCs w:val="16"/>
                  <w:u w:val="single"/>
                  <w:lang w:eastAsia="en-AU"/>
                </w:rPr>
                <w:t>Defence Future Capability Technology Centre</w:t>
              </w:r>
            </w:hyperlink>
          </w:p>
        </w:tc>
        <w:tc>
          <w:tcPr>
            <w:tcW w:w="0" w:type="auto"/>
            <w:shd w:val="clear" w:color="auto" w:fill="auto"/>
            <w:vAlign w:val="center"/>
            <w:hideMark/>
          </w:tcPr>
          <w:p w14:paraId="652C87EA" w14:textId="77777777" w:rsidR="00422A90" w:rsidRPr="00677C2C" w:rsidRDefault="00422A90" w:rsidP="00422A90">
            <w:pPr>
              <w:rPr>
                <w:rFonts w:cs="Arial"/>
                <w:color w:val="000000"/>
                <w:sz w:val="16"/>
                <w:szCs w:val="16"/>
                <w:lang w:eastAsia="en-AU"/>
              </w:rPr>
            </w:pPr>
            <w:r w:rsidRPr="00677C2C">
              <w:rPr>
                <w:rFonts w:cs="Arial"/>
                <w:color w:val="000000"/>
                <w:sz w:val="16"/>
                <w:szCs w:val="16"/>
                <w:lang w:eastAsia="en-AU"/>
              </w:rPr>
              <w:t>Set up to increase R&amp;D collaboration between Defence, industry and researchers. Managed through the CRC Programme.</w:t>
            </w:r>
          </w:p>
        </w:tc>
        <w:tc>
          <w:tcPr>
            <w:tcW w:w="0" w:type="auto"/>
            <w:shd w:val="clear" w:color="auto" w:fill="auto"/>
            <w:noWrap/>
            <w:vAlign w:val="center"/>
            <w:hideMark/>
          </w:tcPr>
          <w:p w14:paraId="78670368"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22FAA019"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03DCA78B"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43142569" w14:textId="77777777" w:rsidR="00422A90" w:rsidRPr="00AE6792" w:rsidRDefault="00527F52" w:rsidP="00057762">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76EC0389"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5750892B"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47AB0DC3"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083BD533" w14:textId="77777777" w:rsidR="00422A90" w:rsidRPr="00AE6792" w:rsidRDefault="00527F52" w:rsidP="00057762">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7A6EB375"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03E7769C" w14:textId="77777777" w:rsidR="00422A90" w:rsidRPr="00AE6792" w:rsidRDefault="00527F52" w:rsidP="00057762">
            <w:pPr>
              <w:spacing w:line="240" w:lineRule="auto"/>
              <w:jc w:val="center"/>
              <w:rPr>
                <w:rFonts w:cs="Arial"/>
                <w:color w:val="00B0F0"/>
                <w:lang w:eastAsia="en-AU"/>
              </w:rPr>
            </w:pPr>
            <w:r w:rsidRPr="00527F52">
              <w:rPr>
                <w:rFonts w:cs="Arial"/>
                <w:color w:val="007FAA"/>
                <w:lang w:eastAsia="en-AU"/>
              </w:rPr>
              <w:sym w:font="Wingdings" w:char="F06C"/>
            </w:r>
          </w:p>
        </w:tc>
      </w:tr>
      <w:tr w:rsidR="00422A90" w:rsidRPr="00677C2C" w14:paraId="64ABE752" w14:textId="77777777" w:rsidTr="00057762">
        <w:trPr>
          <w:trHeight w:val="975"/>
        </w:trPr>
        <w:tc>
          <w:tcPr>
            <w:tcW w:w="0" w:type="auto"/>
            <w:vMerge/>
            <w:vAlign w:val="center"/>
            <w:hideMark/>
          </w:tcPr>
          <w:p w14:paraId="4EA3719D" w14:textId="77777777" w:rsidR="00422A90" w:rsidRPr="00677C2C" w:rsidRDefault="00422A90" w:rsidP="00422A90">
            <w:pPr>
              <w:spacing w:line="240" w:lineRule="auto"/>
              <w:rPr>
                <w:rFonts w:cs="Arial"/>
                <w:color w:val="000000"/>
                <w:sz w:val="16"/>
                <w:szCs w:val="16"/>
                <w:lang w:eastAsia="en-AU"/>
              </w:rPr>
            </w:pPr>
          </w:p>
        </w:tc>
        <w:tc>
          <w:tcPr>
            <w:tcW w:w="0" w:type="auto"/>
            <w:shd w:val="clear" w:color="auto" w:fill="auto"/>
            <w:vAlign w:val="center"/>
            <w:hideMark/>
          </w:tcPr>
          <w:p w14:paraId="6F4A7E35" w14:textId="77777777" w:rsidR="00422A90" w:rsidRPr="00677C2C" w:rsidRDefault="00B96CA1" w:rsidP="00422A90">
            <w:pPr>
              <w:spacing w:line="240" w:lineRule="auto"/>
              <w:rPr>
                <w:rFonts w:cs="Arial"/>
                <w:color w:val="0000FF"/>
                <w:sz w:val="16"/>
                <w:szCs w:val="16"/>
                <w:u w:val="single"/>
                <w:lang w:eastAsia="en-AU"/>
              </w:rPr>
            </w:pPr>
            <w:hyperlink r:id="rId33" w:history="1">
              <w:r w:rsidR="00422A90" w:rsidRPr="00677C2C">
                <w:rPr>
                  <w:rFonts w:cs="Arial"/>
                  <w:color w:val="0000FF"/>
                  <w:sz w:val="16"/>
                  <w:szCs w:val="16"/>
                  <w:u w:val="single"/>
                  <w:lang w:eastAsia="en-AU"/>
                </w:rPr>
                <w:t>New Air Combat Capability - Industry Support Program</w:t>
              </w:r>
            </w:hyperlink>
          </w:p>
        </w:tc>
        <w:tc>
          <w:tcPr>
            <w:tcW w:w="0" w:type="auto"/>
            <w:shd w:val="clear" w:color="auto" w:fill="auto"/>
            <w:vAlign w:val="center"/>
            <w:hideMark/>
          </w:tcPr>
          <w:p w14:paraId="17D89FDB" w14:textId="77777777" w:rsidR="00422A90" w:rsidRPr="00677C2C" w:rsidRDefault="00422A90" w:rsidP="00422A90">
            <w:pPr>
              <w:rPr>
                <w:rFonts w:cs="Arial"/>
                <w:color w:val="000000"/>
                <w:sz w:val="16"/>
                <w:szCs w:val="16"/>
                <w:lang w:eastAsia="en-AU"/>
              </w:rPr>
            </w:pPr>
            <w:r w:rsidRPr="00677C2C">
              <w:rPr>
                <w:rFonts w:cs="Arial"/>
                <w:color w:val="000000"/>
                <w:sz w:val="16"/>
                <w:szCs w:val="16"/>
                <w:lang w:eastAsia="en-AU"/>
              </w:rPr>
              <w:t>Assists defence industry businesses with improving their capability, competitiveness and capacity for innovation with regard to the Joint Strike Fighter (JSF) project. Stream C grants open to research organisations. (Delivered by AusIndustry)</w:t>
            </w:r>
          </w:p>
        </w:tc>
        <w:tc>
          <w:tcPr>
            <w:tcW w:w="0" w:type="auto"/>
            <w:shd w:val="clear" w:color="auto" w:fill="auto"/>
            <w:noWrap/>
            <w:vAlign w:val="center"/>
            <w:hideMark/>
          </w:tcPr>
          <w:p w14:paraId="6C795DE9"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0714AD2F" w14:textId="77777777" w:rsidR="00422A90" w:rsidRPr="00AE6792" w:rsidRDefault="00527F52" w:rsidP="00057762">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3F448904"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434926FC"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686964CA"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2E4C9205" w14:textId="77777777" w:rsidR="00422A90" w:rsidRPr="00AE6792" w:rsidRDefault="00527F52" w:rsidP="00057762">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4A8A8E3A"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407F1AB1"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672FC70C" w14:textId="77777777" w:rsidR="00422A90" w:rsidRPr="00AE6792" w:rsidRDefault="00527F52" w:rsidP="00057762">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2EF413E4" w14:textId="77777777" w:rsidR="00422A90" w:rsidRPr="00AE6792" w:rsidRDefault="00527F52" w:rsidP="00057762">
            <w:pPr>
              <w:spacing w:line="240" w:lineRule="auto"/>
              <w:jc w:val="center"/>
              <w:rPr>
                <w:rFonts w:cs="Arial"/>
                <w:color w:val="00B0F0"/>
                <w:lang w:eastAsia="en-AU"/>
              </w:rPr>
            </w:pPr>
            <w:r w:rsidRPr="00527F52">
              <w:rPr>
                <w:rFonts w:cs="Arial"/>
                <w:color w:val="007FAA"/>
                <w:lang w:eastAsia="en-AU"/>
              </w:rPr>
              <w:sym w:font="Wingdings" w:char="F06C"/>
            </w:r>
          </w:p>
        </w:tc>
      </w:tr>
      <w:tr w:rsidR="00677C2C" w:rsidRPr="00677C2C" w14:paraId="089CE176" w14:textId="77777777" w:rsidTr="00057762">
        <w:trPr>
          <w:trHeight w:val="833"/>
        </w:trPr>
        <w:tc>
          <w:tcPr>
            <w:tcW w:w="0" w:type="auto"/>
            <w:vMerge w:val="restart"/>
            <w:shd w:val="clear" w:color="auto" w:fill="auto"/>
            <w:vAlign w:val="center"/>
            <w:hideMark/>
          </w:tcPr>
          <w:p w14:paraId="31D6184C" w14:textId="77777777" w:rsidR="00677C2C" w:rsidRPr="00677C2C" w:rsidRDefault="00677C2C" w:rsidP="00677C2C">
            <w:pPr>
              <w:spacing w:line="240" w:lineRule="auto"/>
              <w:jc w:val="center"/>
              <w:rPr>
                <w:rFonts w:cs="Arial"/>
                <w:color w:val="000000"/>
                <w:sz w:val="16"/>
                <w:szCs w:val="16"/>
                <w:lang w:eastAsia="en-AU"/>
              </w:rPr>
            </w:pPr>
            <w:r w:rsidRPr="00677C2C">
              <w:rPr>
                <w:rFonts w:cs="Arial"/>
                <w:color w:val="000000"/>
                <w:sz w:val="16"/>
                <w:szCs w:val="16"/>
                <w:lang w:eastAsia="en-AU"/>
              </w:rPr>
              <w:t>Health</w:t>
            </w:r>
          </w:p>
        </w:tc>
        <w:tc>
          <w:tcPr>
            <w:tcW w:w="0" w:type="auto"/>
            <w:shd w:val="clear" w:color="auto" w:fill="auto"/>
            <w:vAlign w:val="center"/>
            <w:hideMark/>
          </w:tcPr>
          <w:p w14:paraId="7D6ED779" w14:textId="77777777" w:rsidR="00677C2C" w:rsidRPr="00677C2C" w:rsidRDefault="00B96CA1" w:rsidP="00422A90">
            <w:pPr>
              <w:spacing w:line="240" w:lineRule="auto"/>
              <w:rPr>
                <w:rFonts w:cs="Arial"/>
                <w:color w:val="0000FF"/>
                <w:sz w:val="16"/>
                <w:szCs w:val="16"/>
                <w:u w:val="single"/>
                <w:lang w:eastAsia="en-AU"/>
              </w:rPr>
            </w:pPr>
            <w:hyperlink r:id="rId34" w:history="1">
              <w:r w:rsidR="00677C2C" w:rsidRPr="00677C2C">
                <w:rPr>
                  <w:rFonts w:cs="Arial"/>
                  <w:color w:val="0000FF"/>
                  <w:sz w:val="16"/>
                  <w:szCs w:val="16"/>
                  <w:u w:val="single"/>
                  <w:lang w:eastAsia="en-AU"/>
                </w:rPr>
                <w:t>NHMRC Centres of Research Excellence (CRE) - including CRE with Partner Organisations</w:t>
              </w:r>
            </w:hyperlink>
          </w:p>
        </w:tc>
        <w:tc>
          <w:tcPr>
            <w:tcW w:w="0" w:type="auto"/>
            <w:shd w:val="clear" w:color="auto" w:fill="auto"/>
            <w:vAlign w:val="center"/>
            <w:hideMark/>
          </w:tcPr>
          <w:p w14:paraId="204D422F" w14:textId="77777777" w:rsidR="00677C2C" w:rsidRPr="00677C2C" w:rsidRDefault="00677C2C" w:rsidP="00422A90">
            <w:pPr>
              <w:rPr>
                <w:rFonts w:cs="Arial"/>
                <w:color w:val="000000"/>
                <w:sz w:val="16"/>
                <w:szCs w:val="16"/>
                <w:lang w:eastAsia="en-AU"/>
              </w:rPr>
            </w:pPr>
            <w:r w:rsidRPr="00677C2C">
              <w:rPr>
                <w:rFonts w:cs="Arial"/>
                <w:color w:val="000000"/>
                <w:sz w:val="16"/>
                <w:szCs w:val="16"/>
                <w:lang w:eastAsia="en-AU"/>
              </w:rPr>
              <w:t>Support (inter alia) the conduct and development of innovative, high quality, collaborative research, and promote effective translation of research into health policy and/or practice.</w:t>
            </w:r>
          </w:p>
        </w:tc>
        <w:tc>
          <w:tcPr>
            <w:tcW w:w="0" w:type="auto"/>
            <w:shd w:val="clear" w:color="auto" w:fill="auto"/>
            <w:noWrap/>
            <w:vAlign w:val="center"/>
            <w:hideMark/>
          </w:tcPr>
          <w:p w14:paraId="4EF0B6E7"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03A58DBE"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013B72FE" w14:textId="77777777" w:rsidR="00677C2C" w:rsidRPr="00AE6792" w:rsidRDefault="00527F52" w:rsidP="00057762">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60B719E4"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6B6932B1"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3DCAA710"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2277E6E8" w14:textId="77777777" w:rsidR="00677C2C" w:rsidRPr="00AE6792" w:rsidRDefault="00527F52" w:rsidP="00057762">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6CE220CE"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3A116676"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48949ECC" w14:textId="77777777" w:rsidR="00677C2C" w:rsidRPr="00AE6792" w:rsidRDefault="00527F52" w:rsidP="00057762">
            <w:pPr>
              <w:spacing w:line="240" w:lineRule="auto"/>
              <w:jc w:val="center"/>
              <w:rPr>
                <w:rFonts w:cs="Arial"/>
                <w:color w:val="00B0F0"/>
                <w:lang w:eastAsia="en-AU"/>
              </w:rPr>
            </w:pPr>
            <w:r w:rsidRPr="00527F52">
              <w:rPr>
                <w:rFonts w:cs="Arial"/>
                <w:color w:val="007FAA"/>
                <w:lang w:eastAsia="en-AU"/>
              </w:rPr>
              <w:sym w:font="Wingdings" w:char="F06C"/>
            </w:r>
          </w:p>
        </w:tc>
      </w:tr>
      <w:tr w:rsidR="00677C2C" w:rsidRPr="00677C2C" w14:paraId="3C320DA4" w14:textId="77777777" w:rsidTr="00057762">
        <w:trPr>
          <w:trHeight w:val="987"/>
        </w:trPr>
        <w:tc>
          <w:tcPr>
            <w:tcW w:w="0" w:type="auto"/>
            <w:vMerge/>
            <w:shd w:val="clear" w:color="auto" w:fill="auto"/>
            <w:vAlign w:val="center"/>
            <w:hideMark/>
          </w:tcPr>
          <w:p w14:paraId="05822E2F" w14:textId="77777777" w:rsidR="00677C2C" w:rsidRPr="00677C2C" w:rsidRDefault="00677C2C" w:rsidP="00422A90">
            <w:pPr>
              <w:spacing w:line="240" w:lineRule="auto"/>
              <w:jc w:val="center"/>
              <w:rPr>
                <w:rFonts w:cs="Arial"/>
                <w:color w:val="000000"/>
                <w:sz w:val="16"/>
                <w:szCs w:val="16"/>
                <w:lang w:eastAsia="en-AU"/>
              </w:rPr>
            </w:pPr>
          </w:p>
        </w:tc>
        <w:tc>
          <w:tcPr>
            <w:tcW w:w="0" w:type="auto"/>
            <w:shd w:val="clear" w:color="auto" w:fill="auto"/>
            <w:vAlign w:val="center"/>
            <w:hideMark/>
          </w:tcPr>
          <w:p w14:paraId="6E326B08" w14:textId="77777777" w:rsidR="00677C2C" w:rsidRPr="00677C2C" w:rsidRDefault="00B96CA1" w:rsidP="00422A90">
            <w:pPr>
              <w:spacing w:line="240" w:lineRule="auto"/>
              <w:rPr>
                <w:rFonts w:cs="Arial"/>
                <w:color w:val="0000FF"/>
                <w:sz w:val="16"/>
                <w:szCs w:val="16"/>
                <w:u w:val="single"/>
                <w:lang w:eastAsia="en-AU"/>
              </w:rPr>
            </w:pPr>
            <w:hyperlink r:id="rId35" w:history="1">
              <w:r w:rsidR="00677C2C" w:rsidRPr="00677C2C">
                <w:rPr>
                  <w:rFonts w:cs="Arial"/>
                  <w:color w:val="0000FF"/>
                  <w:sz w:val="16"/>
                  <w:szCs w:val="16"/>
                  <w:u w:val="single"/>
                  <w:lang w:eastAsia="en-AU"/>
                </w:rPr>
                <w:t>Career Development Fellowship - including Industry Career Development Fellowships</w:t>
              </w:r>
            </w:hyperlink>
          </w:p>
        </w:tc>
        <w:tc>
          <w:tcPr>
            <w:tcW w:w="0" w:type="auto"/>
            <w:shd w:val="clear" w:color="auto" w:fill="auto"/>
            <w:vAlign w:val="center"/>
            <w:hideMark/>
          </w:tcPr>
          <w:p w14:paraId="1F410752" w14:textId="77777777" w:rsidR="00677C2C" w:rsidRPr="00677C2C" w:rsidRDefault="00677C2C" w:rsidP="00422A90">
            <w:pPr>
              <w:rPr>
                <w:rFonts w:cs="Arial"/>
                <w:color w:val="000000"/>
                <w:sz w:val="16"/>
                <w:szCs w:val="16"/>
                <w:lang w:eastAsia="en-AU"/>
              </w:rPr>
            </w:pPr>
            <w:r w:rsidRPr="00677C2C">
              <w:rPr>
                <w:rFonts w:cs="Arial"/>
                <w:color w:val="000000"/>
                <w:sz w:val="16"/>
                <w:szCs w:val="16"/>
                <w:lang w:eastAsia="en-AU"/>
              </w:rPr>
              <w:t>Aims to (in part) encourage the growth of knowledge-based industries in Australia by helping to bridge the gap between research and industry and fostering an environment that values industry achievement</w:t>
            </w:r>
          </w:p>
        </w:tc>
        <w:tc>
          <w:tcPr>
            <w:tcW w:w="0" w:type="auto"/>
            <w:shd w:val="clear" w:color="auto" w:fill="auto"/>
            <w:noWrap/>
            <w:vAlign w:val="center"/>
            <w:hideMark/>
          </w:tcPr>
          <w:p w14:paraId="1CC2A08B"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7195C078"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1905C2D8" w14:textId="77777777" w:rsidR="00677C2C" w:rsidRPr="00AE6792" w:rsidRDefault="00527F52" w:rsidP="00057762">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0D1086B4"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4E0C5DA3" w14:textId="77777777" w:rsidR="00677C2C" w:rsidRPr="00AE6792" w:rsidRDefault="00527F52" w:rsidP="00057762">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4B712389" w14:textId="77777777" w:rsidR="00677C2C" w:rsidRPr="00AE6792" w:rsidRDefault="00677C2C" w:rsidP="00057762">
            <w:pPr>
              <w:spacing w:line="240" w:lineRule="auto"/>
              <w:jc w:val="center"/>
              <w:rPr>
                <w:rFonts w:cs="Arial"/>
                <w:i/>
                <w:iCs/>
                <w:color w:val="000000"/>
                <w:lang w:eastAsia="en-AU"/>
              </w:rPr>
            </w:pPr>
          </w:p>
        </w:tc>
        <w:tc>
          <w:tcPr>
            <w:tcW w:w="0" w:type="auto"/>
            <w:shd w:val="clear" w:color="auto" w:fill="auto"/>
            <w:noWrap/>
            <w:vAlign w:val="center"/>
            <w:hideMark/>
          </w:tcPr>
          <w:p w14:paraId="4E6D1922"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4A6A0970"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60F8F097"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4932C811" w14:textId="77777777" w:rsidR="00677C2C" w:rsidRPr="00AE6792" w:rsidRDefault="00677C2C" w:rsidP="00057762">
            <w:pPr>
              <w:spacing w:line="240" w:lineRule="auto"/>
              <w:jc w:val="center"/>
              <w:rPr>
                <w:rFonts w:cs="Arial"/>
                <w:i/>
                <w:iCs/>
                <w:color w:val="92D050"/>
                <w:lang w:eastAsia="en-AU"/>
              </w:rPr>
            </w:pPr>
          </w:p>
        </w:tc>
      </w:tr>
      <w:tr w:rsidR="00677C2C" w:rsidRPr="00677C2C" w14:paraId="3CBE542E" w14:textId="77777777" w:rsidTr="00057762">
        <w:trPr>
          <w:trHeight w:val="846"/>
        </w:trPr>
        <w:tc>
          <w:tcPr>
            <w:tcW w:w="0" w:type="auto"/>
            <w:vMerge w:val="restart"/>
            <w:shd w:val="clear" w:color="auto" w:fill="auto"/>
            <w:vAlign w:val="center"/>
            <w:hideMark/>
          </w:tcPr>
          <w:p w14:paraId="674221C5" w14:textId="77777777" w:rsidR="00677C2C" w:rsidRPr="00677C2C" w:rsidRDefault="00677C2C" w:rsidP="00422A90">
            <w:pPr>
              <w:spacing w:line="240" w:lineRule="auto"/>
              <w:jc w:val="center"/>
              <w:rPr>
                <w:rFonts w:cs="Arial"/>
                <w:color w:val="000000"/>
                <w:sz w:val="16"/>
                <w:szCs w:val="16"/>
                <w:lang w:eastAsia="en-AU"/>
              </w:rPr>
            </w:pPr>
            <w:r w:rsidRPr="00677C2C">
              <w:rPr>
                <w:rFonts w:cs="Arial"/>
                <w:color w:val="000000"/>
                <w:sz w:val="16"/>
                <w:szCs w:val="16"/>
                <w:lang w:eastAsia="en-AU"/>
              </w:rPr>
              <w:t>Health</w:t>
            </w:r>
          </w:p>
        </w:tc>
        <w:tc>
          <w:tcPr>
            <w:tcW w:w="0" w:type="auto"/>
            <w:shd w:val="clear" w:color="auto" w:fill="auto"/>
            <w:vAlign w:val="center"/>
            <w:hideMark/>
          </w:tcPr>
          <w:p w14:paraId="6F16708F" w14:textId="77777777" w:rsidR="00677C2C" w:rsidRPr="00677C2C" w:rsidRDefault="00B96CA1" w:rsidP="00422A90">
            <w:pPr>
              <w:spacing w:line="240" w:lineRule="auto"/>
              <w:rPr>
                <w:rFonts w:cs="Arial"/>
                <w:color w:val="0000FF"/>
                <w:sz w:val="16"/>
                <w:szCs w:val="16"/>
                <w:u w:val="single"/>
                <w:lang w:eastAsia="en-AU"/>
              </w:rPr>
            </w:pPr>
            <w:hyperlink r:id="rId36" w:history="1">
              <w:r w:rsidR="00677C2C" w:rsidRPr="00677C2C">
                <w:rPr>
                  <w:rFonts w:cs="Arial"/>
                  <w:color w:val="0000FF"/>
                  <w:sz w:val="16"/>
                  <w:szCs w:val="16"/>
                  <w:u w:val="single"/>
                  <w:lang w:eastAsia="en-AU"/>
                </w:rPr>
                <w:t>Program Grants</w:t>
              </w:r>
            </w:hyperlink>
          </w:p>
        </w:tc>
        <w:tc>
          <w:tcPr>
            <w:tcW w:w="0" w:type="auto"/>
            <w:shd w:val="clear" w:color="auto" w:fill="auto"/>
            <w:vAlign w:val="center"/>
            <w:hideMark/>
          </w:tcPr>
          <w:p w14:paraId="4AE910AA" w14:textId="77777777" w:rsidR="00677C2C" w:rsidRPr="00677C2C" w:rsidRDefault="00677C2C" w:rsidP="00422A90">
            <w:pPr>
              <w:rPr>
                <w:rFonts w:cs="Arial"/>
                <w:color w:val="000000"/>
                <w:sz w:val="16"/>
                <w:szCs w:val="16"/>
                <w:lang w:eastAsia="en-AU"/>
              </w:rPr>
            </w:pPr>
            <w:r w:rsidRPr="00677C2C">
              <w:rPr>
                <w:rFonts w:cs="Arial"/>
                <w:color w:val="000000"/>
                <w:sz w:val="16"/>
                <w:szCs w:val="16"/>
                <w:lang w:eastAsia="en-AU"/>
              </w:rPr>
              <w:t>Provide support for teams of the highest quality researchers to pursue broadly based, collaborative research addressing complex problems.</w:t>
            </w:r>
          </w:p>
        </w:tc>
        <w:tc>
          <w:tcPr>
            <w:tcW w:w="0" w:type="auto"/>
            <w:shd w:val="clear" w:color="auto" w:fill="auto"/>
            <w:noWrap/>
            <w:vAlign w:val="center"/>
            <w:hideMark/>
          </w:tcPr>
          <w:p w14:paraId="6A312731"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7AB9700B"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370C4FC1" w14:textId="77777777" w:rsidR="00677C2C" w:rsidRPr="00AE679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6E5C7F65"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6D902F30"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4F6F3B0C"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793929E0"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21087382"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5C4402BD"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3829F590" w14:textId="77777777" w:rsidR="00677C2C" w:rsidRPr="00AE679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r>
      <w:tr w:rsidR="00677C2C" w:rsidRPr="00677C2C" w14:paraId="78C29AEA" w14:textId="77777777" w:rsidTr="00057762">
        <w:trPr>
          <w:trHeight w:val="559"/>
        </w:trPr>
        <w:tc>
          <w:tcPr>
            <w:tcW w:w="0" w:type="auto"/>
            <w:vMerge/>
            <w:shd w:val="clear" w:color="auto" w:fill="auto"/>
            <w:vAlign w:val="center"/>
            <w:hideMark/>
          </w:tcPr>
          <w:p w14:paraId="6CB02B65" w14:textId="77777777" w:rsidR="00677C2C" w:rsidRPr="00677C2C" w:rsidRDefault="00677C2C" w:rsidP="00422A90">
            <w:pPr>
              <w:spacing w:line="240" w:lineRule="auto"/>
              <w:jc w:val="center"/>
              <w:rPr>
                <w:rFonts w:cs="Arial"/>
                <w:color w:val="000000"/>
                <w:sz w:val="16"/>
                <w:szCs w:val="16"/>
                <w:lang w:eastAsia="en-AU"/>
              </w:rPr>
            </w:pPr>
          </w:p>
        </w:tc>
        <w:tc>
          <w:tcPr>
            <w:tcW w:w="0" w:type="auto"/>
            <w:shd w:val="clear" w:color="auto" w:fill="auto"/>
            <w:vAlign w:val="center"/>
            <w:hideMark/>
          </w:tcPr>
          <w:p w14:paraId="3D7DB4DB" w14:textId="77777777" w:rsidR="00677C2C" w:rsidRPr="00677C2C" w:rsidRDefault="00B96CA1" w:rsidP="00422A90">
            <w:pPr>
              <w:spacing w:line="240" w:lineRule="auto"/>
              <w:rPr>
                <w:rFonts w:cs="Arial"/>
                <w:color w:val="0000FF"/>
                <w:sz w:val="16"/>
                <w:szCs w:val="16"/>
                <w:u w:val="single"/>
                <w:lang w:eastAsia="en-AU"/>
              </w:rPr>
            </w:pPr>
            <w:hyperlink r:id="rId37" w:history="1">
              <w:r w:rsidR="00677C2C" w:rsidRPr="00677C2C">
                <w:rPr>
                  <w:rFonts w:cs="Arial"/>
                  <w:color w:val="0000FF"/>
                  <w:sz w:val="16"/>
                  <w:szCs w:val="16"/>
                  <w:u w:val="single"/>
                  <w:lang w:eastAsia="en-AU"/>
                </w:rPr>
                <w:t xml:space="preserve">Partnerships for Better Health - Partnership Projects </w:t>
              </w:r>
            </w:hyperlink>
          </w:p>
        </w:tc>
        <w:tc>
          <w:tcPr>
            <w:tcW w:w="0" w:type="auto"/>
            <w:shd w:val="clear" w:color="auto" w:fill="auto"/>
            <w:vAlign w:val="center"/>
            <w:hideMark/>
          </w:tcPr>
          <w:p w14:paraId="1A901672" w14:textId="77777777" w:rsidR="00677C2C" w:rsidRPr="00677C2C" w:rsidRDefault="00677C2C" w:rsidP="00422A90">
            <w:pPr>
              <w:rPr>
                <w:rFonts w:cs="Arial"/>
                <w:color w:val="000000"/>
                <w:sz w:val="16"/>
                <w:szCs w:val="16"/>
                <w:lang w:eastAsia="en-AU"/>
              </w:rPr>
            </w:pPr>
            <w:r w:rsidRPr="00677C2C">
              <w:rPr>
                <w:rFonts w:cs="Arial"/>
                <w:color w:val="000000"/>
                <w:sz w:val="16"/>
                <w:szCs w:val="16"/>
                <w:lang w:eastAsia="en-AU"/>
              </w:rPr>
              <w:t>Designed to meet the need for a more effective integration of evidence into health policy and service delivery.</w:t>
            </w:r>
          </w:p>
        </w:tc>
        <w:tc>
          <w:tcPr>
            <w:tcW w:w="0" w:type="auto"/>
            <w:shd w:val="clear" w:color="auto" w:fill="auto"/>
            <w:noWrap/>
            <w:vAlign w:val="center"/>
            <w:hideMark/>
          </w:tcPr>
          <w:p w14:paraId="24B9C192"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0543D3B0"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161CABA8" w14:textId="77777777" w:rsidR="00677C2C" w:rsidRPr="00AE679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64F1FFA8"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32E9AFA4"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4A03F7BA" w14:textId="77777777" w:rsidR="00677C2C" w:rsidRPr="00AE679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1543698C"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5634E491"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46317E2B"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73C21C3F" w14:textId="77777777" w:rsidR="00677C2C" w:rsidRPr="00AE679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r>
      <w:tr w:rsidR="00677C2C" w:rsidRPr="00677C2C" w14:paraId="76BF89B1" w14:textId="77777777" w:rsidTr="00057762">
        <w:trPr>
          <w:trHeight w:val="1057"/>
        </w:trPr>
        <w:tc>
          <w:tcPr>
            <w:tcW w:w="0" w:type="auto"/>
            <w:vMerge/>
            <w:shd w:val="clear" w:color="auto" w:fill="auto"/>
            <w:vAlign w:val="center"/>
            <w:hideMark/>
          </w:tcPr>
          <w:p w14:paraId="5CBDF0C7" w14:textId="77777777" w:rsidR="00677C2C" w:rsidRPr="00677C2C" w:rsidRDefault="00677C2C" w:rsidP="00422A90">
            <w:pPr>
              <w:spacing w:line="240" w:lineRule="auto"/>
              <w:jc w:val="center"/>
              <w:rPr>
                <w:rFonts w:cs="Arial"/>
                <w:color w:val="000000"/>
                <w:sz w:val="16"/>
                <w:szCs w:val="16"/>
                <w:lang w:eastAsia="en-AU"/>
              </w:rPr>
            </w:pPr>
          </w:p>
        </w:tc>
        <w:tc>
          <w:tcPr>
            <w:tcW w:w="0" w:type="auto"/>
            <w:shd w:val="clear" w:color="auto" w:fill="auto"/>
            <w:vAlign w:val="center"/>
            <w:hideMark/>
          </w:tcPr>
          <w:p w14:paraId="7DCAE02D" w14:textId="77777777" w:rsidR="00677C2C" w:rsidRPr="00677C2C" w:rsidRDefault="00B96CA1" w:rsidP="00422A90">
            <w:pPr>
              <w:spacing w:line="240" w:lineRule="auto"/>
              <w:rPr>
                <w:rFonts w:cs="Arial"/>
                <w:color w:val="0000FF"/>
                <w:sz w:val="16"/>
                <w:szCs w:val="16"/>
                <w:u w:val="single"/>
                <w:lang w:eastAsia="en-AU"/>
              </w:rPr>
            </w:pPr>
            <w:hyperlink r:id="rId38" w:history="1">
              <w:r w:rsidR="00677C2C" w:rsidRPr="00677C2C">
                <w:rPr>
                  <w:rFonts w:cs="Arial"/>
                  <w:color w:val="0000FF"/>
                  <w:sz w:val="16"/>
                  <w:szCs w:val="16"/>
                  <w:u w:val="single"/>
                  <w:lang w:eastAsia="en-AU"/>
                </w:rPr>
                <w:t>Development Grants</w:t>
              </w:r>
            </w:hyperlink>
          </w:p>
        </w:tc>
        <w:tc>
          <w:tcPr>
            <w:tcW w:w="0" w:type="auto"/>
            <w:shd w:val="clear" w:color="auto" w:fill="auto"/>
            <w:vAlign w:val="center"/>
            <w:hideMark/>
          </w:tcPr>
          <w:p w14:paraId="6B070F0A" w14:textId="77777777" w:rsidR="00677C2C" w:rsidRPr="00677C2C" w:rsidRDefault="00677C2C" w:rsidP="00422A90">
            <w:pPr>
              <w:rPr>
                <w:rFonts w:cs="Arial"/>
                <w:color w:val="000000"/>
                <w:sz w:val="16"/>
                <w:szCs w:val="16"/>
                <w:lang w:eastAsia="en-AU"/>
              </w:rPr>
            </w:pPr>
            <w:r w:rsidRPr="00677C2C">
              <w:rPr>
                <w:rFonts w:cs="Arial"/>
                <w:color w:val="000000"/>
                <w:sz w:val="16"/>
                <w:szCs w:val="16"/>
                <w:lang w:eastAsia="en-AU"/>
              </w:rPr>
              <w:t>Provides financial support to partnerships for health and medical research at the early proof of-principle or pre-seed stage. The focus is on research that has the potential to commence commercialisation within five years.</w:t>
            </w:r>
          </w:p>
        </w:tc>
        <w:tc>
          <w:tcPr>
            <w:tcW w:w="0" w:type="auto"/>
            <w:shd w:val="clear" w:color="auto" w:fill="auto"/>
            <w:noWrap/>
            <w:vAlign w:val="center"/>
            <w:hideMark/>
          </w:tcPr>
          <w:p w14:paraId="08D8D3AB"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013D034B" w14:textId="77777777" w:rsidR="00677C2C" w:rsidRPr="00AE679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1CB40241"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40C73F52"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36D50B9D"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262B4799"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65668FF2"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2AAD2F2D" w14:textId="77777777" w:rsidR="00677C2C" w:rsidRPr="00AE6792" w:rsidRDefault="00677C2C" w:rsidP="00057762">
            <w:pPr>
              <w:spacing w:line="240" w:lineRule="auto"/>
              <w:jc w:val="center"/>
              <w:rPr>
                <w:rFonts w:cs="Arial"/>
                <w:i/>
                <w:iCs/>
                <w:color w:val="92D050"/>
                <w:lang w:eastAsia="en-AU"/>
              </w:rPr>
            </w:pPr>
          </w:p>
        </w:tc>
        <w:tc>
          <w:tcPr>
            <w:tcW w:w="0" w:type="auto"/>
            <w:shd w:val="clear" w:color="auto" w:fill="auto"/>
            <w:noWrap/>
            <w:vAlign w:val="center"/>
            <w:hideMark/>
          </w:tcPr>
          <w:p w14:paraId="50F79947" w14:textId="77777777" w:rsidR="00677C2C" w:rsidRPr="00AE679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45C02105" w14:textId="77777777" w:rsidR="00677C2C" w:rsidRPr="00AE679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r>
      <w:tr w:rsidR="00422A90" w:rsidRPr="00677C2C" w14:paraId="4610867E" w14:textId="77777777" w:rsidTr="00057762">
        <w:trPr>
          <w:trHeight w:val="765"/>
        </w:trPr>
        <w:tc>
          <w:tcPr>
            <w:tcW w:w="0" w:type="auto"/>
            <w:vMerge w:val="restart"/>
            <w:shd w:val="clear" w:color="auto" w:fill="auto"/>
            <w:vAlign w:val="center"/>
            <w:hideMark/>
          </w:tcPr>
          <w:p w14:paraId="2D123314" w14:textId="77777777" w:rsidR="00422A90" w:rsidRPr="00677C2C" w:rsidRDefault="00422A90" w:rsidP="00677C2C">
            <w:pPr>
              <w:spacing w:line="240" w:lineRule="auto"/>
              <w:jc w:val="center"/>
              <w:rPr>
                <w:rFonts w:cs="Arial"/>
                <w:color w:val="000000"/>
                <w:sz w:val="16"/>
                <w:szCs w:val="16"/>
                <w:lang w:eastAsia="en-AU"/>
              </w:rPr>
            </w:pPr>
            <w:r w:rsidRPr="00677C2C">
              <w:rPr>
                <w:rFonts w:cs="Arial"/>
                <w:color w:val="000000"/>
                <w:sz w:val="16"/>
                <w:szCs w:val="16"/>
                <w:lang w:eastAsia="en-AU"/>
              </w:rPr>
              <w:t>Agri</w:t>
            </w:r>
            <w:r w:rsidR="00677C2C" w:rsidRPr="00677C2C">
              <w:rPr>
                <w:rFonts w:cs="Arial"/>
                <w:color w:val="000000"/>
                <w:sz w:val="16"/>
                <w:szCs w:val="16"/>
                <w:lang w:eastAsia="en-AU"/>
              </w:rPr>
              <w:t>culture, Fisheries and Forestry</w:t>
            </w:r>
          </w:p>
        </w:tc>
        <w:tc>
          <w:tcPr>
            <w:tcW w:w="0" w:type="auto"/>
            <w:shd w:val="clear" w:color="auto" w:fill="auto"/>
            <w:vAlign w:val="center"/>
            <w:hideMark/>
          </w:tcPr>
          <w:p w14:paraId="2E3E4FC6" w14:textId="77777777" w:rsidR="00422A90" w:rsidRPr="00677C2C" w:rsidRDefault="00B96CA1" w:rsidP="00422A90">
            <w:pPr>
              <w:spacing w:line="240" w:lineRule="auto"/>
              <w:rPr>
                <w:rFonts w:cs="Arial"/>
                <w:color w:val="0000FF"/>
                <w:sz w:val="16"/>
                <w:szCs w:val="16"/>
                <w:u w:val="single"/>
                <w:lang w:eastAsia="en-AU"/>
              </w:rPr>
            </w:pPr>
            <w:hyperlink r:id="rId39" w:history="1">
              <w:r w:rsidR="00422A90" w:rsidRPr="00677C2C">
                <w:rPr>
                  <w:rFonts w:cs="Arial"/>
                  <w:color w:val="0000FF"/>
                  <w:sz w:val="16"/>
                  <w:szCs w:val="16"/>
                  <w:u w:val="single"/>
                  <w:lang w:eastAsia="en-AU"/>
                </w:rPr>
                <w:t>Rural Research and Development Corporations</w:t>
              </w:r>
            </w:hyperlink>
          </w:p>
        </w:tc>
        <w:tc>
          <w:tcPr>
            <w:tcW w:w="0" w:type="auto"/>
            <w:shd w:val="clear" w:color="auto" w:fill="auto"/>
            <w:vAlign w:val="center"/>
            <w:hideMark/>
          </w:tcPr>
          <w:p w14:paraId="278719AD" w14:textId="77777777" w:rsidR="00422A90" w:rsidRPr="00677C2C" w:rsidRDefault="00422A90" w:rsidP="00422A90">
            <w:pPr>
              <w:rPr>
                <w:rFonts w:cs="Arial"/>
                <w:color w:val="000000"/>
                <w:sz w:val="16"/>
                <w:szCs w:val="16"/>
                <w:lang w:eastAsia="en-AU"/>
              </w:rPr>
            </w:pPr>
            <w:r w:rsidRPr="00677C2C">
              <w:rPr>
                <w:rFonts w:cs="Arial"/>
                <w:color w:val="000000"/>
                <w:sz w:val="16"/>
                <w:szCs w:val="16"/>
                <w:lang w:eastAsia="en-AU"/>
              </w:rPr>
              <w:t>A partnership between the government and industry created to share the funding and strategic direction setting for primary industry R&amp;D including investment and subsequent adoption.</w:t>
            </w:r>
          </w:p>
        </w:tc>
        <w:tc>
          <w:tcPr>
            <w:tcW w:w="0" w:type="auto"/>
            <w:shd w:val="clear" w:color="auto" w:fill="auto"/>
            <w:noWrap/>
            <w:vAlign w:val="center"/>
            <w:hideMark/>
          </w:tcPr>
          <w:p w14:paraId="04F0C4EA" w14:textId="77777777" w:rsidR="00422A90" w:rsidRPr="00AE6792" w:rsidRDefault="00422A90" w:rsidP="00057762">
            <w:pPr>
              <w:spacing w:line="240" w:lineRule="auto"/>
              <w:jc w:val="center"/>
              <w:rPr>
                <w:rFonts w:cs="Arial"/>
                <w:color w:val="000000"/>
                <w:lang w:eastAsia="en-AU"/>
              </w:rPr>
            </w:pPr>
          </w:p>
        </w:tc>
        <w:tc>
          <w:tcPr>
            <w:tcW w:w="0" w:type="auto"/>
            <w:shd w:val="clear" w:color="auto" w:fill="auto"/>
            <w:noWrap/>
            <w:vAlign w:val="center"/>
            <w:hideMark/>
          </w:tcPr>
          <w:p w14:paraId="23BEE7ED" w14:textId="77777777" w:rsidR="00422A90"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6DD43B4C" w14:textId="77777777" w:rsidR="00422A90"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01F3C867" w14:textId="77777777" w:rsidR="00422A90"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005BB937" w14:textId="77777777" w:rsidR="00422A90" w:rsidRPr="00AE6792" w:rsidRDefault="00422A90" w:rsidP="00057762">
            <w:pPr>
              <w:spacing w:line="240" w:lineRule="auto"/>
              <w:jc w:val="center"/>
              <w:rPr>
                <w:rFonts w:cs="Arial"/>
                <w:color w:val="000000"/>
                <w:lang w:eastAsia="en-AU"/>
              </w:rPr>
            </w:pPr>
          </w:p>
        </w:tc>
        <w:tc>
          <w:tcPr>
            <w:tcW w:w="0" w:type="auto"/>
            <w:shd w:val="clear" w:color="auto" w:fill="auto"/>
            <w:noWrap/>
            <w:vAlign w:val="center"/>
            <w:hideMark/>
          </w:tcPr>
          <w:p w14:paraId="59DD2363" w14:textId="77777777" w:rsidR="00422A90"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13A3647B" w14:textId="77777777" w:rsidR="00422A90"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7E526BE4" w14:textId="77777777" w:rsidR="00422A90"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3B020649" w14:textId="77777777" w:rsidR="00422A90" w:rsidRPr="00AE6792" w:rsidRDefault="00422A90" w:rsidP="00057762">
            <w:pPr>
              <w:spacing w:line="240" w:lineRule="auto"/>
              <w:jc w:val="center"/>
              <w:rPr>
                <w:rFonts w:cs="Arial"/>
                <w:color w:val="92D050"/>
                <w:lang w:eastAsia="en-AU"/>
              </w:rPr>
            </w:pPr>
          </w:p>
        </w:tc>
        <w:tc>
          <w:tcPr>
            <w:tcW w:w="0" w:type="auto"/>
            <w:shd w:val="clear" w:color="auto" w:fill="auto"/>
            <w:noWrap/>
            <w:vAlign w:val="center"/>
            <w:hideMark/>
          </w:tcPr>
          <w:p w14:paraId="57B7ED1E" w14:textId="77777777" w:rsidR="00422A90"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r>
      <w:tr w:rsidR="00422A90" w:rsidRPr="00677C2C" w14:paraId="42B20B72" w14:textId="77777777" w:rsidTr="00057762">
        <w:trPr>
          <w:trHeight w:val="510"/>
        </w:trPr>
        <w:tc>
          <w:tcPr>
            <w:tcW w:w="0" w:type="auto"/>
            <w:vMerge/>
            <w:shd w:val="clear" w:color="auto" w:fill="auto"/>
            <w:vAlign w:val="center"/>
            <w:hideMark/>
          </w:tcPr>
          <w:p w14:paraId="03046D83" w14:textId="77777777" w:rsidR="00422A90" w:rsidRPr="00677C2C" w:rsidRDefault="00422A90" w:rsidP="00422A90">
            <w:pPr>
              <w:spacing w:line="240" w:lineRule="auto"/>
              <w:jc w:val="center"/>
              <w:rPr>
                <w:rFonts w:cs="Arial"/>
                <w:color w:val="000000"/>
                <w:sz w:val="16"/>
                <w:szCs w:val="16"/>
                <w:lang w:eastAsia="en-AU"/>
              </w:rPr>
            </w:pPr>
          </w:p>
        </w:tc>
        <w:tc>
          <w:tcPr>
            <w:tcW w:w="0" w:type="auto"/>
            <w:shd w:val="clear" w:color="auto" w:fill="auto"/>
            <w:vAlign w:val="center"/>
            <w:hideMark/>
          </w:tcPr>
          <w:p w14:paraId="5BE9F6FB" w14:textId="77777777" w:rsidR="00422A90" w:rsidRPr="00677C2C" w:rsidRDefault="00B96CA1" w:rsidP="00422A90">
            <w:pPr>
              <w:spacing w:line="240" w:lineRule="auto"/>
              <w:rPr>
                <w:rFonts w:cs="Arial"/>
                <w:color w:val="0000FF"/>
                <w:sz w:val="16"/>
                <w:szCs w:val="16"/>
                <w:u w:val="single"/>
                <w:lang w:eastAsia="en-AU"/>
              </w:rPr>
            </w:pPr>
            <w:hyperlink r:id="rId40" w:history="1">
              <w:r w:rsidR="00422A90" w:rsidRPr="00677C2C">
                <w:rPr>
                  <w:rFonts w:cs="Arial"/>
                  <w:color w:val="0000FF"/>
                  <w:sz w:val="16"/>
                  <w:szCs w:val="16"/>
                  <w:u w:val="single"/>
                  <w:lang w:eastAsia="en-AU"/>
                </w:rPr>
                <w:t xml:space="preserve"> Rural Research and Development for Profit </w:t>
              </w:r>
            </w:hyperlink>
          </w:p>
        </w:tc>
        <w:tc>
          <w:tcPr>
            <w:tcW w:w="0" w:type="auto"/>
            <w:shd w:val="clear" w:color="auto" w:fill="auto"/>
            <w:vAlign w:val="center"/>
            <w:hideMark/>
          </w:tcPr>
          <w:p w14:paraId="39B4E476" w14:textId="77777777" w:rsidR="00422A90" w:rsidRPr="00677C2C" w:rsidRDefault="00422A90" w:rsidP="00422A90">
            <w:pPr>
              <w:rPr>
                <w:rFonts w:cs="Arial"/>
                <w:color w:val="000000"/>
                <w:sz w:val="16"/>
                <w:szCs w:val="16"/>
                <w:lang w:eastAsia="en-AU"/>
              </w:rPr>
            </w:pPr>
            <w:r w:rsidRPr="00677C2C">
              <w:rPr>
                <w:rFonts w:cs="Arial"/>
                <w:color w:val="000000"/>
                <w:sz w:val="16"/>
                <w:szCs w:val="16"/>
                <w:lang w:eastAsia="en-AU"/>
              </w:rPr>
              <w:t>Fund nationally coordinated, strategic research that delivers real outcomes for Australian producers. Only accessible to RRDCs.</w:t>
            </w:r>
          </w:p>
        </w:tc>
        <w:tc>
          <w:tcPr>
            <w:tcW w:w="0" w:type="auto"/>
            <w:shd w:val="clear" w:color="auto" w:fill="auto"/>
            <w:noWrap/>
            <w:vAlign w:val="center"/>
            <w:hideMark/>
          </w:tcPr>
          <w:p w14:paraId="6BAD5536" w14:textId="77777777" w:rsidR="00422A90" w:rsidRPr="00AE679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73AAEA5B" w14:textId="77777777" w:rsidR="00422A90" w:rsidRPr="00AE679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7EED9AEB" w14:textId="77777777" w:rsidR="00422A90" w:rsidRPr="00AE679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7C5D1EEE" w14:textId="77777777" w:rsidR="00422A90" w:rsidRPr="00AE6792" w:rsidRDefault="00422A90" w:rsidP="00057762">
            <w:pPr>
              <w:spacing w:line="240" w:lineRule="auto"/>
              <w:jc w:val="center"/>
              <w:rPr>
                <w:rFonts w:cs="Arial"/>
                <w:i/>
                <w:iCs/>
                <w:color w:val="92D050"/>
                <w:lang w:eastAsia="en-AU"/>
              </w:rPr>
            </w:pPr>
          </w:p>
        </w:tc>
        <w:tc>
          <w:tcPr>
            <w:tcW w:w="0" w:type="auto"/>
            <w:shd w:val="clear" w:color="auto" w:fill="auto"/>
            <w:noWrap/>
            <w:vAlign w:val="center"/>
            <w:hideMark/>
          </w:tcPr>
          <w:p w14:paraId="1B789084" w14:textId="77777777" w:rsidR="00422A90" w:rsidRPr="00AE679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7B4CDBC3" w14:textId="77777777" w:rsidR="00422A90" w:rsidRPr="00AE679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4E97B070" w14:textId="77777777" w:rsidR="00422A90" w:rsidRPr="00AE679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2C58A868" w14:textId="77777777" w:rsidR="00422A90" w:rsidRPr="00AE6792" w:rsidRDefault="00422A90" w:rsidP="00057762">
            <w:pPr>
              <w:spacing w:line="240" w:lineRule="auto"/>
              <w:jc w:val="center"/>
              <w:rPr>
                <w:rFonts w:cs="Arial"/>
                <w:color w:val="auto"/>
                <w:lang w:eastAsia="en-AU"/>
              </w:rPr>
            </w:pPr>
          </w:p>
        </w:tc>
        <w:tc>
          <w:tcPr>
            <w:tcW w:w="0" w:type="auto"/>
            <w:shd w:val="clear" w:color="auto" w:fill="auto"/>
            <w:noWrap/>
            <w:vAlign w:val="center"/>
            <w:hideMark/>
          </w:tcPr>
          <w:p w14:paraId="604170F3" w14:textId="77777777" w:rsidR="00422A90" w:rsidRPr="00AE679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49970BF1" w14:textId="77777777" w:rsidR="00422A90" w:rsidRPr="00AE679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r>
      <w:tr w:rsidR="00677C2C" w:rsidRPr="00677C2C" w14:paraId="5676770E" w14:textId="77777777" w:rsidTr="00566692">
        <w:trPr>
          <w:trHeight w:val="1091"/>
        </w:trPr>
        <w:tc>
          <w:tcPr>
            <w:tcW w:w="0" w:type="auto"/>
            <w:vMerge w:val="restart"/>
            <w:shd w:val="clear" w:color="auto" w:fill="auto"/>
            <w:vAlign w:val="center"/>
            <w:hideMark/>
          </w:tcPr>
          <w:p w14:paraId="436DE7A9" w14:textId="77777777" w:rsidR="00677C2C" w:rsidRPr="00677C2C" w:rsidRDefault="00677C2C" w:rsidP="00422A90">
            <w:pPr>
              <w:spacing w:line="240" w:lineRule="auto"/>
              <w:jc w:val="center"/>
              <w:rPr>
                <w:rFonts w:cs="Arial"/>
                <w:color w:val="000000"/>
                <w:sz w:val="16"/>
                <w:szCs w:val="16"/>
                <w:lang w:eastAsia="en-AU"/>
              </w:rPr>
            </w:pPr>
            <w:r w:rsidRPr="00677C2C">
              <w:rPr>
                <w:rFonts w:cs="Arial"/>
                <w:color w:val="000000"/>
                <w:sz w:val="16"/>
                <w:szCs w:val="16"/>
                <w:lang w:eastAsia="en-AU"/>
              </w:rPr>
              <w:t>Industry and Science</w:t>
            </w:r>
          </w:p>
        </w:tc>
        <w:tc>
          <w:tcPr>
            <w:tcW w:w="0" w:type="auto"/>
            <w:shd w:val="clear" w:color="auto" w:fill="auto"/>
            <w:vAlign w:val="center"/>
            <w:hideMark/>
          </w:tcPr>
          <w:p w14:paraId="6A5D10AA" w14:textId="77777777" w:rsidR="00677C2C" w:rsidRPr="00677C2C" w:rsidRDefault="00B96CA1" w:rsidP="00422A90">
            <w:pPr>
              <w:spacing w:line="240" w:lineRule="auto"/>
              <w:rPr>
                <w:rFonts w:cs="Arial"/>
                <w:color w:val="0000FF"/>
                <w:sz w:val="16"/>
                <w:szCs w:val="16"/>
                <w:u w:val="single"/>
                <w:lang w:eastAsia="en-AU"/>
              </w:rPr>
            </w:pPr>
            <w:hyperlink r:id="rId41" w:history="1">
              <w:r w:rsidR="00677C2C" w:rsidRPr="00677C2C">
                <w:rPr>
                  <w:rFonts w:cs="Arial"/>
                  <w:color w:val="0000FF"/>
                  <w:sz w:val="16"/>
                  <w:szCs w:val="16"/>
                  <w:u w:val="single"/>
                  <w:lang w:eastAsia="en-AU"/>
                </w:rPr>
                <w:t>CSIRO Flagships</w:t>
              </w:r>
            </w:hyperlink>
          </w:p>
        </w:tc>
        <w:tc>
          <w:tcPr>
            <w:tcW w:w="0" w:type="auto"/>
            <w:shd w:val="clear" w:color="auto" w:fill="auto"/>
            <w:vAlign w:val="center"/>
            <w:hideMark/>
          </w:tcPr>
          <w:p w14:paraId="0F553489" w14:textId="77777777" w:rsidR="00677C2C" w:rsidRPr="00677C2C" w:rsidRDefault="00677C2C" w:rsidP="00422A90">
            <w:pPr>
              <w:rPr>
                <w:rFonts w:cs="Arial"/>
                <w:color w:val="000000"/>
                <w:sz w:val="16"/>
                <w:szCs w:val="16"/>
                <w:lang w:eastAsia="en-AU"/>
              </w:rPr>
            </w:pPr>
            <w:r w:rsidRPr="00677C2C">
              <w:rPr>
                <w:rFonts w:cs="Arial"/>
                <w:color w:val="000000"/>
                <w:sz w:val="16"/>
                <w:szCs w:val="16"/>
                <w:lang w:eastAsia="en-AU"/>
              </w:rPr>
              <w:t>Flagships deliver benefits to Australia by forming large-scale multidisciplinary research partnerships with Australian publicly funded research institutions, the private sector and international organisations.</w:t>
            </w:r>
          </w:p>
        </w:tc>
        <w:tc>
          <w:tcPr>
            <w:tcW w:w="0" w:type="auto"/>
            <w:shd w:val="clear" w:color="auto" w:fill="auto"/>
            <w:noWrap/>
            <w:vAlign w:val="center"/>
            <w:hideMark/>
          </w:tcPr>
          <w:p w14:paraId="52CD1907"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2145F04B"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1320436B"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57C70F00"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tcPr>
          <w:p w14:paraId="0A975682"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tcPr>
          <w:p w14:paraId="6ADE7518"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tcPr>
          <w:p w14:paraId="733EF893"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tcPr>
          <w:p w14:paraId="51D31DF5"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2B3111E7"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148892DA"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r>
      <w:tr w:rsidR="00677C2C" w:rsidRPr="00677C2C" w14:paraId="00F337ED" w14:textId="77777777" w:rsidTr="00057762">
        <w:trPr>
          <w:trHeight w:val="765"/>
        </w:trPr>
        <w:tc>
          <w:tcPr>
            <w:tcW w:w="0" w:type="auto"/>
            <w:vMerge/>
            <w:shd w:val="clear" w:color="auto" w:fill="auto"/>
            <w:vAlign w:val="center"/>
            <w:hideMark/>
          </w:tcPr>
          <w:p w14:paraId="19C24754" w14:textId="77777777" w:rsidR="00677C2C" w:rsidRPr="00677C2C" w:rsidRDefault="00677C2C" w:rsidP="00422A90">
            <w:pPr>
              <w:spacing w:line="240" w:lineRule="auto"/>
              <w:rPr>
                <w:rFonts w:cs="Arial"/>
                <w:color w:val="000000"/>
                <w:sz w:val="16"/>
                <w:szCs w:val="16"/>
                <w:lang w:eastAsia="en-AU"/>
              </w:rPr>
            </w:pPr>
          </w:p>
        </w:tc>
        <w:tc>
          <w:tcPr>
            <w:tcW w:w="0" w:type="auto"/>
            <w:shd w:val="clear" w:color="auto" w:fill="auto"/>
            <w:vAlign w:val="center"/>
            <w:hideMark/>
          </w:tcPr>
          <w:p w14:paraId="4D3722ED" w14:textId="77777777" w:rsidR="00677C2C" w:rsidRPr="00677C2C" w:rsidRDefault="00B96CA1" w:rsidP="00422A90">
            <w:pPr>
              <w:spacing w:line="240" w:lineRule="auto"/>
              <w:rPr>
                <w:rFonts w:cs="Arial"/>
                <w:color w:val="0000FF"/>
                <w:sz w:val="16"/>
                <w:szCs w:val="16"/>
                <w:u w:val="single"/>
                <w:lang w:eastAsia="en-AU"/>
              </w:rPr>
            </w:pPr>
            <w:hyperlink r:id="rId42" w:history="1">
              <w:r w:rsidR="00677C2C" w:rsidRPr="00677C2C">
                <w:rPr>
                  <w:rFonts w:cs="Arial"/>
                  <w:color w:val="0000FF"/>
                  <w:sz w:val="16"/>
                  <w:szCs w:val="16"/>
                  <w:u w:val="single"/>
                  <w:lang w:eastAsia="en-AU"/>
                </w:rPr>
                <w:t>CSIRO SME Engagement</w:t>
              </w:r>
            </w:hyperlink>
          </w:p>
        </w:tc>
        <w:tc>
          <w:tcPr>
            <w:tcW w:w="0" w:type="auto"/>
            <w:shd w:val="clear" w:color="auto" w:fill="auto"/>
            <w:vAlign w:val="center"/>
            <w:hideMark/>
          </w:tcPr>
          <w:p w14:paraId="5743CDE4" w14:textId="77777777" w:rsidR="00677C2C" w:rsidRPr="00677C2C" w:rsidRDefault="00677C2C" w:rsidP="00422A90">
            <w:pPr>
              <w:rPr>
                <w:rFonts w:cs="Arial"/>
                <w:color w:val="000000"/>
                <w:sz w:val="16"/>
                <w:szCs w:val="16"/>
                <w:lang w:eastAsia="en-AU"/>
              </w:rPr>
            </w:pPr>
            <w:r w:rsidRPr="00677C2C">
              <w:rPr>
                <w:rFonts w:cs="Arial"/>
                <w:color w:val="000000"/>
                <w:sz w:val="16"/>
                <w:szCs w:val="16"/>
                <w:lang w:eastAsia="en-AU"/>
              </w:rPr>
              <w:t>Helps Australian SMEs get the most value out of their research and development activities so that they can overcome technical challenges and enhance their business performance.</w:t>
            </w:r>
          </w:p>
        </w:tc>
        <w:tc>
          <w:tcPr>
            <w:tcW w:w="0" w:type="auto"/>
            <w:shd w:val="clear" w:color="auto" w:fill="auto"/>
            <w:noWrap/>
            <w:vAlign w:val="center"/>
            <w:hideMark/>
          </w:tcPr>
          <w:p w14:paraId="5F3E7DF7"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7B735A46"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135B1EB4"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29B588D4"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344EF1A7"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539955D4"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3C7E8EC4"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5E37CC7E"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1DACEF11"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0E5C2B3B"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r>
      <w:tr w:rsidR="00677C2C" w:rsidRPr="00677C2C" w14:paraId="75486090" w14:textId="77777777" w:rsidTr="00057762">
        <w:trPr>
          <w:trHeight w:val="777"/>
        </w:trPr>
        <w:tc>
          <w:tcPr>
            <w:tcW w:w="0" w:type="auto"/>
            <w:vMerge/>
            <w:shd w:val="clear" w:color="auto" w:fill="auto"/>
            <w:vAlign w:val="center"/>
            <w:hideMark/>
          </w:tcPr>
          <w:p w14:paraId="0DB52923" w14:textId="77777777" w:rsidR="00677C2C" w:rsidRPr="00677C2C" w:rsidRDefault="00677C2C" w:rsidP="00422A90">
            <w:pPr>
              <w:spacing w:line="240" w:lineRule="auto"/>
              <w:rPr>
                <w:rFonts w:cs="Arial"/>
                <w:color w:val="000000"/>
                <w:sz w:val="16"/>
                <w:szCs w:val="16"/>
                <w:lang w:eastAsia="en-AU"/>
              </w:rPr>
            </w:pPr>
          </w:p>
        </w:tc>
        <w:tc>
          <w:tcPr>
            <w:tcW w:w="0" w:type="auto"/>
            <w:shd w:val="clear" w:color="auto" w:fill="auto"/>
            <w:vAlign w:val="center"/>
            <w:hideMark/>
          </w:tcPr>
          <w:p w14:paraId="79F7D35E" w14:textId="77777777" w:rsidR="00677C2C" w:rsidRPr="00677C2C" w:rsidRDefault="00B96CA1" w:rsidP="00422A90">
            <w:pPr>
              <w:spacing w:line="240" w:lineRule="auto"/>
              <w:rPr>
                <w:rFonts w:cs="Arial"/>
                <w:color w:val="0000FF"/>
                <w:sz w:val="16"/>
                <w:szCs w:val="16"/>
                <w:u w:val="single"/>
                <w:lang w:eastAsia="en-AU"/>
              </w:rPr>
            </w:pPr>
            <w:hyperlink r:id="rId43" w:history="1">
              <w:r w:rsidR="00677C2C" w:rsidRPr="00677C2C">
                <w:rPr>
                  <w:rFonts w:cs="Arial"/>
                  <w:color w:val="0000FF"/>
                  <w:sz w:val="16"/>
                  <w:szCs w:val="16"/>
                  <w:u w:val="single"/>
                  <w:lang w:eastAsia="en-AU"/>
                </w:rPr>
                <w:t>CSIRO Australian Growth Partnerships</w:t>
              </w:r>
            </w:hyperlink>
          </w:p>
        </w:tc>
        <w:tc>
          <w:tcPr>
            <w:tcW w:w="0" w:type="auto"/>
            <w:shd w:val="clear" w:color="auto" w:fill="auto"/>
            <w:vAlign w:val="center"/>
            <w:hideMark/>
          </w:tcPr>
          <w:p w14:paraId="3374B692" w14:textId="77777777" w:rsidR="00677C2C" w:rsidRPr="00677C2C" w:rsidRDefault="00677C2C" w:rsidP="00422A90">
            <w:pPr>
              <w:rPr>
                <w:rFonts w:cs="Arial"/>
                <w:color w:val="000000"/>
                <w:sz w:val="16"/>
                <w:szCs w:val="16"/>
                <w:lang w:eastAsia="en-AU"/>
              </w:rPr>
            </w:pPr>
            <w:r w:rsidRPr="00677C2C">
              <w:rPr>
                <w:rFonts w:cs="Arial"/>
                <w:color w:val="000000"/>
                <w:sz w:val="16"/>
                <w:szCs w:val="16"/>
                <w:lang w:eastAsia="en-AU"/>
              </w:rPr>
              <w:t>A competitive, merit-based pilot funding program which helps high potential, technology-receptive SMEs access CSIRO R&amp;D capability and intellectual property.</w:t>
            </w:r>
          </w:p>
        </w:tc>
        <w:tc>
          <w:tcPr>
            <w:tcW w:w="0" w:type="auto"/>
            <w:shd w:val="clear" w:color="auto" w:fill="auto"/>
            <w:noWrap/>
            <w:vAlign w:val="center"/>
            <w:hideMark/>
          </w:tcPr>
          <w:p w14:paraId="1F8CD309" w14:textId="77777777" w:rsidR="00677C2C" w:rsidRPr="00AE6792" w:rsidRDefault="00677C2C" w:rsidP="00057762">
            <w:pPr>
              <w:spacing w:line="240" w:lineRule="auto"/>
              <w:jc w:val="center"/>
              <w:rPr>
                <w:rFonts w:cs="Arial"/>
                <w:color w:val="92D050"/>
                <w:lang w:eastAsia="en-AU"/>
              </w:rPr>
            </w:pPr>
          </w:p>
        </w:tc>
        <w:tc>
          <w:tcPr>
            <w:tcW w:w="0" w:type="auto"/>
            <w:shd w:val="clear" w:color="auto" w:fill="auto"/>
            <w:noWrap/>
            <w:vAlign w:val="center"/>
            <w:hideMark/>
          </w:tcPr>
          <w:p w14:paraId="7888CB7F"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32F3AF10"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498FD041"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2D35267B"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6B12007E"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2CA9CA60" w14:textId="77777777" w:rsidR="00677C2C" w:rsidRPr="00AE6792" w:rsidRDefault="00677C2C" w:rsidP="00057762">
            <w:pPr>
              <w:spacing w:line="240" w:lineRule="auto"/>
              <w:jc w:val="center"/>
              <w:rPr>
                <w:rFonts w:cs="Arial"/>
                <w:color w:val="92D050"/>
                <w:lang w:eastAsia="en-AU"/>
              </w:rPr>
            </w:pPr>
          </w:p>
        </w:tc>
        <w:tc>
          <w:tcPr>
            <w:tcW w:w="0" w:type="auto"/>
            <w:shd w:val="clear" w:color="auto" w:fill="auto"/>
            <w:noWrap/>
            <w:vAlign w:val="center"/>
            <w:hideMark/>
          </w:tcPr>
          <w:p w14:paraId="08C58E3C"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1DEE409B"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5831459C" w14:textId="77777777" w:rsidR="00677C2C" w:rsidRPr="00AE6792" w:rsidRDefault="00677C2C" w:rsidP="00057762">
            <w:pPr>
              <w:spacing w:line="240" w:lineRule="auto"/>
              <w:jc w:val="center"/>
              <w:rPr>
                <w:rFonts w:cs="Arial"/>
                <w:color w:val="92D050"/>
                <w:lang w:eastAsia="en-AU"/>
              </w:rPr>
            </w:pPr>
          </w:p>
        </w:tc>
      </w:tr>
      <w:tr w:rsidR="00677C2C" w:rsidRPr="00677C2C" w14:paraId="255B4DAC" w14:textId="77777777" w:rsidTr="00057762">
        <w:trPr>
          <w:trHeight w:val="853"/>
        </w:trPr>
        <w:tc>
          <w:tcPr>
            <w:tcW w:w="0" w:type="auto"/>
            <w:vMerge/>
            <w:shd w:val="clear" w:color="auto" w:fill="auto"/>
            <w:vAlign w:val="center"/>
            <w:hideMark/>
          </w:tcPr>
          <w:p w14:paraId="74AD6DEB" w14:textId="77777777" w:rsidR="00677C2C" w:rsidRPr="00677C2C" w:rsidRDefault="00677C2C" w:rsidP="00422A90">
            <w:pPr>
              <w:spacing w:line="240" w:lineRule="auto"/>
              <w:rPr>
                <w:rFonts w:cs="Arial"/>
                <w:color w:val="000000"/>
                <w:sz w:val="16"/>
                <w:szCs w:val="16"/>
                <w:lang w:eastAsia="en-AU"/>
              </w:rPr>
            </w:pPr>
          </w:p>
        </w:tc>
        <w:tc>
          <w:tcPr>
            <w:tcW w:w="0" w:type="auto"/>
            <w:shd w:val="clear" w:color="auto" w:fill="auto"/>
            <w:vAlign w:val="center"/>
            <w:hideMark/>
          </w:tcPr>
          <w:p w14:paraId="3C5EC915" w14:textId="77777777" w:rsidR="00677C2C" w:rsidRPr="00677C2C" w:rsidRDefault="00B96CA1" w:rsidP="00422A90">
            <w:pPr>
              <w:spacing w:line="240" w:lineRule="auto"/>
              <w:rPr>
                <w:rFonts w:cs="Arial"/>
                <w:color w:val="0000FF"/>
                <w:sz w:val="16"/>
                <w:szCs w:val="16"/>
                <w:u w:val="single"/>
                <w:lang w:eastAsia="en-AU"/>
              </w:rPr>
            </w:pPr>
            <w:hyperlink r:id="rId44" w:history="1">
              <w:r w:rsidR="00677C2C" w:rsidRPr="00677C2C">
                <w:rPr>
                  <w:rFonts w:cs="Arial"/>
                  <w:color w:val="0000FF"/>
                  <w:sz w:val="16"/>
                  <w:szCs w:val="16"/>
                  <w:u w:val="single"/>
                  <w:lang w:eastAsia="en-AU"/>
                </w:rPr>
                <w:t>Australian Renewable Energy Agency - Research and Development Program</w:t>
              </w:r>
            </w:hyperlink>
          </w:p>
        </w:tc>
        <w:tc>
          <w:tcPr>
            <w:tcW w:w="0" w:type="auto"/>
            <w:shd w:val="clear" w:color="auto" w:fill="auto"/>
            <w:vAlign w:val="center"/>
            <w:hideMark/>
          </w:tcPr>
          <w:p w14:paraId="1B54F616" w14:textId="77777777" w:rsidR="00677C2C" w:rsidRPr="00677C2C" w:rsidRDefault="00677C2C" w:rsidP="00422A90">
            <w:pPr>
              <w:rPr>
                <w:rFonts w:cs="Arial"/>
                <w:color w:val="000000"/>
                <w:sz w:val="16"/>
                <w:szCs w:val="16"/>
                <w:lang w:eastAsia="en-AU"/>
              </w:rPr>
            </w:pPr>
            <w:r w:rsidRPr="00677C2C">
              <w:rPr>
                <w:rFonts w:cs="Arial"/>
                <w:color w:val="000000"/>
                <w:sz w:val="16"/>
                <w:szCs w:val="16"/>
                <w:lang w:eastAsia="en-AU"/>
              </w:rPr>
              <w:t>The Research and Development (R&amp;D) Program supports renewable energy technologies that will increase the commercial deployment of renewable energy technology in Australia.</w:t>
            </w:r>
          </w:p>
        </w:tc>
        <w:tc>
          <w:tcPr>
            <w:tcW w:w="0" w:type="auto"/>
            <w:shd w:val="clear" w:color="auto" w:fill="auto"/>
            <w:noWrap/>
            <w:vAlign w:val="center"/>
            <w:hideMark/>
          </w:tcPr>
          <w:p w14:paraId="25715A19" w14:textId="77777777" w:rsidR="00677C2C" w:rsidRPr="00AE6792" w:rsidRDefault="00677C2C" w:rsidP="00057762">
            <w:pPr>
              <w:spacing w:line="240" w:lineRule="auto"/>
              <w:jc w:val="center"/>
              <w:rPr>
                <w:rFonts w:cs="Arial"/>
                <w:color w:val="92D050"/>
                <w:lang w:eastAsia="en-AU"/>
              </w:rPr>
            </w:pPr>
          </w:p>
        </w:tc>
        <w:tc>
          <w:tcPr>
            <w:tcW w:w="0" w:type="auto"/>
            <w:shd w:val="clear" w:color="auto" w:fill="auto"/>
            <w:noWrap/>
            <w:vAlign w:val="center"/>
            <w:hideMark/>
          </w:tcPr>
          <w:p w14:paraId="089A3C17" w14:textId="77777777" w:rsidR="00677C2C" w:rsidRPr="00AE6792" w:rsidRDefault="00677C2C" w:rsidP="00057762">
            <w:pPr>
              <w:spacing w:line="240" w:lineRule="auto"/>
              <w:jc w:val="center"/>
              <w:rPr>
                <w:rFonts w:cs="Arial"/>
                <w:color w:val="92D050"/>
                <w:lang w:eastAsia="en-AU"/>
              </w:rPr>
            </w:pPr>
          </w:p>
        </w:tc>
        <w:tc>
          <w:tcPr>
            <w:tcW w:w="0" w:type="auto"/>
            <w:shd w:val="clear" w:color="auto" w:fill="auto"/>
            <w:noWrap/>
            <w:vAlign w:val="center"/>
            <w:hideMark/>
          </w:tcPr>
          <w:p w14:paraId="1FFFEB04"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37E7B5D2"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4F370A10"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0D89DA50"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7C88E203"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2A537AB6"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5F976810"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4E8026BF"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r>
      <w:tr w:rsidR="00677C2C" w:rsidRPr="00677C2C" w14:paraId="6179DE7A" w14:textId="77777777" w:rsidTr="00057762">
        <w:trPr>
          <w:trHeight w:val="695"/>
        </w:trPr>
        <w:tc>
          <w:tcPr>
            <w:tcW w:w="0" w:type="auto"/>
            <w:vMerge/>
            <w:shd w:val="clear" w:color="auto" w:fill="auto"/>
            <w:vAlign w:val="center"/>
            <w:hideMark/>
          </w:tcPr>
          <w:p w14:paraId="3ABF829F" w14:textId="77777777" w:rsidR="00677C2C" w:rsidRPr="00677C2C" w:rsidRDefault="00677C2C" w:rsidP="00422A90">
            <w:pPr>
              <w:spacing w:line="240" w:lineRule="auto"/>
              <w:rPr>
                <w:rFonts w:cs="Arial"/>
                <w:color w:val="000000"/>
                <w:sz w:val="16"/>
                <w:szCs w:val="16"/>
                <w:lang w:eastAsia="en-AU"/>
              </w:rPr>
            </w:pPr>
          </w:p>
        </w:tc>
        <w:tc>
          <w:tcPr>
            <w:tcW w:w="0" w:type="auto"/>
            <w:shd w:val="clear" w:color="auto" w:fill="auto"/>
            <w:vAlign w:val="center"/>
            <w:hideMark/>
          </w:tcPr>
          <w:p w14:paraId="6002DE02" w14:textId="77777777" w:rsidR="00677C2C" w:rsidRPr="00677C2C" w:rsidRDefault="00B96CA1" w:rsidP="00422A90">
            <w:pPr>
              <w:spacing w:line="240" w:lineRule="auto"/>
              <w:rPr>
                <w:rFonts w:cs="Arial"/>
                <w:color w:val="0000FF"/>
                <w:sz w:val="16"/>
                <w:szCs w:val="16"/>
                <w:u w:val="single"/>
                <w:lang w:eastAsia="en-AU"/>
              </w:rPr>
            </w:pPr>
            <w:hyperlink r:id="rId45" w:history="1">
              <w:r w:rsidR="00677C2C" w:rsidRPr="00677C2C">
                <w:rPr>
                  <w:rFonts w:cs="Arial"/>
                  <w:color w:val="0000FF"/>
                  <w:sz w:val="16"/>
                  <w:szCs w:val="16"/>
                  <w:u w:val="single"/>
                  <w:lang w:eastAsia="en-AU"/>
                </w:rPr>
                <w:t>Entrepreneurs' Infrastructure Programme - Research Connections</w:t>
              </w:r>
            </w:hyperlink>
          </w:p>
        </w:tc>
        <w:tc>
          <w:tcPr>
            <w:tcW w:w="0" w:type="auto"/>
            <w:shd w:val="clear" w:color="auto" w:fill="auto"/>
            <w:vAlign w:val="center"/>
            <w:hideMark/>
          </w:tcPr>
          <w:p w14:paraId="690BE12B" w14:textId="77777777" w:rsidR="00677C2C" w:rsidRPr="00677C2C" w:rsidRDefault="00677C2C" w:rsidP="00422A90">
            <w:pPr>
              <w:rPr>
                <w:rFonts w:cs="Arial"/>
                <w:color w:val="000000"/>
                <w:sz w:val="16"/>
                <w:szCs w:val="16"/>
                <w:lang w:eastAsia="en-AU"/>
              </w:rPr>
            </w:pPr>
            <w:r w:rsidRPr="00677C2C">
              <w:rPr>
                <w:rFonts w:cs="Arial"/>
                <w:color w:val="000000"/>
                <w:sz w:val="16"/>
                <w:szCs w:val="16"/>
                <w:lang w:eastAsia="en-AU"/>
              </w:rPr>
              <w:t>Helps SMEs collaborate with the research sector to develop new ideas with commercial potential</w:t>
            </w:r>
          </w:p>
        </w:tc>
        <w:tc>
          <w:tcPr>
            <w:tcW w:w="0" w:type="auto"/>
            <w:shd w:val="clear" w:color="auto" w:fill="auto"/>
            <w:noWrap/>
            <w:vAlign w:val="center"/>
            <w:hideMark/>
          </w:tcPr>
          <w:p w14:paraId="07CA24C9"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70F1F7A7"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0DB6AA32"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33AC02A0"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68ED9262"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7D15A6C5"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42ABC65B"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52E57563"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47D5391F"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59FD3227" w14:textId="77777777" w:rsidR="00677C2C" w:rsidRPr="00AE6792" w:rsidRDefault="00677C2C" w:rsidP="00057762">
            <w:pPr>
              <w:spacing w:line="240" w:lineRule="auto"/>
              <w:jc w:val="center"/>
              <w:rPr>
                <w:rFonts w:cs="Arial"/>
                <w:color w:val="000000"/>
                <w:lang w:eastAsia="en-AU"/>
              </w:rPr>
            </w:pPr>
          </w:p>
        </w:tc>
      </w:tr>
      <w:tr w:rsidR="00677C2C" w:rsidRPr="00677C2C" w14:paraId="384CF07D" w14:textId="77777777" w:rsidTr="00057762">
        <w:trPr>
          <w:trHeight w:val="692"/>
        </w:trPr>
        <w:tc>
          <w:tcPr>
            <w:tcW w:w="0" w:type="auto"/>
            <w:vMerge w:val="restart"/>
            <w:shd w:val="clear" w:color="auto" w:fill="auto"/>
            <w:vAlign w:val="center"/>
            <w:hideMark/>
          </w:tcPr>
          <w:p w14:paraId="1B58E622" w14:textId="77777777" w:rsidR="00677C2C" w:rsidRPr="00677C2C" w:rsidRDefault="00677C2C" w:rsidP="00422A90">
            <w:pPr>
              <w:spacing w:line="240" w:lineRule="auto"/>
              <w:rPr>
                <w:rFonts w:cs="Arial"/>
                <w:color w:val="000000"/>
                <w:sz w:val="16"/>
                <w:szCs w:val="16"/>
                <w:lang w:eastAsia="en-AU"/>
              </w:rPr>
            </w:pPr>
            <w:r w:rsidRPr="00677C2C">
              <w:rPr>
                <w:rFonts w:cs="Arial"/>
                <w:color w:val="000000"/>
                <w:sz w:val="16"/>
                <w:szCs w:val="16"/>
                <w:lang w:eastAsia="en-AU"/>
              </w:rPr>
              <w:t>Industry and Science</w:t>
            </w:r>
          </w:p>
        </w:tc>
        <w:tc>
          <w:tcPr>
            <w:tcW w:w="0" w:type="auto"/>
            <w:shd w:val="clear" w:color="auto" w:fill="auto"/>
            <w:vAlign w:val="center"/>
            <w:hideMark/>
          </w:tcPr>
          <w:p w14:paraId="3C816AD6" w14:textId="77777777" w:rsidR="00677C2C" w:rsidRPr="00677C2C" w:rsidRDefault="00B96CA1" w:rsidP="00422A90">
            <w:pPr>
              <w:spacing w:line="240" w:lineRule="auto"/>
              <w:rPr>
                <w:rFonts w:cs="Arial"/>
                <w:color w:val="0000FF"/>
                <w:sz w:val="16"/>
                <w:szCs w:val="16"/>
                <w:u w:val="single"/>
                <w:lang w:eastAsia="en-AU"/>
              </w:rPr>
            </w:pPr>
            <w:hyperlink r:id="rId46" w:history="1">
              <w:r w:rsidR="00677C2C" w:rsidRPr="00677C2C">
                <w:rPr>
                  <w:rFonts w:cs="Arial"/>
                  <w:color w:val="0000FF"/>
                  <w:sz w:val="16"/>
                  <w:szCs w:val="16"/>
                  <w:u w:val="single"/>
                  <w:lang w:eastAsia="en-AU"/>
                </w:rPr>
                <w:t>Entrepreneurs' Infrastructure Programme - Accelerating Commercialisation</w:t>
              </w:r>
            </w:hyperlink>
          </w:p>
        </w:tc>
        <w:tc>
          <w:tcPr>
            <w:tcW w:w="0" w:type="auto"/>
            <w:shd w:val="clear" w:color="auto" w:fill="auto"/>
            <w:vAlign w:val="center"/>
            <w:hideMark/>
          </w:tcPr>
          <w:p w14:paraId="4BEC6E55" w14:textId="77777777" w:rsidR="00677C2C" w:rsidRPr="00677C2C" w:rsidRDefault="00677C2C" w:rsidP="00422A90">
            <w:pPr>
              <w:rPr>
                <w:rFonts w:cs="Arial"/>
                <w:color w:val="000000"/>
                <w:sz w:val="16"/>
                <w:szCs w:val="16"/>
                <w:lang w:eastAsia="en-AU"/>
              </w:rPr>
            </w:pPr>
            <w:r w:rsidRPr="00677C2C">
              <w:rPr>
                <w:rFonts w:cs="Arial"/>
                <w:color w:val="000000"/>
                <w:sz w:val="16"/>
                <w:szCs w:val="16"/>
                <w:lang w:eastAsia="en-AU"/>
              </w:rPr>
              <w:t>Helps entrepreneurs, researchers, start-ups and businesses bring novel products, processes and service to the market.</w:t>
            </w:r>
          </w:p>
        </w:tc>
        <w:tc>
          <w:tcPr>
            <w:tcW w:w="0" w:type="auto"/>
            <w:shd w:val="clear" w:color="auto" w:fill="auto"/>
            <w:noWrap/>
            <w:vAlign w:val="center"/>
            <w:hideMark/>
          </w:tcPr>
          <w:p w14:paraId="48517D82"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7948BAC4"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7631E989"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73D92208"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6BFB7115"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282E2D4A"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0E8C30B3"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3334FB13"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1290DCA6"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5A6D907D" w14:textId="77777777" w:rsidR="00677C2C" w:rsidRPr="00AE6792" w:rsidRDefault="00677C2C" w:rsidP="00057762">
            <w:pPr>
              <w:spacing w:line="240" w:lineRule="auto"/>
              <w:jc w:val="center"/>
              <w:rPr>
                <w:rFonts w:cs="Arial"/>
                <w:color w:val="000000"/>
                <w:lang w:eastAsia="en-AU"/>
              </w:rPr>
            </w:pPr>
          </w:p>
        </w:tc>
      </w:tr>
      <w:tr w:rsidR="00677C2C" w:rsidRPr="00677C2C" w14:paraId="229FCDBD" w14:textId="77777777" w:rsidTr="00057762">
        <w:trPr>
          <w:trHeight w:val="510"/>
        </w:trPr>
        <w:tc>
          <w:tcPr>
            <w:tcW w:w="0" w:type="auto"/>
            <w:vMerge/>
            <w:shd w:val="clear" w:color="auto" w:fill="auto"/>
            <w:vAlign w:val="center"/>
            <w:hideMark/>
          </w:tcPr>
          <w:p w14:paraId="7AB2C685" w14:textId="77777777" w:rsidR="00677C2C" w:rsidRPr="00677C2C" w:rsidRDefault="00677C2C" w:rsidP="00422A90">
            <w:pPr>
              <w:spacing w:line="240" w:lineRule="auto"/>
              <w:rPr>
                <w:rFonts w:cs="Arial"/>
                <w:color w:val="000000"/>
                <w:sz w:val="16"/>
                <w:szCs w:val="16"/>
                <w:lang w:eastAsia="en-AU"/>
              </w:rPr>
            </w:pPr>
          </w:p>
        </w:tc>
        <w:tc>
          <w:tcPr>
            <w:tcW w:w="0" w:type="auto"/>
            <w:shd w:val="clear" w:color="auto" w:fill="auto"/>
            <w:vAlign w:val="center"/>
            <w:hideMark/>
          </w:tcPr>
          <w:p w14:paraId="3776D7B9" w14:textId="77777777" w:rsidR="00677C2C" w:rsidRPr="00677C2C" w:rsidRDefault="00677C2C" w:rsidP="00422A90">
            <w:pPr>
              <w:spacing w:line="240" w:lineRule="auto"/>
              <w:rPr>
                <w:rFonts w:cs="Arial"/>
                <w:b/>
                <w:bCs/>
                <w:color w:val="0000FF"/>
                <w:sz w:val="16"/>
                <w:szCs w:val="16"/>
                <w:lang w:eastAsia="en-AU"/>
              </w:rPr>
            </w:pPr>
            <w:r w:rsidRPr="00677C2C">
              <w:rPr>
                <w:rFonts w:cs="Arial"/>
                <w:b/>
                <w:bCs/>
                <w:color w:val="0000FF"/>
                <w:sz w:val="16"/>
                <w:szCs w:val="16"/>
                <w:lang w:eastAsia="en-AU"/>
              </w:rPr>
              <w:t>Cooperative Research Centres - existing programme</w:t>
            </w:r>
          </w:p>
        </w:tc>
        <w:tc>
          <w:tcPr>
            <w:tcW w:w="0" w:type="auto"/>
            <w:shd w:val="clear" w:color="auto" w:fill="auto"/>
            <w:vAlign w:val="center"/>
            <w:hideMark/>
          </w:tcPr>
          <w:p w14:paraId="653EB457" w14:textId="77777777" w:rsidR="00677C2C" w:rsidRPr="00677C2C" w:rsidRDefault="00677C2C" w:rsidP="00422A90">
            <w:pPr>
              <w:rPr>
                <w:rFonts w:cs="Arial"/>
                <w:color w:val="000000"/>
                <w:sz w:val="16"/>
                <w:szCs w:val="16"/>
                <w:lang w:eastAsia="en-AU"/>
              </w:rPr>
            </w:pPr>
            <w:r w:rsidRPr="00677C2C">
              <w:rPr>
                <w:rFonts w:cs="Arial"/>
                <w:color w:val="000000"/>
                <w:sz w:val="16"/>
                <w:szCs w:val="16"/>
                <w:lang w:eastAsia="en-AU"/>
              </w:rPr>
              <w:t> </w:t>
            </w:r>
          </w:p>
        </w:tc>
        <w:tc>
          <w:tcPr>
            <w:tcW w:w="0" w:type="auto"/>
            <w:shd w:val="clear" w:color="auto" w:fill="auto"/>
            <w:noWrap/>
            <w:vAlign w:val="center"/>
            <w:hideMark/>
          </w:tcPr>
          <w:p w14:paraId="3199492B" w14:textId="77777777" w:rsidR="00677C2C" w:rsidRPr="00AE6792" w:rsidRDefault="00677C2C" w:rsidP="00057762">
            <w:pPr>
              <w:spacing w:line="240" w:lineRule="auto"/>
              <w:jc w:val="center"/>
              <w:rPr>
                <w:rFonts w:cs="Arial"/>
                <w:color w:val="00B0F0"/>
                <w:lang w:eastAsia="en-AU"/>
              </w:rPr>
            </w:pPr>
          </w:p>
        </w:tc>
        <w:tc>
          <w:tcPr>
            <w:tcW w:w="0" w:type="auto"/>
            <w:shd w:val="clear" w:color="auto" w:fill="auto"/>
            <w:noWrap/>
            <w:vAlign w:val="center"/>
            <w:hideMark/>
          </w:tcPr>
          <w:p w14:paraId="6098CF1C" w14:textId="77777777" w:rsidR="00677C2C" w:rsidRPr="00AE6792" w:rsidRDefault="00677C2C" w:rsidP="00057762">
            <w:pPr>
              <w:spacing w:line="240" w:lineRule="auto"/>
              <w:jc w:val="center"/>
              <w:rPr>
                <w:rFonts w:cs="Arial"/>
                <w:color w:val="00B0F0"/>
                <w:lang w:eastAsia="en-AU"/>
              </w:rPr>
            </w:pPr>
          </w:p>
        </w:tc>
        <w:tc>
          <w:tcPr>
            <w:tcW w:w="0" w:type="auto"/>
            <w:shd w:val="clear" w:color="auto" w:fill="auto"/>
            <w:noWrap/>
            <w:vAlign w:val="center"/>
            <w:hideMark/>
          </w:tcPr>
          <w:p w14:paraId="614E52DD" w14:textId="77777777" w:rsidR="00677C2C" w:rsidRPr="00AE6792" w:rsidRDefault="00677C2C" w:rsidP="00057762">
            <w:pPr>
              <w:spacing w:line="240" w:lineRule="auto"/>
              <w:jc w:val="center"/>
              <w:rPr>
                <w:rFonts w:cs="Arial"/>
                <w:color w:val="00B0F0"/>
                <w:lang w:eastAsia="en-AU"/>
              </w:rPr>
            </w:pPr>
          </w:p>
        </w:tc>
        <w:tc>
          <w:tcPr>
            <w:tcW w:w="0" w:type="auto"/>
            <w:shd w:val="clear" w:color="auto" w:fill="auto"/>
            <w:noWrap/>
            <w:vAlign w:val="center"/>
            <w:hideMark/>
          </w:tcPr>
          <w:p w14:paraId="14CDE57E" w14:textId="77777777" w:rsidR="00677C2C" w:rsidRPr="00AE679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39E9DA41" w14:textId="77777777" w:rsidR="00677C2C" w:rsidRPr="00AE6792" w:rsidRDefault="00677C2C" w:rsidP="00057762">
            <w:pPr>
              <w:spacing w:line="240" w:lineRule="auto"/>
              <w:jc w:val="center"/>
              <w:rPr>
                <w:rFonts w:cs="Arial"/>
                <w:color w:val="00B0F0"/>
                <w:lang w:eastAsia="en-AU"/>
              </w:rPr>
            </w:pPr>
          </w:p>
        </w:tc>
        <w:tc>
          <w:tcPr>
            <w:tcW w:w="0" w:type="auto"/>
            <w:shd w:val="clear" w:color="auto" w:fill="auto"/>
            <w:noWrap/>
            <w:vAlign w:val="center"/>
            <w:hideMark/>
          </w:tcPr>
          <w:p w14:paraId="5B66D464" w14:textId="77777777" w:rsidR="00677C2C" w:rsidRPr="00AE6792" w:rsidRDefault="00677C2C" w:rsidP="00057762">
            <w:pPr>
              <w:spacing w:line="240" w:lineRule="auto"/>
              <w:jc w:val="center"/>
              <w:rPr>
                <w:rFonts w:cs="Arial"/>
                <w:color w:val="00B0F0"/>
                <w:lang w:eastAsia="en-AU"/>
              </w:rPr>
            </w:pPr>
          </w:p>
        </w:tc>
        <w:tc>
          <w:tcPr>
            <w:tcW w:w="0" w:type="auto"/>
            <w:shd w:val="clear" w:color="auto" w:fill="auto"/>
            <w:noWrap/>
            <w:vAlign w:val="center"/>
            <w:hideMark/>
          </w:tcPr>
          <w:p w14:paraId="12EEE5EF" w14:textId="77777777" w:rsidR="00677C2C" w:rsidRPr="00AE6792" w:rsidRDefault="00677C2C" w:rsidP="00057762">
            <w:pPr>
              <w:spacing w:line="240" w:lineRule="auto"/>
              <w:jc w:val="center"/>
              <w:rPr>
                <w:rFonts w:cs="Arial"/>
                <w:color w:val="00B0F0"/>
                <w:lang w:eastAsia="en-AU"/>
              </w:rPr>
            </w:pPr>
          </w:p>
        </w:tc>
        <w:tc>
          <w:tcPr>
            <w:tcW w:w="0" w:type="auto"/>
            <w:shd w:val="clear" w:color="auto" w:fill="auto"/>
            <w:noWrap/>
            <w:vAlign w:val="center"/>
            <w:hideMark/>
          </w:tcPr>
          <w:p w14:paraId="71F7C0FC" w14:textId="77777777" w:rsidR="00677C2C" w:rsidRPr="00AE679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48B38878" w14:textId="77777777" w:rsidR="00677C2C" w:rsidRPr="00AE6792" w:rsidRDefault="00677C2C" w:rsidP="00057762">
            <w:pPr>
              <w:spacing w:line="240" w:lineRule="auto"/>
              <w:jc w:val="center"/>
              <w:rPr>
                <w:rFonts w:cs="Arial"/>
                <w:color w:val="00B0F0"/>
                <w:lang w:eastAsia="en-AU"/>
              </w:rPr>
            </w:pPr>
          </w:p>
        </w:tc>
        <w:tc>
          <w:tcPr>
            <w:tcW w:w="0" w:type="auto"/>
            <w:shd w:val="clear" w:color="auto" w:fill="auto"/>
            <w:noWrap/>
            <w:vAlign w:val="center"/>
            <w:hideMark/>
          </w:tcPr>
          <w:p w14:paraId="2A874647" w14:textId="77777777" w:rsidR="00677C2C" w:rsidRPr="00AE679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r>
      <w:tr w:rsidR="00677C2C" w:rsidRPr="00677C2C" w14:paraId="03588887" w14:textId="77777777" w:rsidTr="00057762">
        <w:trPr>
          <w:trHeight w:val="510"/>
        </w:trPr>
        <w:tc>
          <w:tcPr>
            <w:tcW w:w="0" w:type="auto"/>
            <w:vMerge/>
            <w:shd w:val="clear" w:color="auto" w:fill="auto"/>
            <w:vAlign w:val="center"/>
            <w:hideMark/>
          </w:tcPr>
          <w:p w14:paraId="67A48B1F" w14:textId="77777777" w:rsidR="00677C2C" w:rsidRPr="00677C2C" w:rsidRDefault="00677C2C" w:rsidP="00422A90">
            <w:pPr>
              <w:spacing w:line="240" w:lineRule="auto"/>
              <w:rPr>
                <w:rFonts w:cs="Arial"/>
                <w:color w:val="000000"/>
                <w:sz w:val="16"/>
                <w:szCs w:val="16"/>
                <w:lang w:eastAsia="en-AU"/>
              </w:rPr>
            </w:pPr>
          </w:p>
        </w:tc>
        <w:tc>
          <w:tcPr>
            <w:tcW w:w="0" w:type="auto"/>
            <w:shd w:val="clear" w:color="auto" w:fill="auto"/>
            <w:vAlign w:val="center"/>
            <w:hideMark/>
          </w:tcPr>
          <w:p w14:paraId="2E7A1EB2" w14:textId="77777777" w:rsidR="00677C2C" w:rsidRPr="00677C2C" w:rsidRDefault="00677C2C" w:rsidP="00422A90">
            <w:pPr>
              <w:spacing w:line="240" w:lineRule="auto"/>
              <w:rPr>
                <w:rFonts w:cs="Arial"/>
                <w:b/>
                <w:bCs/>
                <w:color w:val="0000FF"/>
                <w:sz w:val="16"/>
                <w:szCs w:val="16"/>
                <w:lang w:eastAsia="en-AU"/>
              </w:rPr>
            </w:pPr>
            <w:r w:rsidRPr="00677C2C">
              <w:rPr>
                <w:rFonts w:cs="Arial"/>
                <w:b/>
                <w:bCs/>
                <w:color w:val="0000FF"/>
                <w:sz w:val="16"/>
                <w:szCs w:val="16"/>
                <w:lang w:eastAsia="en-AU"/>
              </w:rPr>
              <w:t>Cooperative Research Centres - refocused</w:t>
            </w:r>
          </w:p>
        </w:tc>
        <w:tc>
          <w:tcPr>
            <w:tcW w:w="0" w:type="auto"/>
            <w:shd w:val="clear" w:color="auto" w:fill="auto"/>
            <w:vAlign w:val="center"/>
            <w:hideMark/>
          </w:tcPr>
          <w:p w14:paraId="1DF864DD" w14:textId="77777777" w:rsidR="00677C2C" w:rsidRPr="00677C2C" w:rsidRDefault="00677C2C" w:rsidP="00422A90">
            <w:pPr>
              <w:rPr>
                <w:rFonts w:cs="Arial"/>
                <w:color w:val="000000"/>
                <w:sz w:val="16"/>
                <w:szCs w:val="16"/>
                <w:lang w:eastAsia="en-AU"/>
              </w:rPr>
            </w:pPr>
            <w:r w:rsidRPr="00677C2C">
              <w:rPr>
                <w:rFonts w:cs="Arial"/>
                <w:color w:val="000000"/>
                <w:sz w:val="16"/>
                <w:szCs w:val="16"/>
                <w:lang w:eastAsia="en-AU"/>
              </w:rPr>
              <w:t> </w:t>
            </w:r>
          </w:p>
        </w:tc>
        <w:tc>
          <w:tcPr>
            <w:tcW w:w="0" w:type="auto"/>
            <w:shd w:val="clear" w:color="auto" w:fill="auto"/>
            <w:noWrap/>
            <w:vAlign w:val="center"/>
            <w:hideMark/>
          </w:tcPr>
          <w:p w14:paraId="5D422FBA"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4F2DCA50"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2AB72D70"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5056FB60"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33F67BF9"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11FEE117"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7A0DFCD4"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05A94A2E"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4A8F6F3F"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7BABA7FD"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r>
      <w:tr w:rsidR="00677C2C" w:rsidRPr="00677C2C" w14:paraId="0C656C40" w14:textId="77777777" w:rsidTr="00057762">
        <w:trPr>
          <w:trHeight w:val="255"/>
        </w:trPr>
        <w:tc>
          <w:tcPr>
            <w:tcW w:w="0" w:type="auto"/>
            <w:vMerge/>
            <w:shd w:val="clear" w:color="auto" w:fill="auto"/>
            <w:vAlign w:val="center"/>
            <w:hideMark/>
          </w:tcPr>
          <w:p w14:paraId="767A6101" w14:textId="77777777" w:rsidR="00677C2C" w:rsidRPr="00677C2C" w:rsidRDefault="00677C2C" w:rsidP="00422A90">
            <w:pPr>
              <w:spacing w:line="240" w:lineRule="auto"/>
              <w:rPr>
                <w:rFonts w:cs="Arial"/>
                <w:color w:val="000000"/>
                <w:sz w:val="16"/>
                <w:szCs w:val="16"/>
                <w:lang w:eastAsia="en-AU"/>
              </w:rPr>
            </w:pPr>
          </w:p>
        </w:tc>
        <w:tc>
          <w:tcPr>
            <w:tcW w:w="0" w:type="auto"/>
            <w:shd w:val="clear" w:color="auto" w:fill="auto"/>
            <w:vAlign w:val="center"/>
            <w:hideMark/>
          </w:tcPr>
          <w:p w14:paraId="4FE86BE2" w14:textId="77777777" w:rsidR="00677C2C" w:rsidRPr="00677C2C" w:rsidRDefault="00677C2C" w:rsidP="00422A90">
            <w:pPr>
              <w:spacing w:line="240" w:lineRule="auto"/>
              <w:rPr>
                <w:rFonts w:cs="Arial"/>
                <w:b/>
                <w:bCs/>
                <w:color w:val="0000FF"/>
                <w:sz w:val="16"/>
                <w:szCs w:val="16"/>
                <w:lang w:eastAsia="en-AU"/>
              </w:rPr>
            </w:pPr>
            <w:r w:rsidRPr="00677C2C">
              <w:rPr>
                <w:rFonts w:cs="Arial"/>
                <w:b/>
                <w:bCs/>
                <w:color w:val="0000FF"/>
                <w:sz w:val="16"/>
                <w:szCs w:val="16"/>
                <w:lang w:eastAsia="en-AU"/>
              </w:rPr>
              <w:t>Cooperative Research Projects</w:t>
            </w:r>
          </w:p>
        </w:tc>
        <w:tc>
          <w:tcPr>
            <w:tcW w:w="0" w:type="auto"/>
            <w:shd w:val="clear" w:color="auto" w:fill="auto"/>
            <w:vAlign w:val="center"/>
            <w:hideMark/>
          </w:tcPr>
          <w:p w14:paraId="227F94FF" w14:textId="77777777" w:rsidR="00677C2C" w:rsidRPr="00677C2C" w:rsidRDefault="00677C2C" w:rsidP="00422A90">
            <w:pPr>
              <w:rPr>
                <w:rFonts w:cs="Arial"/>
                <w:color w:val="000000"/>
                <w:sz w:val="16"/>
                <w:szCs w:val="16"/>
                <w:lang w:eastAsia="en-AU"/>
              </w:rPr>
            </w:pPr>
            <w:r w:rsidRPr="00677C2C">
              <w:rPr>
                <w:rFonts w:cs="Arial"/>
                <w:color w:val="000000"/>
                <w:sz w:val="16"/>
                <w:szCs w:val="16"/>
                <w:lang w:eastAsia="en-AU"/>
              </w:rPr>
              <w:t> </w:t>
            </w:r>
          </w:p>
        </w:tc>
        <w:tc>
          <w:tcPr>
            <w:tcW w:w="0" w:type="auto"/>
            <w:shd w:val="clear" w:color="auto" w:fill="auto"/>
            <w:noWrap/>
            <w:vAlign w:val="center"/>
            <w:hideMark/>
          </w:tcPr>
          <w:p w14:paraId="1383B097"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3E1A3BF1"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0F7A510A"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6283A0DB"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6EBEE28C"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2C0611C4"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7FE45E3F"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7700931D" w14:textId="77777777" w:rsidR="00677C2C" w:rsidRPr="00AE6792" w:rsidRDefault="00677C2C" w:rsidP="00057762">
            <w:pPr>
              <w:spacing w:line="240" w:lineRule="auto"/>
              <w:jc w:val="center"/>
              <w:rPr>
                <w:rFonts w:cs="Arial"/>
                <w:color w:val="000000"/>
                <w:lang w:eastAsia="en-AU"/>
              </w:rPr>
            </w:pPr>
          </w:p>
        </w:tc>
        <w:tc>
          <w:tcPr>
            <w:tcW w:w="0" w:type="auto"/>
            <w:shd w:val="clear" w:color="auto" w:fill="auto"/>
            <w:noWrap/>
            <w:vAlign w:val="center"/>
            <w:hideMark/>
          </w:tcPr>
          <w:p w14:paraId="6C18C5E1" w14:textId="77777777" w:rsidR="00677C2C" w:rsidRPr="00AE6792" w:rsidRDefault="00677C2C" w:rsidP="00057762">
            <w:pPr>
              <w:spacing w:line="240" w:lineRule="auto"/>
              <w:jc w:val="center"/>
              <w:rPr>
                <w:rFonts w:cs="Arial"/>
                <w:color w:val="92D050"/>
                <w:lang w:eastAsia="en-AU"/>
              </w:rPr>
            </w:pPr>
          </w:p>
        </w:tc>
        <w:tc>
          <w:tcPr>
            <w:tcW w:w="0" w:type="auto"/>
            <w:shd w:val="clear" w:color="auto" w:fill="auto"/>
            <w:noWrap/>
            <w:vAlign w:val="center"/>
            <w:hideMark/>
          </w:tcPr>
          <w:p w14:paraId="0D6C3CCE" w14:textId="77777777" w:rsidR="00677C2C" w:rsidRPr="00AE679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r>
    </w:tbl>
    <w:p w14:paraId="29F69CAE" w14:textId="77777777" w:rsidR="00162C19" w:rsidRDefault="00162C19" w:rsidP="00162C19">
      <w:pPr>
        <w:spacing w:before="240"/>
        <w:rPr>
          <w:b/>
          <w:color w:val="007FAA"/>
        </w:rPr>
      </w:pPr>
      <w:r w:rsidRPr="00527F52">
        <w:rPr>
          <w:rFonts w:cs="Arial"/>
          <w:color w:val="007FAA"/>
          <w:lang w:eastAsia="en-AU"/>
        </w:rPr>
        <w:sym w:font="Wingdings" w:char="F06C"/>
      </w:r>
      <w:r w:rsidRPr="00162C19">
        <w:rPr>
          <w:b/>
        </w:rPr>
        <w:t xml:space="preserve"> </w:t>
      </w:r>
      <w:r w:rsidRPr="00162C19">
        <w:rPr>
          <w:b/>
          <w:color w:val="007FAA"/>
        </w:rPr>
        <w:t>All end-users</w:t>
      </w:r>
    </w:p>
    <w:p w14:paraId="74E59959" w14:textId="77777777" w:rsidR="00162C19" w:rsidRPr="00162C19" w:rsidRDefault="00162C19" w:rsidP="00162C19">
      <w:pPr>
        <w:rPr>
          <w:b/>
        </w:rPr>
      </w:pPr>
      <w:r w:rsidRPr="00CD2DAC">
        <w:rPr>
          <w:rFonts w:cs="Arial"/>
          <w:color w:val="008000"/>
          <w:lang w:eastAsia="en-AU"/>
        </w:rPr>
        <w:sym w:font="Wingdings" w:char="F06E"/>
      </w:r>
      <w:r>
        <w:rPr>
          <w:rFonts w:cs="Arial"/>
          <w:color w:val="008000"/>
          <w:lang w:eastAsia="en-AU"/>
        </w:rPr>
        <w:t xml:space="preserve"> </w:t>
      </w:r>
      <w:r w:rsidRPr="00162C19">
        <w:rPr>
          <w:rFonts w:cs="Arial"/>
          <w:b/>
          <w:color w:val="008000"/>
          <w:lang w:eastAsia="en-AU"/>
        </w:rPr>
        <w:t>Industry end-users</w:t>
      </w:r>
    </w:p>
    <w:p w14:paraId="2738D8E1" w14:textId="77777777" w:rsidR="00422A90" w:rsidRPr="00422A90" w:rsidRDefault="00422A90" w:rsidP="00422A90">
      <w:pPr>
        <w:spacing w:after="200" w:line="276" w:lineRule="auto"/>
        <w:rPr>
          <w:rFonts w:asciiTheme="minorHAnsi" w:eastAsiaTheme="minorHAnsi" w:hAnsiTheme="minorHAnsi" w:cstheme="minorBidi"/>
          <w:color w:val="auto"/>
          <w:sz w:val="22"/>
          <w:szCs w:val="22"/>
        </w:rPr>
      </w:pPr>
      <w:r w:rsidRPr="00422A90">
        <w:rPr>
          <w:rFonts w:asciiTheme="minorHAnsi" w:eastAsiaTheme="minorHAnsi" w:hAnsiTheme="minorHAnsi" w:cstheme="minorBidi"/>
          <w:color w:val="auto"/>
          <w:sz w:val="22"/>
          <w:szCs w:val="22"/>
        </w:rPr>
        <w:br w:type="page"/>
      </w:r>
    </w:p>
    <w:p w14:paraId="4AE4F8A5" w14:textId="77777777" w:rsidR="00422A90" w:rsidRPr="00AF5005" w:rsidRDefault="00AF5005" w:rsidP="00422A90">
      <w:pPr>
        <w:spacing w:line="240" w:lineRule="auto"/>
        <w:rPr>
          <w:rStyle w:val="Strong"/>
        </w:rPr>
      </w:pPr>
      <w:r w:rsidRPr="00AF5005">
        <w:rPr>
          <w:rStyle w:val="Strong"/>
        </w:rPr>
        <w:t xml:space="preserve">Table 2: </w:t>
      </w:r>
      <w:r w:rsidR="00422A90" w:rsidRPr="00AF5005">
        <w:rPr>
          <w:rStyle w:val="Strong"/>
        </w:rPr>
        <w:t xml:space="preserve">Fostering collaboration and commercialising research: Key Australian programmes and Initiatives – </w:t>
      </w:r>
    </w:p>
    <w:p w14:paraId="4D23A1AA" w14:textId="77777777" w:rsidR="00422A90" w:rsidRPr="00AF5005" w:rsidRDefault="00422A90" w:rsidP="00422A90">
      <w:pPr>
        <w:spacing w:line="240" w:lineRule="auto"/>
        <w:rPr>
          <w:rStyle w:val="Strong"/>
        </w:rPr>
      </w:pPr>
      <w:r w:rsidRPr="00AF5005">
        <w:rPr>
          <w:rStyle w:val="Strong"/>
        </w:rPr>
        <w:t>State Governments</w:t>
      </w:r>
    </w:p>
    <w:p w14:paraId="6AFDDAC9" w14:textId="77777777" w:rsidR="00422A90" w:rsidRPr="00422A90" w:rsidRDefault="00422A90" w:rsidP="00422A90">
      <w:pPr>
        <w:spacing w:line="240" w:lineRule="auto"/>
        <w:rPr>
          <w:rFonts w:cs="Arial"/>
          <w:b/>
          <w:bCs/>
          <w:color w:val="000000"/>
          <w:sz w:val="20"/>
          <w:szCs w:val="20"/>
          <w:lang w:eastAsia="en-A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contains merged cells and blank cells."/>
      </w:tblPr>
      <w:tblGrid>
        <w:gridCol w:w="1561"/>
        <w:gridCol w:w="2692"/>
        <w:gridCol w:w="5087"/>
        <w:gridCol w:w="567"/>
        <w:gridCol w:w="647"/>
        <w:gridCol w:w="647"/>
        <w:gridCol w:w="640"/>
        <w:gridCol w:w="773"/>
        <w:gridCol w:w="621"/>
        <w:gridCol w:w="621"/>
        <w:gridCol w:w="621"/>
        <w:gridCol w:w="617"/>
        <w:gridCol w:w="554"/>
      </w:tblGrid>
      <w:tr w:rsidR="00422A90" w:rsidRPr="00422A90" w14:paraId="21F55E80" w14:textId="77777777" w:rsidTr="00422A90">
        <w:trPr>
          <w:cantSplit/>
          <w:trHeight w:val="255"/>
          <w:tblHeader/>
        </w:trPr>
        <w:tc>
          <w:tcPr>
            <w:tcW w:w="1561" w:type="dxa"/>
            <w:vMerge w:val="restart"/>
            <w:shd w:val="clear" w:color="000000" w:fill="000000"/>
            <w:vAlign w:val="center"/>
            <w:hideMark/>
          </w:tcPr>
          <w:p w14:paraId="27BF3DAB" w14:textId="77777777" w:rsidR="00422A90" w:rsidRPr="00422A90" w:rsidRDefault="00422A90" w:rsidP="00422A90">
            <w:pPr>
              <w:spacing w:line="240" w:lineRule="auto"/>
              <w:jc w:val="center"/>
              <w:rPr>
                <w:rFonts w:cs="Arial"/>
                <w:b/>
                <w:bCs/>
                <w:color w:val="FFFFFF"/>
                <w:sz w:val="16"/>
                <w:szCs w:val="16"/>
                <w:lang w:eastAsia="en-AU"/>
              </w:rPr>
            </w:pPr>
            <w:r w:rsidRPr="00422A90">
              <w:rPr>
                <w:rFonts w:cs="Arial"/>
                <w:b/>
                <w:bCs/>
                <w:color w:val="FFFFFF"/>
                <w:sz w:val="16"/>
                <w:szCs w:val="16"/>
                <w:lang w:eastAsia="en-AU"/>
              </w:rPr>
              <w:t>State /</w:t>
            </w:r>
            <w:r w:rsidRPr="00422A90">
              <w:rPr>
                <w:rFonts w:cs="Arial"/>
                <w:b/>
                <w:bCs/>
                <w:color w:val="FFFFFF"/>
                <w:sz w:val="16"/>
                <w:szCs w:val="16"/>
                <w:lang w:eastAsia="en-AU"/>
              </w:rPr>
              <w:br/>
              <w:t>Territory</w:t>
            </w:r>
          </w:p>
        </w:tc>
        <w:tc>
          <w:tcPr>
            <w:tcW w:w="2692" w:type="dxa"/>
            <w:vMerge w:val="restart"/>
            <w:shd w:val="clear" w:color="000000" w:fill="000000"/>
            <w:vAlign w:val="center"/>
            <w:hideMark/>
          </w:tcPr>
          <w:p w14:paraId="6EAD8B21" w14:textId="77777777" w:rsidR="00422A90" w:rsidRPr="00422A90" w:rsidRDefault="00422A90" w:rsidP="00422A90">
            <w:pPr>
              <w:spacing w:line="240" w:lineRule="auto"/>
              <w:rPr>
                <w:rFonts w:cs="Arial"/>
                <w:b/>
                <w:bCs/>
                <w:color w:val="FFFFFF"/>
                <w:sz w:val="16"/>
                <w:szCs w:val="16"/>
                <w:lang w:eastAsia="en-AU"/>
              </w:rPr>
            </w:pPr>
            <w:r w:rsidRPr="00422A90">
              <w:rPr>
                <w:rFonts w:cs="Arial"/>
                <w:b/>
                <w:bCs/>
                <w:color w:val="FFFFFF"/>
                <w:sz w:val="16"/>
                <w:szCs w:val="16"/>
                <w:lang w:eastAsia="en-AU"/>
              </w:rPr>
              <w:t>Programme / initiative</w:t>
            </w:r>
          </w:p>
        </w:tc>
        <w:tc>
          <w:tcPr>
            <w:tcW w:w="5087" w:type="dxa"/>
            <w:vMerge w:val="restart"/>
            <w:shd w:val="clear" w:color="000000" w:fill="000000"/>
            <w:vAlign w:val="center"/>
            <w:hideMark/>
          </w:tcPr>
          <w:p w14:paraId="12BF722B" w14:textId="77777777" w:rsidR="00422A90" w:rsidRPr="00422A90" w:rsidRDefault="00422A90" w:rsidP="00422A90">
            <w:pPr>
              <w:jc w:val="center"/>
              <w:rPr>
                <w:rFonts w:cs="Arial"/>
                <w:b/>
                <w:bCs/>
                <w:color w:val="FFFFFF"/>
                <w:sz w:val="16"/>
                <w:szCs w:val="16"/>
                <w:lang w:eastAsia="en-AU"/>
              </w:rPr>
            </w:pPr>
            <w:r w:rsidRPr="00422A90">
              <w:rPr>
                <w:rFonts w:cs="Arial"/>
                <w:b/>
                <w:bCs/>
                <w:color w:val="FFFFFF"/>
                <w:sz w:val="16"/>
                <w:szCs w:val="16"/>
                <w:lang w:eastAsia="en-AU"/>
              </w:rPr>
              <w:t>Description</w:t>
            </w:r>
          </w:p>
        </w:tc>
        <w:tc>
          <w:tcPr>
            <w:tcW w:w="0" w:type="auto"/>
            <w:gridSpan w:val="4"/>
            <w:shd w:val="clear" w:color="000000" w:fill="000000"/>
            <w:noWrap/>
            <w:vAlign w:val="center"/>
            <w:hideMark/>
          </w:tcPr>
          <w:p w14:paraId="558B94CA" w14:textId="77777777" w:rsidR="00422A90" w:rsidRPr="00422A90" w:rsidRDefault="00422A90" w:rsidP="00422A90">
            <w:pPr>
              <w:spacing w:line="240" w:lineRule="auto"/>
              <w:jc w:val="center"/>
              <w:rPr>
                <w:rFonts w:cs="Arial"/>
                <w:color w:val="FFFFFF"/>
                <w:sz w:val="16"/>
                <w:szCs w:val="16"/>
                <w:lang w:eastAsia="en-AU"/>
              </w:rPr>
            </w:pPr>
            <w:r w:rsidRPr="00422A90">
              <w:rPr>
                <w:rFonts w:cs="Arial"/>
                <w:color w:val="FFFFFF"/>
                <w:sz w:val="16"/>
                <w:szCs w:val="16"/>
                <w:lang w:eastAsia="en-AU"/>
              </w:rPr>
              <w:t>Duration</w:t>
            </w:r>
          </w:p>
        </w:tc>
        <w:tc>
          <w:tcPr>
            <w:tcW w:w="0" w:type="auto"/>
            <w:gridSpan w:val="4"/>
            <w:shd w:val="clear" w:color="000000" w:fill="000000"/>
            <w:noWrap/>
            <w:vAlign w:val="center"/>
            <w:hideMark/>
          </w:tcPr>
          <w:p w14:paraId="66D7F9EC" w14:textId="77777777" w:rsidR="00422A90" w:rsidRPr="00422A90" w:rsidRDefault="00422A90" w:rsidP="00422A90">
            <w:pPr>
              <w:spacing w:line="240" w:lineRule="auto"/>
              <w:jc w:val="center"/>
              <w:rPr>
                <w:rFonts w:cs="Arial"/>
                <w:color w:val="FFFFFF"/>
                <w:sz w:val="16"/>
                <w:szCs w:val="16"/>
                <w:lang w:eastAsia="en-AU"/>
              </w:rPr>
            </w:pPr>
            <w:r w:rsidRPr="00422A90">
              <w:rPr>
                <w:rFonts w:cs="Arial"/>
                <w:color w:val="FFFFFF"/>
                <w:sz w:val="16"/>
                <w:szCs w:val="16"/>
                <w:lang w:eastAsia="en-AU"/>
              </w:rPr>
              <w:t>Total Project Funding</w:t>
            </w:r>
          </w:p>
        </w:tc>
        <w:tc>
          <w:tcPr>
            <w:tcW w:w="0" w:type="auto"/>
            <w:gridSpan w:val="2"/>
            <w:shd w:val="clear" w:color="000000" w:fill="000000"/>
            <w:noWrap/>
            <w:vAlign w:val="center"/>
            <w:hideMark/>
          </w:tcPr>
          <w:p w14:paraId="069BCC32" w14:textId="77777777" w:rsidR="00422A90" w:rsidRPr="00422A90" w:rsidRDefault="00422A90" w:rsidP="00422A90">
            <w:pPr>
              <w:spacing w:line="240" w:lineRule="auto"/>
              <w:jc w:val="center"/>
              <w:rPr>
                <w:rFonts w:cs="Arial"/>
                <w:color w:val="FFFFFF"/>
                <w:sz w:val="16"/>
                <w:szCs w:val="16"/>
                <w:lang w:eastAsia="en-AU"/>
              </w:rPr>
            </w:pPr>
            <w:r w:rsidRPr="00422A90">
              <w:rPr>
                <w:rFonts w:cs="Arial"/>
                <w:color w:val="FFFFFF"/>
                <w:sz w:val="16"/>
                <w:szCs w:val="16"/>
                <w:lang w:eastAsia="en-AU"/>
              </w:rPr>
              <w:t>Partners</w:t>
            </w:r>
          </w:p>
        </w:tc>
      </w:tr>
      <w:tr w:rsidR="00422A90" w:rsidRPr="00422A90" w14:paraId="71AE6A4B" w14:textId="77777777" w:rsidTr="00422A90">
        <w:trPr>
          <w:cantSplit/>
          <w:trHeight w:val="510"/>
          <w:tblHeader/>
        </w:trPr>
        <w:tc>
          <w:tcPr>
            <w:tcW w:w="1561" w:type="dxa"/>
            <w:vMerge/>
            <w:vAlign w:val="center"/>
            <w:hideMark/>
          </w:tcPr>
          <w:p w14:paraId="5D372126" w14:textId="77777777" w:rsidR="00422A90" w:rsidRPr="00422A90" w:rsidRDefault="00422A90" w:rsidP="00422A90">
            <w:pPr>
              <w:spacing w:line="240" w:lineRule="auto"/>
              <w:jc w:val="center"/>
              <w:rPr>
                <w:rFonts w:cs="Arial"/>
                <w:b/>
                <w:bCs/>
                <w:color w:val="FFFFFF"/>
                <w:sz w:val="16"/>
                <w:szCs w:val="16"/>
                <w:lang w:eastAsia="en-AU"/>
              </w:rPr>
            </w:pPr>
          </w:p>
        </w:tc>
        <w:tc>
          <w:tcPr>
            <w:tcW w:w="2692" w:type="dxa"/>
            <w:vMerge/>
            <w:vAlign w:val="center"/>
            <w:hideMark/>
          </w:tcPr>
          <w:p w14:paraId="26FFA80A" w14:textId="77777777" w:rsidR="00422A90" w:rsidRPr="00422A90" w:rsidRDefault="00422A90" w:rsidP="00422A90">
            <w:pPr>
              <w:spacing w:line="240" w:lineRule="auto"/>
              <w:rPr>
                <w:rFonts w:cs="Arial"/>
                <w:b/>
                <w:bCs/>
                <w:color w:val="FFFFFF"/>
                <w:sz w:val="16"/>
                <w:szCs w:val="16"/>
                <w:lang w:eastAsia="en-AU"/>
              </w:rPr>
            </w:pPr>
          </w:p>
        </w:tc>
        <w:tc>
          <w:tcPr>
            <w:tcW w:w="5087" w:type="dxa"/>
            <w:vMerge/>
            <w:vAlign w:val="center"/>
            <w:hideMark/>
          </w:tcPr>
          <w:p w14:paraId="38DE5D6D" w14:textId="77777777" w:rsidR="00422A90" w:rsidRPr="00422A90" w:rsidRDefault="00422A90" w:rsidP="00422A90">
            <w:pPr>
              <w:rPr>
                <w:rFonts w:cs="Arial"/>
                <w:b/>
                <w:bCs/>
                <w:color w:val="FFFFFF"/>
                <w:sz w:val="16"/>
                <w:szCs w:val="16"/>
                <w:lang w:eastAsia="en-AU"/>
              </w:rPr>
            </w:pPr>
          </w:p>
        </w:tc>
        <w:tc>
          <w:tcPr>
            <w:tcW w:w="0" w:type="auto"/>
            <w:shd w:val="clear" w:color="000000" w:fill="000000"/>
            <w:vAlign w:val="center"/>
            <w:hideMark/>
          </w:tcPr>
          <w:p w14:paraId="45B2F79D" w14:textId="77777777" w:rsidR="00422A90" w:rsidRPr="00422A90" w:rsidRDefault="00422A90" w:rsidP="00422A90">
            <w:pPr>
              <w:spacing w:line="240" w:lineRule="auto"/>
              <w:jc w:val="center"/>
              <w:rPr>
                <w:rFonts w:cs="Arial"/>
                <w:color w:val="FFFFFF"/>
                <w:sz w:val="16"/>
                <w:szCs w:val="16"/>
                <w:lang w:eastAsia="en-AU"/>
              </w:rPr>
            </w:pPr>
            <w:r w:rsidRPr="00422A90">
              <w:rPr>
                <w:rFonts w:cs="Arial"/>
                <w:color w:val="FFFFFF"/>
                <w:sz w:val="16"/>
                <w:szCs w:val="16"/>
                <w:lang w:eastAsia="en-AU"/>
              </w:rPr>
              <w:t>&lt; 1 year</w:t>
            </w:r>
          </w:p>
        </w:tc>
        <w:tc>
          <w:tcPr>
            <w:tcW w:w="0" w:type="auto"/>
            <w:shd w:val="clear" w:color="000000" w:fill="000000"/>
            <w:vAlign w:val="center"/>
            <w:hideMark/>
          </w:tcPr>
          <w:p w14:paraId="7DD213C7" w14:textId="77777777" w:rsidR="00422A90" w:rsidRPr="00422A90" w:rsidRDefault="00422A90" w:rsidP="00422A90">
            <w:pPr>
              <w:spacing w:line="240" w:lineRule="auto"/>
              <w:jc w:val="center"/>
              <w:rPr>
                <w:rFonts w:cs="Arial"/>
                <w:color w:val="FFFFFF"/>
                <w:sz w:val="16"/>
                <w:szCs w:val="16"/>
                <w:lang w:eastAsia="en-AU"/>
              </w:rPr>
            </w:pPr>
            <w:r w:rsidRPr="00422A90">
              <w:rPr>
                <w:rFonts w:cs="Arial"/>
                <w:color w:val="FFFFFF"/>
                <w:sz w:val="16"/>
                <w:szCs w:val="16"/>
                <w:lang w:eastAsia="en-AU"/>
              </w:rPr>
              <w:t>1-3 years</w:t>
            </w:r>
          </w:p>
        </w:tc>
        <w:tc>
          <w:tcPr>
            <w:tcW w:w="0" w:type="auto"/>
            <w:shd w:val="clear" w:color="000000" w:fill="000000"/>
            <w:vAlign w:val="center"/>
            <w:hideMark/>
          </w:tcPr>
          <w:p w14:paraId="7F4DC003" w14:textId="77777777" w:rsidR="00422A90" w:rsidRPr="00422A90" w:rsidRDefault="00422A90" w:rsidP="00422A90">
            <w:pPr>
              <w:spacing w:line="240" w:lineRule="auto"/>
              <w:jc w:val="center"/>
              <w:rPr>
                <w:rFonts w:cs="Arial"/>
                <w:color w:val="FFFFFF"/>
                <w:sz w:val="16"/>
                <w:szCs w:val="16"/>
                <w:lang w:eastAsia="en-AU"/>
              </w:rPr>
            </w:pPr>
            <w:r w:rsidRPr="00422A90">
              <w:rPr>
                <w:rFonts w:cs="Arial"/>
                <w:color w:val="FFFFFF"/>
                <w:sz w:val="16"/>
                <w:szCs w:val="16"/>
                <w:lang w:eastAsia="en-AU"/>
              </w:rPr>
              <w:t>3-5 years</w:t>
            </w:r>
          </w:p>
        </w:tc>
        <w:tc>
          <w:tcPr>
            <w:tcW w:w="0" w:type="auto"/>
            <w:shd w:val="clear" w:color="000000" w:fill="000000"/>
            <w:vAlign w:val="center"/>
            <w:hideMark/>
          </w:tcPr>
          <w:p w14:paraId="64CC238E" w14:textId="77777777" w:rsidR="00422A90" w:rsidRPr="00422A90" w:rsidRDefault="00422A90" w:rsidP="00422A90">
            <w:pPr>
              <w:spacing w:line="240" w:lineRule="auto"/>
              <w:jc w:val="center"/>
              <w:rPr>
                <w:rFonts w:cs="Arial"/>
                <w:color w:val="FFFFFF"/>
                <w:sz w:val="16"/>
                <w:szCs w:val="16"/>
                <w:lang w:eastAsia="en-AU"/>
              </w:rPr>
            </w:pPr>
            <w:r w:rsidRPr="00422A90">
              <w:rPr>
                <w:rFonts w:cs="Arial"/>
                <w:color w:val="FFFFFF"/>
                <w:sz w:val="16"/>
                <w:szCs w:val="16"/>
                <w:lang w:eastAsia="en-AU"/>
              </w:rPr>
              <w:t>5+ years</w:t>
            </w:r>
          </w:p>
        </w:tc>
        <w:tc>
          <w:tcPr>
            <w:tcW w:w="0" w:type="auto"/>
            <w:shd w:val="clear" w:color="000000" w:fill="000000"/>
            <w:vAlign w:val="center"/>
            <w:hideMark/>
          </w:tcPr>
          <w:p w14:paraId="067CF128" w14:textId="77777777" w:rsidR="00422A90" w:rsidRPr="00422A90" w:rsidRDefault="00422A90" w:rsidP="00422A90">
            <w:pPr>
              <w:spacing w:line="240" w:lineRule="auto"/>
              <w:jc w:val="center"/>
              <w:rPr>
                <w:rFonts w:cs="Arial"/>
                <w:color w:val="FFFFFF"/>
                <w:sz w:val="16"/>
                <w:szCs w:val="16"/>
                <w:lang w:eastAsia="en-AU"/>
              </w:rPr>
            </w:pPr>
            <w:r w:rsidRPr="00422A90">
              <w:rPr>
                <w:rFonts w:cs="Arial"/>
                <w:color w:val="FFFFFF"/>
                <w:sz w:val="16"/>
                <w:szCs w:val="16"/>
                <w:lang w:eastAsia="en-AU"/>
              </w:rPr>
              <w:t>&lt;$500K</w:t>
            </w:r>
          </w:p>
        </w:tc>
        <w:tc>
          <w:tcPr>
            <w:tcW w:w="0" w:type="auto"/>
            <w:shd w:val="clear" w:color="000000" w:fill="000000"/>
            <w:vAlign w:val="center"/>
            <w:hideMark/>
          </w:tcPr>
          <w:p w14:paraId="023C3499" w14:textId="77777777" w:rsidR="00422A90" w:rsidRPr="00422A90" w:rsidRDefault="00422A90" w:rsidP="00422A90">
            <w:pPr>
              <w:spacing w:line="240" w:lineRule="auto"/>
              <w:jc w:val="center"/>
              <w:rPr>
                <w:rFonts w:cs="Arial"/>
                <w:color w:val="FFFFFF"/>
                <w:sz w:val="16"/>
                <w:szCs w:val="16"/>
                <w:lang w:eastAsia="en-AU"/>
              </w:rPr>
            </w:pPr>
            <w:r w:rsidRPr="00422A90">
              <w:rPr>
                <w:rFonts w:cs="Arial"/>
                <w:color w:val="FFFFFF"/>
                <w:sz w:val="16"/>
                <w:szCs w:val="16"/>
                <w:lang w:eastAsia="en-AU"/>
              </w:rPr>
              <w:t>&lt;$2M</w:t>
            </w:r>
          </w:p>
        </w:tc>
        <w:tc>
          <w:tcPr>
            <w:tcW w:w="0" w:type="auto"/>
            <w:shd w:val="clear" w:color="000000" w:fill="000000"/>
            <w:vAlign w:val="center"/>
            <w:hideMark/>
          </w:tcPr>
          <w:p w14:paraId="5ABA7360" w14:textId="77777777" w:rsidR="00422A90" w:rsidRPr="00422A90" w:rsidRDefault="00422A90" w:rsidP="00422A90">
            <w:pPr>
              <w:spacing w:line="240" w:lineRule="auto"/>
              <w:jc w:val="center"/>
              <w:rPr>
                <w:rFonts w:cs="Arial"/>
                <w:color w:val="FFFFFF"/>
                <w:sz w:val="16"/>
                <w:szCs w:val="16"/>
                <w:lang w:eastAsia="en-AU"/>
              </w:rPr>
            </w:pPr>
            <w:r w:rsidRPr="00422A90">
              <w:rPr>
                <w:rFonts w:cs="Arial"/>
                <w:color w:val="FFFFFF"/>
                <w:sz w:val="16"/>
                <w:szCs w:val="16"/>
                <w:lang w:eastAsia="en-AU"/>
              </w:rPr>
              <w:t>&lt;$5M</w:t>
            </w:r>
          </w:p>
        </w:tc>
        <w:tc>
          <w:tcPr>
            <w:tcW w:w="0" w:type="auto"/>
            <w:shd w:val="clear" w:color="000000" w:fill="000000"/>
            <w:vAlign w:val="center"/>
            <w:hideMark/>
          </w:tcPr>
          <w:p w14:paraId="3DE900A5" w14:textId="77777777" w:rsidR="00422A90" w:rsidRPr="00422A90" w:rsidRDefault="00422A90" w:rsidP="00422A90">
            <w:pPr>
              <w:spacing w:line="240" w:lineRule="auto"/>
              <w:jc w:val="center"/>
              <w:rPr>
                <w:rFonts w:cs="Arial"/>
                <w:color w:val="FFFFFF"/>
                <w:sz w:val="16"/>
                <w:szCs w:val="16"/>
                <w:lang w:eastAsia="en-AU"/>
              </w:rPr>
            </w:pPr>
            <w:r w:rsidRPr="00422A90">
              <w:rPr>
                <w:rFonts w:cs="Arial"/>
                <w:color w:val="FFFFFF"/>
                <w:sz w:val="16"/>
                <w:szCs w:val="16"/>
                <w:lang w:eastAsia="en-AU"/>
              </w:rPr>
              <w:t>&gt;$5M</w:t>
            </w:r>
          </w:p>
        </w:tc>
        <w:tc>
          <w:tcPr>
            <w:tcW w:w="0" w:type="auto"/>
            <w:shd w:val="clear" w:color="000000" w:fill="000000"/>
            <w:noWrap/>
            <w:vAlign w:val="center"/>
            <w:hideMark/>
          </w:tcPr>
          <w:p w14:paraId="2ECA9176" w14:textId="77777777" w:rsidR="00422A90" w:rsidRPr="00422A90" w:rsidRDefault="00422A90" w:rsidP="00422A90">
            <w:pPr>
              <w:spacing w:line="240" w:lineRule="auto"/>
              <w:jc w:val="center"/>
              <w:rPr>
                <w:rFonts w:cs="Arial"/>
                <w:color w:val="FFFFFF"/>
                <w:sz w:val="16"/>
                <w:szCs w:val="16"/>
                <w:lang w:eastAsia="en-AU"/>
              </w:rPr>
            </w:pPr>
            <w:r w:rsidRPr="00422A90">
              <w:rPr>
                <w:rFonts w:cs="Arial"/>
                <w:color w:val="FFFFFF"/>
                <w:sz w:val="16"/>
                <w:szCs w:val="16"/>
                <w:lang w:eastAsia="en-AU"/>
              </w:rPr>
              <w:t>1 to 1</w:t>
            </w:r>
          </w:p>
        </w:tc>
        <w:tc>
          <w:tcPr>
            <w:tcW w:w="0" w:type="auto"/>
            <w:shd w:val="clear" w:color="000000" w:fill="000000"/>
            <w:noWrap/>
            <w:vAlign w:val="center"/>
            <w:hideMark/>
          </w:tcPr>
          <w:p w14:paraId="2C3B1557" w14:textId="77777777" w:rsidR="00422A90" w:rsidRPr="00422A90" w:rsidRDefault="00422A90" w:rsidP="00422A90">
            <w:pPr>
              <w:spacing w:line="240" w:lineRule="auto"/>
              <w:jc w:val="center"/>
              <w:rPr>
                <w:rFonts w:cs="Arial"/>
                <w:color w:val="FFFFFF"/>
                <w:sz w:val="16"/>
                <w:szCs w:val="16"/>
                <w:lang w:eastAsia="en-AU"/>
              </w:rPr>
            </w:pPr>
            <w:r w:rsidRPr="00422A90">
              <w:rPr>
                <w:rFonts w:cs="Arial"/>
                <w:color w:val="FFFFFF"/>
                <w:sz w:val="16"/>
                <w:szCs w:val="16"/>
                <w:lang w:eastAsia="en-AU"/>
              </w:rPr>
              <w:t>Multi</w:t>
            </w:r>
          </w:p>
        </w:tc>
      </w:tr>
      <w:tr w:rsidR="00422A90" w:rsidRPr="00422A90" w14:paraId="564DA5DB" w14:textId="77777777" w:rsidTr="00422A90">
        <w:trPr>
          <w:cantSplit/>
          <w:trHeight w:val="1067"/>
        </w:trPr>
        <w:tc>
          <w:tcPr>
            <w:tcW w:w="1561" w:type="dxa"/>
            <w:vMerge w:val="restart"/>
            <w:shd w:val="clear" w:color="auto" w:fill="auto"/>
            <w:vAlign w:val="center"/>
            <w:hideMark/>
          </w:tcPr>
          <w:p w14:paraId="4B30A838" w14:textId="77777777" w:rsidR="00422A90" w:rsidRPr="00422A90" w:rsidRDefault="00422A90" w:rsidP="00422A90">
            <w:pPr>
              <w:spacing w:line="240" w:lineRule="auto"/>
              <w:jc w:val="center"/>
              <w:rPr>
                <w:rFonts w:cs="Arial"/>
                <w:color w:val="000000"/>
                <w:sz w:val="16"/>
                <w:szCs w:val="16"/>
                <w:lang w:eastAsia="en-AU"/>
              </w:rPr>
            </w:pPr>
            <w:r w:rsidRPr="00422A90">
              <w:rPr>
                <w:rFonts w:cs="Arial"/>
                <w:color w:val="000000"/>
                <w:sz w:val="16"/>
                <w:szCs w:val="16"/>
                <w:lang w:eastAsia="en-AU"/>
              </w:rPr>
              <w:t>New South Wales</w:t>
            </w:r>
          </w:p>
        </w:tc>
        <w:tc>
          <w:tcPr>
            <w:tcW w:w="2692" w:type="dxa"/>
            <w:shd w:val="clear" w:color="auto" w:fill="auto"/>
            <w:vAlign w:val="center"/>
            <w:hideMark/>
          </w:tcPr>
          <w:p w14:paraId="24B2589E" w14:textId="77777777" w:rsidR="00422A90" w:rsidRPr="00422A90" w:rsidRDefault="00B96CA1" w:rsidP="00422A90">
            <w:pPr>
              <w:spacing w:line="240" w:lineRule="auto"/>
              <w:rPr>
                <w:rFonts w:cs="Arial"/>
                <w:color w:val="0000FF"/>
                <w:sz w:val="16"/>
                <w:szCs w:val="16"/>
                <w:u w:val="single"/>
                <w:lang w:eastAsia="en-AU"/>
              </w:rPr>
            </w:pPr>
            <w:hyperlink r:id="rId47" w:history="1">
              <w:r w:rsidR="00422A90" w:rsidRPr="00422A90">
                <w:rPr>
                  <w:rFonts w:cs="Arial"/>
                  <w:color w:val="0000FF"/>
                  <w:sz w:val="16"/>
                  <w:szCs w:val="16"/>
                  <w:u w:val="single"/>
                  <w:lang w:eastAsia="en-AU"/>
                </w:rPr>
                <w:t>Innovate NSW</w:t>
              </w:r>
            </w:hyperlink>
          </w:p>
        </w:tc>
        <w:tc>
          <w:tcPr>
            <w:tcW w:w="5087" w:type="dxa"/>
            <w:shd w:val="clear" w:color="auto" w:fill="auto"/>
            <w:vAlign w:val="center"/>
            <w:hideMark/>
          </w:tcPr>
          <w:p w14:paraId="68FE6AEE" w14:textId="77777777" w:rsidR="00422A90" w:rsidRPr="00422A90" w:rsidRDefault="00422A90" w:rsidP="00422A90">
            <w:pPr>
              <w:rPr>
                <w:rFonts w:cs="Arial"/>
                <w:color w:val="000000"/>
                <w:sz w:val="16"/>
                <w:szCs w:val="16"/>
                <w:lang w:eastAsia="en-AU"/>
              </w:rPr>
            </w:pPr>
            <w:r w:rsidRPr="00422A90">
              <w:rPr>
                <w:rFonts w:cs="Arial"/>
                <w:color w:val="000000"/>
                <w:sz w:val="16"/>
                <w:szCs w:val="16"/>
                <w:lang w:eastAsia="en-AU"/>
              </w:rPr>
              <w:t>Connects technology SMEs and businesses in key sectors of the NSW economy to develop globally competitive business-to-business (B2B) solutions that address compelling needs. Focuses on 'enabling technologies'.</w:t>
            </w:r>
          </w:p>
        </w:tc>
        <w:tc>
          <w:tcPr>
            <w:tcW w:w="0" w:type="auto"/>
            <w:shd w:val="clear" w:color="auto" w:fill="auto"/>
            <w:noWrap/>
            <w:vAlign w:val="center"/>
            <w:hideMark/>
          </w:tcPr>
          <w:p w14:paraId="03591BE2"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C8F6467"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40B78D7"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727BD7F"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A9DB8D5"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FC89B6C"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6DFF421E"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4986877"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5EC88E8"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E4CE082"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r>
      <w:tr w:rsidR="00422A90" w:rsidRPr="00422A90" w14:paraId="5869BE57" w14:textId="77777777" w:rsidTr="00422A90">
        <w:trPr>
          <w:cantSplit/>
          <w:trHeight w:val="842"/>
        </w:trPr>
        <w:tc>
          <w:tcPr>
            <w:tcW w:w="1561" w:type="dxa"/>
            <w:vMerge/>
            <w:shd w:val="clear" w:color="auto" w:fill="auto"/>
            <w:vAlign w:val="center"/>
            <w:hideMark/>
          </w:tcPr>
          <w:p w14:paraId="7BE09919" w14:textId="77777777" w:rsidR="00422A90" w:rsidRPr="00422A90" w:rsidRDefault="00422A90"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725E4C6A" w14:textId="77777777" w:rsidR="00422A90" w:rsidRPr="00422A90" w:rsidRDefault="00B96CA1" w:rsidP="00422A90">
            <w:pPr>
              <w:spacing w:line="240" w:lineRule="auto"/>
              <w:rPr>
                <w:rFonts w:cs="Arial"/>
                <w:color w:val="0000FF"/>
                <w:sz w:val="16"/>
                <w:szCs w:val="16"/>
                <w:u w:val="single"/>
                <w:lang w:eastAsia="en-AU"/>
              </w:rPr>
            </w:pPr>
            <w:hyperlink r:id="rId48" w:history="1">
              <w:r w:rsidR="00422A90" w:rsidRPr="00422A90">
                <w:rPr>
                  <w:rFonts w:cs="Arial"/>
                  <w:color w:val="0000FF"/>
                  <w:sz w:val="16"/>
                  <w:szCs w:val="16"/>
                  <w:u w:val="single"/>
                  <w:lang w:eastAsia="en-AU"/>
                </w:rPr>
                <w:t>Minimum Viable Product</w:t>
              </w:r>
            </w:hyperlink>
          </w:p>
        </w:tc>
        <w:tc>
          <w:tcPr>
            <w:tcW w:w="5087" w:type="dxa"/>
            <w:shd w:val="clear" w:color="auto" w:fill="auto"/>
            <w:vAlign w:val="center"/>
            <w:hideMark/>
          </w:tcPr>
          <w:p w14:paraId="26A673C6" w14:textId="77777777" w:rsidR="00422A90" w:rsidRPr="00422A90" w:rsidRDefault="00422A90" w:rsidP="00422A90">
            <w:pPr>
              <w:rPr>
                <w:rFonts w:cs="Arial"/>
                <w:color w:val="000000"/>
                <w:sz w:val="16"/>
                <w:szCs w:val="16"/>
                <w:lang w:eastAsia="en-AU"/>
              </w:rPr>
            </w:pPr>
            <w:r w:rsidRPr="00422A90">
              <w:rPr>
                <w:rFonts w:cs="Arial"/>
                <w:color w:val="000000"/>
                <w:sz w:val="16"/>
                <w:szCs w:val="16"/>
                <w:lang w:eastAsia="en-AU"/>
              </w:rPr>
              <w:t>Supports technology SMEs to engage with a potential business customer in a key market sector, and create an innovative business-to-business (B2B) solution that addresses a compelling need.</w:t>
            </w:r>
          </w:p>
        </w:tc>
        <w:tc>
          <w:tcPr>
            <w:tcW w:w="0" w:type="auto"/>
            <w:shd w:val="clear" w:color="auto" w:fill="auto"/>
            <w:noWrap/>
            <w:vAlign w:val="center"/>
            <w:hideMark/>
          </w:tcPr>
          <w:p w14:paraId="5AB430BF" w14:textId="77777777" w:rsidR="00422A90"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4DBEE39B"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F2E9171"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88E779D"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C8F9A86" w14:textId="77777777" w:rsidR="00422A90"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2C27F460"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3D6DDB8"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504A354"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DFA8BEF" w14:textId="77777777" w:rsidR="00422A90"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5FD70F10"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r>
      <w:tr w:rsidR="00422A90" w:rsidRPr="00422A90" w14:paraId="7BAAC79A" w14:textId="77777777" w:rsidTr="00422A90">
        <w:trPr>
          <w:cantSplit/>
          <w:trHeight w:val="967"/>
        </w:trPr>
        <w:tc>
          <w:tcPr>
            <w:tcW w:w="1561" w:type="dxa"/>
            <w:vMerge/>
            <w:shd w:val="clear" w:color="auto" w:fill="auto"/>
            <w:vAlign w:val="center"/>
            <w:hideMark/>
          </w:tcPr>
          <w:p w14:paraId="6BB7EE2A" w14:textId="77777777" w:rsidR="00422A90" w:rsidRPr="00422A90" w:rsidRDefault="00422A90"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0A38A3F1" w14:textId="77777777" w:rsidR="00422A90" w:rsidRPr="00422A90" w:rsidRDefault="00B96CA1" w:rsidP="00422A90">
            <w:pPr>
              <w:spacing w:line="240" w:lineRule="auto"/>
              <w:rPr>
                <w:rFonts w:cs="Arial"/>
                <w:color w:val="0000FF"/>
                <w:sz w:val="16"/>
                <w:szCs w:val="16"/>
                <w:u w:val="single"/>
                <w:lang w:eastAsia="en-AU"/>
              </w:rPr>
            </w:pPr>
            <w:hyperlink r:id="rId49" w:history="1">
              <w:proofErr w:type="spellStart"/>
              <w:r w:rsidR="00422A90" w:rsidRPr="00422A90">
                <w:rPr>
                  <w:rFonts w:cs="Arial"/>
                  <w:color w:val="0000FF"/>
                  <w:sz w:val="16"/>
                  <w:szCs w:val="16"/>
                  <w:u w:val="single"/>
                  <w:lang w:eastAsia="en-AU"/>
                </w:rPr>
                <w:t>TechVouchers</w:t>
              </w:r>
              <w:proofErr w:type="spellEnd"/>
            </w:hyperlink>
          </w:p>
        </w:tc>
        <w:tc>
          <w:tcPr>
            <w:tcW w:w="5087" w:type="dxa"/>
            <w:shd w:val="clear" w:color="auto" w:fill="auto"/>
            <w:vAlign w:val="center"/>
            <w:hideMark/>
          </w:tcPr>
          <w:p w14:paraId="39F61092" w14:textId="77777777" w:rsidR="00422A90" w:rsidRPr="00422A90" w:rsidRDefault="00422A90" w:rsidP="00422A90">
            <w:pPr>
              <w:rPr>
                <w:rFonts w:cs="Arial"/>
                <w:color w:val="000000"/>
                <w:sz w:val="16"/>
                <w:szCs w:val="16"/>
                <w:lang w:eastAsia="en-AU"/>
              </w:rPr>
            </w:pPr>
            <w:r w:rsidRPr="00422A90">
              <w:rPr>
                <w:rFonts w:cs="Arial"/>
                <w:color w:val="000000"/>
                <w:sz w:val="16"/>
                <w:szCs w:val="16"/>
                <w:lang w:eastAsia="en-AU"/>
              </w:rPr>
              <w:t>Supports small to medium-sized enterprises to access technical research infrastructure and expertise such as testing, validation and feasibility studies in NSW public sector research organisations (PSROs).</w:t>
            </w:r>
          </w:p>
        </w:tc>
        <w:tc>
          <w:tcPr>
            <w:tcW w:w="0" w:type="auto"/>
            <w:shd w:val="clear" w:color="auto" w:fill="auto"/>
            <w:noWrap/>
            <w:vAlign w:val="center"/>
            <w:hideMark/>
          </w:tcPr>
          <w:p w14:paraId="2FE67779" w14:textId="77777777" w:rsidR="00422A90"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37822CE8"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80192DB"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F6B957B"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D5252D2" w14:textId="77777777" w:rsidR="00422A90"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4A401289"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7140037"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5590DC7"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472764A" w14:textId="77777777" w:rsidR="00422A90"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6630DD68"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r>
      <w:tr w:rsidR="00422A90" w:rsidRPr="00422A90" w14:paraId="26E2A86C" w14:textId="77777777" w:rsidTr="00566692">
        <w:trPr>
          <w:cantSplit/>
          <w:trHeight w:val="995"/>
        </w:trPr>
        <w:tc>
          <w:tcPr>
            <w:tcW w:w="1561" w:type="dxa"/>
            <w:vMerge/>
            <w:shd w:val="clear" w:color="auto" w:fill="auto"/>
            <w:vAlign w:val="center"/>
            <w:hideMark/>
          </w:tcPr>
          <w:p w14:paraId="61B86391" w14:textId="77777777" w:rsidR="00422A90" w:rsidRPr="00422A90" w:rsidRDefault="00422A90"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79D09ED8" w14:textId="77777777" w:rsidR="00422A90" w:rsidRPr="00422A90" w:rsidRDefault="00B96CA1" w:rsidP="00422A90">
            <w:pPr>
              <w:spacing w:line="240" w:lineRule="auto"/>
              <w:rPr>
                <w:rFonts w:cs="Arial"/>
                <w:color w:val="0000FF"/>
                <w:sz w:val="16"/>
                <w:szCs w:val="16"/>
                <w:u w:val="single"/>
                <w:lang w:eastAsia="en-AU"/>
              </w:rPr>
            </w:pPr>
            <w:hyperlink r:id="rId50" w:history="1">
              <w:r w:rsidR="00422A90" w:rsidRPr="00422A90">
                <w:rPr>
                  <w:rFonts w:cs="Arial"/>
                  <w:color w:val="0000FF"/>
                  <w:sz w:val="16"/>
                  <w:szCs w:val="16"/>
                  <w:u w:val="single"/>
                  <w:lang w:eastAsia="en-AU"/>
                </w:rPr>
                <w:t>Collaborative Solutions</w:t>
              </w:r>
            </w:hyperlink>
          </w:p>
        </w:tc>
        <w:tc>
          <w:tcPr>
            <w:tcW w:w="5087" w:type="dxa"/>
            <w:shd w:val="clear" w:color="auto" w:fill="auto"/>
            <w:vAlign w:val="center"/>
            <w:hideMark/>
          </w:tcPr>
          <w:p w14:paraId="536AB742" w14:textId="77777777" w:rsidR="00422A90" w:rsidRPr="00422A90" w:rsidRDefault="00422A90" w:rsidP="00422A90">
            <w:pPr>
              <w:rPr>
                <w:rFonts w:cs="Arial"/>
                <w:color w:val="000000"/>
                <w:sz w:val="16"/>
                <w:szCs w:val="16"/>
                <w:lang w:eastAsia="en-AU"/>
              </w:rPr>
            </w:pPr>
            <w:r w:rsidRPr="00422A90">
              <w:rPr>
                <w:rFonts w:cs="Arial"/>
                <w:color w:val="000000"/>
                <w:sz w:val="16"/>
                <w:szCs w:val="16"/>
                <w:lang w:eastAsia="en-AU"/>
              </w:rPr>
              <w:t>Supports the development of innovative technology-enabled solutions that address an identified barrier to growth in a key sector. Focuses on enabling technologies such as mobile, cloud, analytics, sensors, advanced materials and biosciences.</w:t>
            </w:r>
          </w:p>
        </w:tc>
        <w:tc>
          <w:tcPr>
            <w:tcW w:w="0" w:type="auto"/>
            <w:shd w:val="clear" w:color="auto" w:fill="auto"/>
            <w:noWrap/>
            <w:vAlign w:val="center"/>
          </w:tcPr>
          <w:p w14:paraId="4005434E" w14:textId="77777777" w:rsidR="00422A90" w:rsidRPr="00057762" w:rsidRDefault="00422A90" w:rsidP="00422A90">
            <w:pPr>
              <w:spacing w:line="240" w:lineRule="auto"/>
              <w:jc w:val="center"/>
              <w:rPr>
                <w:rFonts w:cs="Arial"/>
                <w:color w:val="000000"/>
                <w:lang w:eastAsia="en-AU"/>
              </w:rPr>
            </w:pPr>
          </w:p>
        </w:tc>
        <w:tc>
          <w:tcPr>
            <w:tcW w:w="0" w:type="auto"/>
            <w:shd w:val="clear" w:color="auto" w:fill="auto"/>
            <w:noWrap/>
            <w:vAlign w:val="center"/>
          </w:tcPr>
          <w:p w14:paraId="24F3E97E" w14:textId="77777777" w:rsidR="00422A90" w:rsidRPr="00057762" w:rsidRDefault="00422A90" w:rsidP="00422A90">
            <w:pPr>
              <w:spacing w:line="240" w:lineRule="auto"/>
              <w:jc w:val="center"/>
              <w:rPr>
                <w:rFonts w:cs="Arial"/>
                <w:color w:val="000000"/>
                <w:lang w:eastAsia="en-AU"/>
              </w:rPr>
            </w:pPr>
          </w:p>
        </w:tc>
        <w:tc>
          <w:tcPr>
            <w:tcW w:w="0" w:type="auto"/>
            <w:shd w:val="clear" w:color="auto" w:fill="auto"/>
            <w:noWrap/>
            <w:vAlign w:val="center"/>
          </w:tcPr>
          <w:p w14:paraId="3C515EAA" w14:textId="77777777" w:rsidR="00422A90" w:rsidRPr="00057762" w:rsidRDefault="00422A90" w:rsidP="00422A90">
            <w:pPr>
              <w:spacing w:line="240" w:lineRule="auto"/>
              <w:jc w:val="center"/>
              <w:rPr>
                <w:rFonts w:cs="Arial"/>
                <w:color w:val="000000"/>
                <w:lang w:eastAsia="en-AU"/>
              </w:rPr>
            </w:pPr>
          </w:p>
        </w:tc>
        <w:tc>
          <w:tcPr>
            <w:tcW w:w="0" w:type="auto"/>
            <w:shd w:val="clear" w:color="auto" w:fill="auto"/>
            <w:noWrap/>
            <w:vAlign w:val="center"/>
          </w:tcPr>
          <w:p w14:paraId="18A97C12" w14:textId="77777777" w:rsidR="00422A90" w:rsidRPr="00057762" w:rsidRDefault="00422A90" w:rsidP="00422A90">
            <w:pPr>
              <w:spacing w:line="240" w:lineRule="auto"/>
              <w:jc w:val="center"/>
              <w:rPr>
                <w:rFonts w:cs="Arial"/>
                <w:color w:val="000000"/>
                <w:lang w:eastAsia="en-AU"/>
              </w:rPr>
            </w:pPr>
          </w:p>
        </w:tc>
        <w:tc>
          <w:tcPr>
            <w:tcW w:w="0" w:type="auto"/>
            <w:shd w:val="clear" w:color="auto" w:fill="auto"/>
            <w:noWrap/>
            <w:vAlign w:val="center"/>
            <w:hideMark/>
          </w:tcPr>
          <w:p w14:paraId="39098FFD" w14:textId="77777777" w:rsidR="00422A90"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3EE5A165"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A6D7A49"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4F8E6C9"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BBA838F" w14:textId="77777777" w:rsidR="00422A90"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3D55FD49"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r>
      <w:tr w:rsidR="00422A90" w:rsidRPr="00422A90" w14:paraId="4FEF1C1A" w14:textId="77777777" w:rsidTr="00566692">
        <w:trPr>
          <w:cantSplit/>
          <w:trHeight w:val="854"/>
        </w:trPr>
        <w:tc>
          <w:tcPr>
            <w:tcW w:w="1561" w:type="dxa"/>
            <w:vMerge/>
            <w:shd w:val="clear" w:color="auto" w:fill="auto"/>
            <w:vAlign w:val="center"/>
            <w:hideMark/>
          </w:tcPr>
          <w:p w14:paraId="6063F4F9" w14:textId="77777777" w:rsidR="00422A90" w:rsidRPr="00422A90" w:rsidRDefault="00422A90"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75B9E812" w14:textId="77777777" w:rsidR="00422A90" w:rsidRPr="00422A90" w:rsidRDefault="00B96CA1" w:rsidP="00422A90">
            <w:pPr>
              <w:spacing w:line="240" w:lineRule="auto"/>
              <w:rPr>
                <w:rFonts w:cs="Arial"/>
                <w:color w:val="0000FF"/>
                <w:sz w:val="16"/>
                <w:szCs w:val="16"/>
                <w:u w:val="single"/>
                <w:lang w:eastAsia="en-AU"/>
              </w:rPr>
            </w:pPr>
            <w:hyperlink r:id="rId51" w:history="1">
              <w:r w:rsidR="00422A90" w:rsidRPr="00422A90">
                <w:rPr>
                  <w:rFonts w:cs="Arial"/>
                  <w:color w:val="0000FF"/>
                  <w:sz w:val="16"/>
                  <w:szCs w:val="16"/>
                  <w:u w:val="single"/>
                  <w:lang w:eastAsia="en-AU"/>
                </w:rPr>
                <w:t>Easy Access IP</w:t>
              </w:r>
            </w:hyperlink>
          </w:p>
        </w:tc>
        <w:tc>
          <w:tcPr>
            <w:tcW w:w="5087" w:type="dxa"/>
            <w:shd w:val="clear" w:color="auto" w:fill="auto"/>
            <w:vAlign w:val="center"/>
            <w:hideMark/>
          </w:tcPr>
          <w:p w14:paraId="7808DECA" w14:textId="77777777" w:rsidR="00422A90" w:rsidRPr="00422A90" w:rsidRDefault="00422A90" w:rsidP="00422A90">
            <w:pPr>
              <w:rPr>
                <w:rFonts w:cs="Arial"/>
                <w:color w:val="000000"/>
                <w:sz w:val="16"/>
                <w:szCs w:val="16"/>
                <w:lang w:eastAsia="en-AU"/>
              </w:rPr>
            </w:pPr>
            <w:r w:rsidRPr="00422A90">
              <w:rPr>
                <w:rFonts w:cs="Arial"/>
                <w:color w:val="000000"/>
                <w:sz w:val="16"/>
                <w:szCs w:val="16"/>
                <w:lang w:eastAsia="en-AU"/>
              </w:rPr>
              <w:t>Aims to improve collaboration between industry and research organisations and develop faster pathways to commercialisation of existing intellectual property.</w:t>
            </w:r>
          </w:p>
        </w:tc>
        <w:tc>
          <w:tcPr>
            <w:tcW w:w="0" w:type="auto"/>
            <w:shd w:val="clear" w:color="auto" w:fill="auto"/>
            <w:noWrap/>
            <w:vAlign w:val="center"/>
            <w:hideMark/>
          </w:tcPr>
          <w:p w14:paraId="0757ECF0"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32968E9"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6AA958C"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9381313" w14:textId="77777777" w:rsidR="00422A90"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tcPr>
          <w:p w14:paraId="47407314" w14:textId="77777777" w:rsidR="00422A90" w:rsidRPr="00057762" w:rsidRDefault="00422A90" w:rsidP="00422A90">
            <w:pPr>
              <w:spacing w:line="240" w:lineRule="auto"/>
              <w:jc w:val="center"/>
              <w:rPr>
                <w:rFonts w:cs="Arial"/>
                <w:color w:val="000000"/>
                <w:lang w:eastAsia="en-AU"/>
              </w:rPr>
            </w:pPr>
          </w:p>
        </w:tc>
        <w:tc>
          <w:tcPr>
            <w:tcW w:w="0" w:type="auto"/>
            <w:shd w:val="clear" w:color="auto" w:fill="auto"/>
            <w:noWrap/>
            <w:vAlign w:val="center"/>
          </w:tcPr>
          <w:p w14:paraId="0E8BA26E" w14:textId="77777777" w:rsidR="00422A90" w:rsidRPr="00057762" w:rsidRDefault="00422A90" w:rsidP="00422A90">
            <w:pPr>
              <w:spacing w:line="240" w:lineRule="auto"/>
              <w:jc w:val="center"/>
              <w:rPr>
                <w:rFonts w:cs="Arial"/>
                <w:color w:val="000000"/>
                <w:lang w:eastAsia="en-AU"/>
              </w:rPr>
            </w:pPr>
          </w:p>
        </w:tc>
        <w:tc>
          <w:tcPr>
            <w:tcW w:w="0" w:type="auto"/>
            <w:shd w:val="clear" w:color="auto" w:fill="auto"/>
            <w:noWrap/>
            <w:vAlign w:val="center"/>
          </w:tcPr>
          <w:p w14:paraId="1DE31979" w14:textId="77777777" w:rsidR="00422A90" w:rsidRPr="00057762" w:rsidRDefault="00422A90" w:rsidP="00422A90">
            <w:pPr>
              <w:spacing w:line="240" w:lineRule="auto"/>
              <w:jc w:val="center"/>
              <w:rPr>
                <w:rFonts w:cs="Arial"/>
                <w:color w:val="000000"/>
                <w:lang w:eastAsia="en-AU"/>
              </w:rPr>
            </w:pPr>
          </w:p>
        </w:tc>
        <w:tc>
          <w:tcPr>
            <w:tcW w:w="0" w:type="auto"/>
            <w:shd w:val="clear" w:color="auto" w:fill="auto"/>
            <w:noWrap/>
            <w:vAlign w:val="center"/>
          </w:tcPr>
          <w:p w14:paraId="2C5503AF" w14:textId="77777777" w:rsidR="00422A90" w:rsidRPr="00057762" w:rsidRDefault="00422A90" w:rsidP="00422A90">
            <w:pPr>
              <w:spacing w:line="240" w:lineRule="auto"/>
              <w:jc w:val="center"/>
              <w:rPr>
                <w:rFonts w:cs="Arial"/>
                <w:color w:val="000000"/>
                <w:lang w:eastAsia="en-AU"/>
              </w:rPr>
            </w:pPr>
          </w:p>
        </w:tc>
        <w:tc>
          <w:tcPr>
            <w:tcW w:w="0" w:type="auto"/>
            <w:shd w:val="clear" w:color="auto" w:fill="auto"/>
            <w:noWrap/>
            <w:vAlign w:val="center"/>
            <w:hideMark/>
          </w:tcPr>
          <w:p w14:paraId="547B2A6A" w14:textId="77777777" w:rsidR="00422A90"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1416F62F" w14:textId="77777777" w:rsidR="00422A90" w:rsidRPr="00057762" w:rsidRDefault="00422A90" w:rsidP="00422A90">
            <w:pPr>
              <w:spacing w:line="240" w:lineRule="auto"/>
              <w:jc w:val="center"/>
              <w:rPr>
                <w:rFonts w:cs="Arial"/>
                <w:color w:val="00B0F0"/>
                <w:lang w:eastAsia="en-AU"/>
              </w:rPr>
            </w:pPr>
            <w:r w:rsidRPr="00057762">
              <w:rPr>
                <w:rFonts w:cs="Arial"/>
                <w:color w:val="00B0F0"/>
                <w:lang w:eastAsia="en-AU"/>
              </w:rPr>
              <w:t> </w:t>
            </w:r>
          </w:p>
        </w:tc>
      </w:tr>
      <w:tr w:rsidR="00422A90" w:rsidRPr="00422A90" w14:paraId="50786178" w14:textId="77777777" w:rsidTr="00422A90">
        <w:trPr>
          <w:cantSplit/>
          <w:trHeight w:val="510"/>
        </w:trPr>
        <w:tc>
          <w:tcPr>
            <w:tcW w:w="1561" w:type="dxa"/>
            <w:vMerge/>
            <w:shd w:val="clear" w:color="auto" w:fill="auto"/>
            <w:vAlign w:val="center"/>
            <w:hideMark/>
          </w:tcPr>
          <w:p w14:paraId="2315DFAC" w14:textId="77777777" w:rsidR="00422A90" w:rsidRPr="00422A90" w:rsidRDefault="00422A90"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1932953D" w14:textId="77777777" w:rsidR="00422A90" w:rsidRPr="00422A90" w:rsidRDefault="00B96CA1" w:rsidP="00422A90">
            <w:pPr>
              <w:spacing w:line="240" w:lineRule="auto"/>
              <w:rPr>
                <w:rFonts w:cs="Arial"/>
                <w:color w:val="0000FF"/>
                <w:sz w:val="16"/>
                <w:szCs w:val="16"/>
                <w:u w:val="single"/>
                <w:lang w:eastAsia="en-AU"/>
              </w:rPr>
            </w:pPr>
            <w:hyperlink r:id="rId52" w:history="1">
              <w:r w:rsidR="00422A90" w:rsidRPr="00422A90">
                <w:rPr>
                  <w:rFonts w:cs="Arial"/>
                  <w:color w:val="0000FF"/>
                  <w:sz w:val="16"/>
                  <w:szCs w:val="16"/>
                  <w:u w:val="single"/>
                  <w:lang w:eastAsia="en-AU"/>
                </w:rPr>
                <w:t>Research Attraction and Acceleration Program</w:t>
              </w:r>
            </w:hyperlink>
          </w:p>
        </w:tc>
        <w:tc>
          <w:tcPr>
            <w:tcW w:w="5087" w:type="dxa"/>
            <w:shd w:val="clear" w:color="auto" w:fill="auto"/>
            <w:vAlign w:val="center"/>
            <w:hideMark/>
          </w:tcPr>
          <w:p w14:paraId="44941123" w14:textId="77777777" w:rsidR="00422A90" w:rsidRPr="00422A90" w:rsidRDefault="00422A90" w:rsidP="00422A90">
            <w:pPr>
              <w:rPr>
                <w:rFonts w:cs="Arial"/>
                <w:color w:val="000000"/>
                <w:sz w:val="16"/>
                <w:szCs w:val="16"/>
                <w:lang w:eastAsia="en-AU"/>
              </w:rPr>
            </w:pPr>
            <w:r w:rsidRPr="00422A90">
              <w:rPr>
                <w:rFonts w:cs="Arial"/>
                <w:color w:val="000000"/>
                <w:sz w:val="16"/>
                <w:szCs w:val="16"/>
                <w:lang w:eastAsia="en-AU"/>
              </w:rPr>
              <w:t>Support innovation and investment in the State's research and development capacity.</w:t>
            </w:r>
          </w:p>
        </w:tc>
        <w:tc>
          <w:tcPr>
            <w:tcW w:w="0" w:type="auto"/>
            <w:shd w:val="clear" w:color="auto" w:fill="auto"/>
            <w:noWrap/>
            <w:vAlign w:val="center"/>
            <w:hideMark/>
          </w:tcPr>
          <w:p w14:paraId="7F624C98"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9215E19"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023E117"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B7EFA82"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615D2E2F"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EC19C90"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4A011D5"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BD90A32"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bottom"/>
            <w:hideMark/>
          </w:tcPr>
          <w:p w14:paraId="1068F6B6" w14:textId="77777777" w:rsidR="00422A90" w:rsidRPr="00057762" w:rsidRDefault="00422A90" w:rsidP="00422A90">
            <w:pPr>
              <w:spacing w:line="240" w:lineRule="auto"/>
              <w:rPr>
                <w:rFonts w:cs="Arial"/>
                <w:color w:val="000000"/>
                <w:lang w:eastAsia="en-AU"/>
              </w:rPr>
            </w:pPr>
            <w:r w:rsidRPr="00057762">
              <w:rPr>
                <w:rFonts w:cs="Arial"/>
                <w:color w:val="000000"/>
                <w:lang w:eastAsia="en-AU"/>
              </w:rPr>
              <w:t> </w:t>
            </w:r>
          </w:p>
        </w:tc>
        <w:tc>
          <w:tcPr>
            <w:tcW w:w="0" w:type="auto"/>
            <w:shd w:val="clear" w:color="auto" w:fill="auto"/>
            <w:noWrap/>
            <w:vAlign w:val="bottom"/>
            <w:hideMark/>
          </w:tcPr>
          <w:p w14:paraId="25CD4FBA" w14:textId="77777777" w:rsidR="00422A90" w:rsidRPr="00057762" w:rsidRDefault="00422A90" w:rsidP="00422A90">
            <w:pPr>
              <w:spacing w:line="240" w:lineRule="auto"/>
              <w:rPr>
                <w:rFonts w:cs="Arial"/>
                <w:color w:val="000000"/>
                <w:lang w:eastAsia="en-AU"/>
              </w:rPr>
            </w:pPr>
            <w:r w:rsidRPr="00057762">
              <w:rPr>
                <w:rFonts w:cs="Arial"/>
                <w:color w:val="000000"/>
                <w:lang w:eastAsia="en-AU"/>
              </w:rPr>
              <w:t> </w:t>
            </w:r>
          </w:p>
        </w:tc>
      </w:tr>
      <w:tr w:rsidR="001F05D8" w:rsidRPr="00422A90" w14:paraId="3945D4DE" w14:textId="77777777" w:rsidTr="00422A90">
        <w:trPr>
          <w:cantSplit/>
          <w:trHeight w:val="745"/>
        </w:trPr>
        <w:tc>
          <w:tcPr>
            <w:tcW w:w="1561" w:type="dxa"/>
            <w:vMerge w:val="restart"/>
            <w:shd w:val="clear" w:color="auto" w:fill="auto"/>
            <w:vAlign w:val="center"/>
            <w:hideMark/>
          </w:tcPr>
          <w:p w14:paraId="35401CB3" w14:textId="77777777" w:rsidR="001F05D8" w:rsidRPr="00422A90" w:rsidRDefault="001F05D8" w:rsidP="00422A90">
            <w:pPr>
              <w:spacing w:line="240" w:lineRule="auto"/>
              <w:jc w:val="center"/>
              <w:rPr>
                <w:rFonts w:cs="Arial"/>
                <w:color w:val="000000"/>
                <w:sz w:val="16"/>
                <w:szCs w:val="16"/>
                <w:lang w:eastAsia="en-AU"/>
              </w:rPr>
            </w:pPr>
            <w:r w:rsidRPr="00422A90">
              <w:rPr>
                <w:rFonts w:cs="Arial"/>
                <w:color w:val="000000"/>
                <w:sz w:val="16"/>
                <w:szCs w:val="16"/>
                <w:lang w:eastAsia="en-AU"/>
              </w:rPr>
              <w:t>Victoria</w:t>
            </w:r>
          </w:p>
        </w:tc>
        <w:tc>
          <w:tcPr>
            <w:tcW w:w="2692" w:type="dxa"/>
            <w:shd w:val="clear" w:color="auto" w:fill="auto"/>
            <w:vAlign w:val="center"/>
            <w:hideMark/>
          </w:tcPr>
          <w:p w14:paraId="7799CC46" w14:textId="77777777" w:rsidR="001F05D8" w:rsidRPr="00422A90" w:rsidRDefault="00B96CA1" w:rsidP="00422A90">
            <w:pPr>
              <w:spacing w:line="240" w:lineRule="auto"/>
              <w:rPr>
                <w:rFonts w:cs="Arial"/>
                <w:color w:val="0000FF"/>
                <w:sz w:val="16"/>
                <w:szCs w:val="16"/>
                <w:u w:val="single"/>
                <w:lang w:eastAsia="en-AU"/>
              </w:rPr>
            </w:pPr>
            <w:hyperlink r:id="rId53" w:history="1">
              <w:r w:rsidR="001F05D8" w:rsidRPr="00422A90">
                <w:rPr>
                  <w:rFonts w:cs="Arial"/>
                  <w:color w:val="0000FF"/>
                  <w:sz w:val="16"/>
                  <w:szCs w:val="16"/>
                  <w:u w:val="single"/>
                  <w:lang w:eastAsia="en-AU"/>
                </w:rPr>
                <w:t>Bioscience Research Centre project</w:t>
              </w:r>
            </w:hyperlink>
          </w:p>
        </w:tc>
        <w:tc>
          <w:tcPr>
            <w:tcW w:w="5087" w:type="dxa"/>
            <w:shd w:val="clear" w:color="auto" w:fill="auto"/>
            <w:vAlign w:val="center"/>
            <w:hideMark/>
          </w:tcPr>
          <w:p w14:paraId="623EA40C"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Key emphasis on supporting and protecting Victoria's A$11.6 billion agricultural sector. Fosters collaboration across scientific disciplines to provide solutions to industry problems.</w:t>
            </w:r>
          </w:p>
        </w:tc>
        <w:tc>
          <w:tcPr>
            <w:tcW w:w="0" w:type="auto"/>
            <w:shd w:val="clear" w:color="auto" w:fill="auto"/>
            <w:noWrap/>
            <w:vAlign w:val="center"/>
            <w:hideMark/>
          </w:tcPr>
          <w:p w14:paraId="18283B8D"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A8145DF"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C6257F3"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3D4DA3F"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27C57BFA"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E31FE89"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EFEAA02"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ACCD934"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2FB58EDC"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63366822"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r>
      <w:tr w:rsidR="001F05D8" w:rsidRPr="00422A90" w14:paraId="5EF01112" w14:textId="77777777" w:rsidTr="00422A90">
        <w:trPr>
          <w:cantSplit/>
          <w:trHeight w:val="1537"/>
        </w:trPr>
        <w:tc>
          <w:tcPr>
            <w:tcW w:w="1561" w:type="dxa"/>
            <w:vMerge/>
            <w:shd w:val="clear" w:color="auto" w:fill="auto"/>
            <w:vAlign w:val="center"/>
            <w:hideMark/>
          </w:tcPr>
          <w:p w14:paraId="47040D6F"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01842B6D" w14:textId="77777777" w:rsidR="001F05D8" w:rsidRPr="00422A90" w:rsidRDefault="00B96CA1" w:rsidP="00422A90">
            <w:pPr>
              <w:spacing w:line="240" w:lineRule="auto"/>
              <w:rPr>
                <w:rFonts w:cs="Arial"/>
                <w:color w:val="0000FF"/>
                <w:sz w:val="16"/>
                <w:szCs w:val="16"/>
                <w:u w:val="single"/>
                <w:lang w:eastAsia="en-AU"/>
              </w:rPr>
            </w:pPr>
            <w:hyperlink r:id="rId54" w:history="1">
              <w:r w:rsidR="001F05D8" w:rsidRPr="00422A90">
                <w:rPr>
                  <w:rFonts w:cs="Arial"/>
                  <w:color w:val="0000FF"/>
                  <w:sz w:val="16"/>
                  <w:szCs w:val="16"/>
                  <w:u w:val="single"/>
                  <w:lang w:eastAsia="en-AU"/>
                </w:rPr>
                <w:t>Technology Trade and International Partnering (TRIP) Program - Biotechnology and Small Technology</w:t>
              </w:r>
            </w:hyperlink>
          </w:p>
        </w:tc>
        <w:tc>
          <w:tcPr>
            <w:tcW w:w="5087" w:type="dxa"/>
            <w:shd w:val="clear" w:color="auto" w:fill="auto"/>
            <w:vAlign w:val="center"/>
            <w:hideMark/>
          </w:tcPr>
          <w:p w14:paraId="4682AEBE"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Provides grant assistance for eligible Victorian companies to attend recognised overseas conferences, trade events and meetings with regulatory authorities. Supports the growth and internationalisation of Victorian Biotechnology (including health, industrial and agricultural biotechnology, medical devices and diagnostics) and small technology (</w:t>
            </w:r>
            <w:proofErr w:type="spellStart"/>
            <w:r w:rsidRPr="00422A90">
              <w:rPr>
                <w:rFonts w:cs="Arial"/>
                <w:color w:val="000000"/>
                <w:sz w:val="16"/>
                <w:szCs w:val="16"/>
                <w:lang w:eastAsia="en-AU"/>
              </w:rPr>
              <w:t>microtechnology</w:t>
            </w:r>
            <w:proofErr w:type="spellEnd"/>
            <w:r w:rsidRPr="00422A90">
              <w:rPr>
                <w:rFonts w:cs="Arial"/>
                <w:color w:val="000000"/>
                <w:sz w:val="16"/>
                <w:szCs w:val="16"/>
                <w:lang w:eastAsia="en-AU"/>
              </w:rPr>
              <w:t xml:space="preserve"> and nanotechnology) companies.</w:t>
            </w:r>
          </w:p>
        </w:tc>
        <w:tc>
          <w:tcPr>
            <w:tcW w:w="0" w:type="auto"/>
            <w:shd w:val="clear" w:color="auto" w:fill="auto"/>
            <w:noWrap/>
            <w:vAlign w:val="center"/>
            <w:hideMark/>
          </w:tcPr>
          <w:p w14:paraId="1E768711"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44286686"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CF20A3B"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C7F5452"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BD2B44A" w14:textId="77777777" w:rsidR="001F05D8" w:rsidRPr="00057762" w:rsidRDefault="00162C19" w:rsidP="00396627">
            <w:pPr>
              <w:spacing w:line="240" w:lineRule="auto"/>
              <w:jc w:val="center"/>
              <w:rPr>
                <w:rFonts w:cs="Arial"/>
                <w:color w:val="00B0F0"/>
                <w:lang w:eastAsia="en-AU"/>
              </w:rPr>
            </w:pPr>
            <w:r>
              <w:rPr>
                <w:rFonts w:cs="Arial"/>
                <w:color w:val="007FAA"/>
                <w:lang w:eastAsia="en-AU"/>
              </w:rPr>
              <w:sym w:font="Wingdings" w:char="F06C"/>
            </w:r>
          </w:p>
        </w:tc>
        <w:tc>
          <w:tcPr>
            <w:tcW w:w="0" w:type="auto"/>
            <w:shd w:val="clear" w:color="auto" w:fill="auto"/>
            <w:noWrap/>
            <w:vAlign w:val="center"/>
            <w:hideMark/>
          </w:tcPr>
          <w:p w14:paraId="6D5B674D"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6696EECE"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7543C03"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58F1D81"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5E6B8C3E"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r>
      <w:tr w:rsidR="001F05D8" w:rsidRPr="00422A90" w14:paraId="56320C30" w14:textId="77777777" w:rsidTr="00566692">
        <w:trPr>
          <w:cantSplit/>
          <w:trHeight w:val="835"/>
        </w:trPr>
        <w:tc>
          <w:tcPr>
            <w:tcW w:w="1561" w:type="dxa"/>
            <w:vMerge w:val="restart"/>
            <w:shd w:val="clear" w:color="auto" w:fill="auto"/>
            <w:vAlign w:val="center"/>
            <w:hideMark/>
          </w:tcPr>
          <w:p w14:paraId="3ACBC49E" w14:textId="77777777" w:rsidR="001F05D8" w:rsidRPr="00422A90" w:rsidRDefault="001F05D8" w:rsidP="00422A90">
            <w:pPr>
              <w:spacing w:line="240" w:lineRule="auto"/>
              <w:jc w:val="center"/>
              <w:rPr>
                <w:rFonts w:cs="Arial"/>
                <w:color w:val="000000"/>
                <w:sz w:val="16"/>
                <w:szCs w:val="16"/>
                <w:lang w:eastAsia="en-AU"/>
              </w:rPr>
            </w:pPr>
            <w:r w:rsidRPr="00422A90">
              <w:rPr>
                <w:rFonts w:cs="Arial"/>
                <w:color w:val="000000"/>
                <w:sz w:val="16"/>
                <w:szCs w:val="16"/>
                <w:lang w:eastAsia="en-AU"/>
              </w:rPr>
              <w:t>Victoria</w:t>
            </w:r>
          </w:p>
          <w:p w14:paraId="3642BC83"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3946C2A2" w14:textId="77777777" w:rsidR="001F05D8" w:rsidRPr="00422A90" w:rsidRDefault="00B96CA1" w:rsidP="00422A90">
            <w:pPr>
              <w:spacing w:line="240" w:lineRule="auto"/>
              <w:rPr>
                <w:rFonts w:cs="Arial"/>
                <w:color w:val="0000FF"/>
                <w:sz w:val="16"/>
                <w:szCs w:val="16"/>
                <w:u w:val="single"/>
                <w:lang w:eastAsia="en-AU"/>
              </w:rPr>
            </w:pPr>
            <w:hyperlink r:id="rId55" w:history="1">
              <w:r w:rsidR="001F05D8" w:rsidRPr="00422A90">
                <w:rPr>
                  <w:rFonts w:cs="Arial"/>
                  <w:color w:val="0000FF"/>
                  <w:sz w:val="16"/>
                  <w:szCs w:val="16"/>
                  <w:u w:val="single"/>
                  <w:lang w:eastAsia="en-AU"/>
                </w:rPr>
                <w:t>VISTECH - the Victoria-Israel Science and Technology R&amp;D Fund Program</w:t>
              </w:r>
            </w:hyperlink>
          </w:p>
        </w:tc>
        <w:tc>
          <w:tcPr>
            <w:tcW w:w="5087" w:type="dxa"/>
            <w:shd w:val="clear" w:color="auto" w:fill="auto"/>
            <w:vAlign w:val="center"/>
            <w:hideMark/>
          </w:tcPr>
          <w:p w14:paraId="6AA5A0E8"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 xml:space="preserve">Facilitates joint R&amp;D projects between Victorian and Israeli technology companies leading to commercialisation of new products or services in the global market. </w:t>
            </w:r>
          </w:p>
        </w:tc>
        <w:tc>
          <w:tcPr>
            <w:tcW w:w="0" w:type="auto"/>
            <w:shd w:val="clear" w:color="auto" w:fill="auto"/>
            <w:noWrap/>
            <w:vAlign w:val="center"/>
          </w:tcPr>
          <w:p w14:paraId="6F1ADF3C"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74F303C5"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29E489E3"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3F8AA3E7"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hideMark/>
          </w:tcPr>
          <w:p w14:paraId="44BEB7F9"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63A4AA3D"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F23DDBF"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DFEBE54"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0D88378"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5D385C19"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r>
      <w:tr w:rsidR="001F05D8" w:rsidRPr="00422A90" w14:paraId="45B38D42" w14:textId="77777777" w:rsidTr="00422A90">
        <w:trPr>
          <w:cantSplit/>
          <w:trHeight w:val="1057"/>
        </w:trPr>
        <w:tc>
          <w:tcPr>
            <w:tcW w:w="1561" w:type="dxa"/>
            <w:vMerge/>
            <w:shd w:val="clear" w:color="auto" w:fill="auto"/>
            <w:vAlign w:val="center"/>
            <w:hideMark/>
          </w:tcPr>
          <w:p w14:paraId="590A76DC"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017EC592" w14:textId="77777777" w:rsidR="001F05D8" w:rsidRPr="00422A90" w:rsidRDefault="00B96CA1" w:rsidP="00422A90">
            <w:pPr>
              <w:spacing w:line="240" w:lineRule="auto"/>
              <w:rPr>
                <w:rFonts w:cs="Arial"/>
                <w:color w:val="0000FF"/>
                <w:sz w:val="16"/>
                <w:szCs w:val="16"/>
                <w:u w:val="single"/>
                <w:lang w:eastAsia="en-AU"/>
              </w:rPr>
            </w:pPr>
            <w:hyperlink r:id="rId56" w:history="1">
              <w:r w:rsidR="001F05D8" w:rsidRPr="00422A90">
                <w:rPr>
                  <w:rFonts w:cs="Arial"/>
                  <w:color w:val="0000FF"/>
                  <w:sz w:val="16"/>
                  <w:szCs w:val="16"/>
                  <w:u w:val="single"/>
                  <w:lang w:eastAsia="en-AU"/>
                </w:rPr>
                <w:t xml:space="preserve">Driving Business Innovation </w:t>
              </w:r>
            </w:hyperlink>
          </w:p>
        </w:tc>
        <w:tc>
          <w:tcPr>
            <w:tcW w:w="5087" w:type="dxa"/>
            <w:shd w:val="clear" w:color="auto" w:fill="auto"/>
            <w:vAlign w:val="center"/>
            <w:hideMark/>
          </w:tcPr>
          <w:p w14:paraId="776E17E0"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 xml:space="preserve">The program supports Victorian small to medium enterprises (SMEs) to develop new products and services for government customers. It provides SMEs with access to capital (grants funding), customers (government agencies) and collaborators (SME partners). </w:t>
            </w:r>
          </w:p>
        </w:tc>
        <w:tc>
          <w:tcPr>
            <w:tcW w:w="0" w:type="auto"/>
            <w:shd w:val="clear" w:color="auto" w:fill="auto"/>
            <w:noWrap/>
            <w:vAlign w:val="center"/>
            <w:hideMark/>
          </w:tcPr>
          <w:p w14:paraId="5596E22A"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186F38F5"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7DE8BE5B"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64DBA177"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8CE4E89"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7DA7C4B8"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2832B6B7"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C98454D"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8A76501"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08DA9C87"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r>
      <w:tr w:rsidR="001F05D8" w:rsidRPr="00422A90" w14:paraId="02CA8011" w14:textId="77777777" w:rsidTr="00422A90">
        <w:trPr>
          <w:cantSplit/>
          <w:trHeight w:val="1101"/>
        </w:trPr>
        <w:tc>
          <w:tcPr>
            <w:tcW w:w="1561" w:type="dxa"/>
            <w:vMerge/>
            <w:shd w:val="clear" w:color="auto" w:fill="auto"/>
            <w:vAlign w:val="center"/>
            <w:hideMark/>
          </w:tcPr>
          <w:p w14:paraId="143EE8E2"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4C78D9A7" w14:textId="77777777" w:rsidR="001F05D8" w:rsidRPr="00422A90" w:rsidRDefault="00B96CA1" w:rsidP="00422A90">
            <w:pPr>
              <w:spacing w:line="240" w:lineRule="auto"/>
              <w:rPr>
                <w:rFonts w:cs="Arial"/>
                <w:color w:val="0000FF"/>
                <w:sz w:val="16"/>
                <w:szCs w:val="16"/>
                <w:u w:val="single"/>
                <w:lang w:eastAsia="en-AU"/>
              </w:rPr>
            </w:pPr>
            <w:hyperlink r:id="rId57" w:history="1">
              <w:r w:rsidR="001F05D8" w:rsidRPr="00422A90">
                <w:rPr>
                  <w:rFonts w:cs="Arial"/>
                  <w:color w:val="0000FF"/>
                  <w:sz w:val="16"/>
                  <w:szCs w:val="16"/>
                  <w:u w:val="single"/>
                  <w:lang w:eastAsia="en-AU"/>
                </w:rPr>
                <w:t>Smart SMEs Innovation Commercialisation Program</w:t>
              </w:r>
            </w:hyperlink>
          </w:p>
        </w:tc>
        <w:tc>
          <w:tcPr>
            <w:tcW w:w="5087" w:type="dxa"/>
            <w:shd w:val="clear" w:color="auto" w:fill="auto"/>
            <w:vAlign w:val="center"/>
            <w:hideMark/>
          </w:tcPr>
          <w:p w14:paraId="5342B44F"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Targets the development, adoption and integration of industrial biotechnology, small technologies (</w:t>
            </w:r>
            <w:proofErr w:type="spellStart"/>
            <w:r w:rsidRPr="00422A90">
              <w:rPr>
                <w:rFonts w:cs="Arial"/>
                <w:color w:val="000000"/>
                <w:sz w:val="16"/>
                <w:szCs w:val="16"/>
                <w:lang w:eastAsia="en-AU"/>
              </w:rPr>
              <w:t>nano</w:t>
            </w:r>
            <w:proofErr w:type="spellEnd"/>
            <w:r w:rsidRPr="00422A90">
              <w:rPr>
                <w:rFonts w:cs="Arial"/>
                <w:color w:val="000000"/>
                <w:sz w:val="16"/>
                <w:szCs w:val="16"/>
                <w:lang w:eastAsia="en-AU"/>
              </w:rPr>
              <w:t xml:space="preserve"> and micro scale technologies) and advanced information and communication technology (ICT) by businesses.</w:t>
            </w:r>
          </w:p>
        </w:tc>
        <w:tc>
          <w:tcPr>
            <w:tcW w:w="0" w:type="auto"/>
            <w:shd w:val="clear" w:color="auto" w:fill="auto"/>
            <w:noWrap/>
            <w:vAlign w:val="center"/>
            <w:hideMark/>
          </w:tcPr>
          <w:p w14:paraId="410C0FF8"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6CD6BB3"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1A953E6"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80455EE"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96147DA"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40E5F78"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671604D"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66883E6A"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3CF5D8C"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5449310"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r>
      <w:tr w:rsidR="001F05D8" w:rsidRPr="00422A90" w14:paraId="5F2F9252" w14:textId="77777777" w:rsidTr="00566692">
        <w:trPr>
          <w:cantSplit/>
          <w:trHeight w:val="988"/>
        </w:trPr>
        <w:tc>
          <w:tcPr>
            <w:tcW w:w="1561" w:type="dxa"/>
            <w:vMerge/>
            <w:shd w:val="clear" w:color="auto" w:fill="auto"/>
            <w:vAlign w:val="center"/>
            <w:hideMark/>
          </w:tcPr>
          <w:p w14:paraId="2D9FC8F2"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65ECAB4E" w14:textId="77777777" w:rsidR="001F05D8" w:rsidRPr="00422A90" w:rsidRDefault="00B96CA1" w:rsidP="00422A90">
            <w:pPr>
              <w:spacing w:line="240" w:lineRule="auto"/>
              <w:rPr>
                <w:rFonts w:cs="Arial"/>
                <w:color w:val="0000FF"/>
                <w:sz w:val="16"/>
                <w:szCs w:val="16"/>
                <w:u w:val="single"/>
                <w:lang w:eastAsia="en-AU"/>
              </w:rPr>
            </w:pPr>
            <w:hyperlink r:id="rId58" w:history="1">
              <w:r w:rsidR="001F05D8" w:rsidRPr="00422A90">
                <w:rPr>
                  <w:rFonts w:cs="Arial"/>
                  <w:color w:val="0000FF"/>
                  <w:sz w:val="16"/>
                  <w:szCs w:val="16"/>
                  <w:u w:val="single"/>
                  <w:lang w:eastAsia="en-AU"/>
                </w:rPr>
                <w:t>Practical Drug Development Program (PDDP)</w:t>
              </w:r>
            </w:hyperlink>
          </w:p>
        </w:tc>
        <w:tc>
          <w:tcPr>
            <w:tcW w:w="5087" w:type="dxa"/>
            <w:shd w:val="clear" w:color="auto" w:fill="auto"/>
            <w:vAlign w:val="center"/>
            <w:hideMark/>
          </w:tcPr>
          <w:p w14:paraId="4374B371"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Industry-based training program for drug development project managers. Targets biotechnology companies working in the nonclinical, pre-clinical and early clinical (Phase I and II) stages of drug development.</w:t>
            </w:r>
          </w:p>
        </w:tc>
        <w:tc>
          <w:tcPr>
            <w:tcW w:w="0" w:type="auto"/>
            <w:shd w:val="clear" w:color="auto" w:fill="auto"/>
            <w:noWrap/>
            <w:vAlign w:val="center"/>
            <w:hideMark/>
          </w:tcPr>
          <w:p w14:paraId="6F14C34D"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0A95453B"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B8D9D43"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2D6C8FE"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tcPr>
          <w:p w14:paraId="24E96DD9"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2A27F2CD"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599A7B90"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16831C08"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hideMark/>
          </w:tcPr>
          <w:p w14:paraId="3ED714C8"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5C450722"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r>
      <w:tr w:rsidR="001F05D8" w:rsidRPr="00422A90" w14:paraId="6D586184" w14:textId="77777777" w:rsidTr="00422A90">
        <w:trPr>
          <w:cantSplit/>
          <w:trHeight w:val="1286"/>
        </w:trPr>
        <w:tc>
          <w:tcPr>
            <w:tcW w:w="1561" w:type="dxa"/>
            <w:vMerge/>
            <w:shd w:val="clear" w:color="auto" w:fill="auto"/>
            <w:vAlign w:val="center"/>
            <w:hideMark/>
          </w:tcPr>
          <w:p w14:paraId="3F0D2E01"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77AAAA83" w14:textId="77777777" w:rsidR="001F05D8" w:rsidRPr="00422A90" w:rsidRDefault="00B96CA1" w:rsidP="00422A90">
            <w:pPr>
              <w:spacing w:line="240" w:lineRule="auto"/>
              <w:rPr>
                <w:rFonts w:cs="Arial"/>
                <w:color w:val="0000FF"/>
                <w:sz w:val="16"/>
                <w:szCs w:val="16"/>
                <w:u w:val="single"/>
                <w:lang w:eastAsia="en-AU"/>
              </w:rPr>
            </w:pPr>
            <w:hyperlink r:id="rId59" w:history="1">
              <w:r w:rsidR="001F05D8" w:rsidRPr="00422A90">
                <w:rPr>
                  <w:rFonts w:cs="Arial"/>
                  <w:color w:val="0000FF"/>
                  <w:sz w:val="16"/>
                  <w:szCs w:val="16"/>
                  <w:u w:val="single"/>
                  <w:lang w:eastAsia="en-AU"/>
                </w:rPr>
                <w:t>Innovation and Technology Vouchers</w:t>
              </w:r>
            </w:hyperlink>
          </w:p>
        </w:tc>
        <w:tc>
          <w:tcPr>
            <w:tcW w:w="5087" w:type="dxa"/>
            <w:shd w:val="clear" w:color="auto" w:fill="auto"/>
            <w:vAlign w:val="center"/>
            <w:hideMark/>
          </w:tcPr>
          <w:p w14:paraId="695C4EBC"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Help companies to undertake R&amp;D, to undertake design research, to learn innovation-relevant skills, and to adopt and develop specific new technologies by providing a voucher that can be exchanged for access to facilities, goods, services, advice or expertise provided by other companies or publicly funded research organisations.</w:t>
            </w:r>
          </w:p>
        </w:tc>
        <w:tc>
          <w:tcPr>
            <w:tcW w:w="0" w:type="auto"/>
            <w:shd w:val="clear" w:color="auto" w:fill="auto"/>
            <w:noWrap/>
            <w:vAlign w:val="center"/>
            <w:hideMark/>
          </w:tcPr>
          <w:p w14:paraId="154578C3"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25368AFC"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387EBD97"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13C0DBD"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7E7FB3B"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099DCBBF"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59E128A"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C39FBCC"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77D7568"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230E0EBE"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r>
      <w:tr w:rsidR="001F05D8" w:rsidRPr="00422A90" w14:paraId="6222E446" w14:textId="77777777" w:rsidTr="00422A90">
        <w:trPr>
          <w:cantSplit/>
          <w:trHeight w:val="1249"/>
        </w:trPr>
        <w:tc>
          <w:tcPr>
            <w:tcW w:w="1561" w:type="dxa"/>
            <w:vMerge/>
            <w:shd w:val="clear" w:color="auto" w:fill="auto"/>
            <w:vAlign w:val="center"/>
            <w:hideMark/>
          </w:tcPr>
          <w:p w14:paraId="72A204A1"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4C98821C" w14:textId="77777777" w:rsidR="001F05D8" w:rsidRPr="00422A90" w:rsidRDefault="00B96CA1" w:rsidP="00422A90">
            <w:pPr>
              <w:spacing w:line="240" w:lineRule="auto"/>
              <w:rPr>
                <w:rFonts w:cs="Arial"/>
                <w:color w:val="0000FF"/>
                <w:sz w:val="16"/>
                <w:szCs w:val="16"/>
                <w:u w:val="single"/>
                <w:lang w:eastAsia="en-AU"/>
              </w:rPr>
            </w:pPr>
            <w:hyperlink r:id="rId60" w:history="1">
              <w:r w:rsidR="001F05D8" w:rsidRPr="00422A90">
                <w:rPr>
                  <w:rFonts w:cs="Arial"/>
                  <w:color w:val="0000FF"/>
                  <w:sz w:val="16"/>
                  <w:szCs w:val="16"/>
                  <w:u w:val="single"/>
                  <w:lang w:eastAsia="en-AU"/>
                </w:rPr>
                <w:t>Future Designers Program</w:t>
              </w:r>
            </w:hyperlink>
          </w:p>
        </w:tc>
        <w:tc>
          <w:tcPr>
            <w:tcW w:w="5087" w:type="dxa"/>
            <w:shd w:val="clear" w:color="auto" w:fill="auto"/>
            <w:vAlign w:val="center"/>
            <w:hideMark/>
          </w:tcPr>
          <w:p w14:paraId="11C43C20"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Creates opportunities for education providers to work with Victorian firms and design students on real business problems that are more effectively addressed through a multi-disciplinary approach and where design-led thinking can deliver innovative solutions with a business focus.</w:t>
            </w:r>
          </w:p>
        </w:tc>
        <w:tc>
          <w:tcPr>
            <w:tcW w:w="0" w:type="auto"/>
            <w:shd w:val="clear" w:color="auto" w:fill="auto"/>
            <w:noWrap/>
            <w:vAlign w:val="center"/>
            <w:hideMark/>
          </w:tcPr>
          <w:p w14:paraId="304343D5"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1F8E22AA"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AD496E5"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8AD9F71"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7CA7A21"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2DBC3A27"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90FAEE1"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9B4B6DE"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4D84748"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8334675"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r>
      <w:tr w:rsidR="001F05D8" w:rsidRPr="00422A90" w14:paraId="1964CA14" w14:textId="77777777" w:rsidTr="00566692">
        <w:trPr>
          <w:cantSplit/>
          <w:trHeight w:val="842"/>
        </w:trPr>
        <w:tc>
          <w:tcPr>
            <w:tcW w:w="1561" w:type="dxa"/>
            <w:vMerge/>
            <w:shd w:val="clear" w:color="auto" w:fill="auto"/>
            <w:vAlign w:val="center"/>
            <w:hideMark/>
          </w:tcPr>
          <w:p w14:paraId="6F9C2F50"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55D000C1" w14:textId="77777777" w:rsidR="001F05D8" w:rsidRPr="00422A90" w:rsidRDefault="00B96CA1" w:rsidP="00422A90">
            <w:pPr>
              <w:spacing w:line="240" w:lineRule="auto"/>
              <w:rPr>
                <w:rFonts w:cs="Arial"/>
                <w:color w:val="0000FF"/>
                <w:sz w:val="16"/>
                <w:szCs w:val="16"/>
                <w:u w:val="single"/>
                <w:lang w:eastAsia="en-AU"/>
              </w:rPr>
            </w:pPr>
            <w:hyperlink r:id="rId61" w:history="1">
              <w:r w:rsidR="001F05D8" w:rsidRPr="00422A90">
                <w:rPr>
                  <w:rFonts w:cs="Arial"/>
                  <w:color w:val="0000FF"/>
                  <w:sz w:val="16"/>
                  <w:szCs w:val="16"/>
                  <w:u w:val="single"/>
                  <w:lang w:eastAsia="en-AU"/>
                </w:rPr>
                <w:t>Manufacturing Productivity Networks Program</w:t>
              </w:r>
            </w:hyperlink>
          </w:p>
        </w:tc>
        <w:tc>
          <w:tcPr>
            <w:tcW w:w="5087" w:type="dxa"/>
            <w:shd w:val="clear" w:color="auto" w:fill="auto"/>
            <w:vAlign w:val="center"/>
            <w:hideMark/>
          </w:tcPr>
          <w:p w14:paraId="27B9CD26"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Designed to assist networks undertake activities and projects that will improve the productivity and competitiveness of Victorian manufacturing businesses.</w:t>
            </w:r>
          </w:p>
        </w:tc>
        <w:tc>
          <w:tcPr>
            <w:tcW w:w="0" w:type="auto"/>
            <w:shd w:val="clear" w:color="auto" w:fill="auto"/>
            <w:noWrap/>
            <w:vAlign w:val="center"/>
          </w:tcPr>
          <w:p w14:paraId="1DFFE6E6"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7D49D2F4"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142ECCD6"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6274DA53"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hideMark/>
          </w:tcPr>
          <w:p w14:paraId="37E87EEA"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6D59ABE6"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24248F0B"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9904F78"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0458A75"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26DD7882"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r>
      <w:tr w:rsidR="001F05D8" w:rsidRPr="00422A90" w14:paraId="61D92B4E" w14:textId="77777777" w:rsidTr="00422A90">
        <w:trPr>
          <w:cantSplit/>
          <w:trHeight w:val="995"/>
        </w:trPr>
        <w:tc>
          <w:tcPr>
            <w:tcW w:w="1561" w:type="dxa"/>
            <w:vMerge/>
            <w:shd w:val="clear" w:color="auto" w:fill="auto"/>
            <w:vAlign w:val="center"/>
            <w:hideMark/>
          </w:tcPr>
          <w:p w14:paraId="4AA9133E"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53541148" w14:textId="77777777" w:rsidR="001F05D8" w:rsidRPr="00422A90" w:rsidRDefault="00B96CA1" w:rsidP="00422A90">
            <w:pPr>
              <w:spacing w:line="240" w:lineRule="auto"/>
              <w:rPr>
                <w:rFonts w:cs="Arial"/>
                <w:color w:val="0000FF"/>
                <w:sz w:val="16"/>
                <w:szCs w:val="16"/>
                <w:u w:val="single"/>
                <w:lang w:eastAsia="en-AU"/>
              </w:rPr>
            </w:pPr>
            <w:hyperlink r:id="rId62" w:history="1">
              <w:proofErr w:type="spellStart"/>
              <w:r w:rsidR="001F05D8" w:rsidRPr="00422A90">
                <w:rPr>
                  <w:rFonts w:cs="Arial"/>
                  <w:color w:val="0000FF"/>
                  <w:sz w:val="16"/>
                  <w:szCs w:val="16"/>
                  <w:u w:val="single"/>
                  <w:lang w:eastAsia="en-AU"/>
                </w:rPr>
                <w:t>Veski</w:t>
              </w:r>
              <w:proofErr w:type="spellEnd"/>
              <w:r w:rsidR="001F05D8" w:rsidRPr="00422A90">
                <w:rPr>
                  <w:rFonts w:cs="Arial"/>
                  <w:color w:val="0000FF"/>
                  <w:sz w:val="16"/>
                  <w:szCs w:val="16"/>
                  <w:u w:val="single"/>
                  <w:lang w:eastAsia="en-AU"/>
                </w:rPr>
                <w:t xml:space="preserve"> Innovation Fellowships</w:t>
              </w:r>
            </w:hyperlink>
          </w:p>
        </w:tc>
        <w:tc>
          <w:tcPr>
            <w:tcW w:w="5087" w:type="dxa"/>
            <w:shd w:val="clear" w:color="auto" w:fill="auto"/>
            <w:vAlign w:val="center"/>
            <w:hideMark/>
          </w:tcPr>
          <w:p w14:paraId="5B27D63D"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Brings outstanding international scientists and researchers to Victoria. Focuses on following sectors: biotechnology, biomedical, advanced manufacturing including food science and bioengineering, environmental and energy technologies, and the enabling sciences.</w:t>
            </w:r>
          </w:p>
        </w:tc>
        <w:tc>
          <w:tcPr>
            <w:tcW w:w="0" w:type="auto"/>
            <w:shd w:val="clear" w:color="auto" w:fill="auto"/>
            <w:noWrap/>
            <w:vAlign w:val="center"/>
            <w:hideMark/>
          </w:tcPr>
          <w:p w14:paraId="2252CF42"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DE5DC6F"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564676C6"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68476BB5"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6FC0088"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5CAD2BF5"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A7C4BF0"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D7A32A6"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3F5B28B"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23CF46BB"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r>
      <w:tr w:rsidR="001F05D8" w:rsidRPr="00422A90" w14:paraId="59CC195B" w14:textId="77777777" w:rsidTr="00566692">
        <w:trPr>
          <w:cantSplit/>
          <w:trHeight w:val="1123"/>
        </w:trPr>
        <w:tc>
          <w:tcPr>
            <w:tcW w:w="1561" w:type="dxa"/>
            <w:vMerge w:val="restart"/>
            <w:shd w:val="clear" w:color="auto" w:fill="auto"/>
            <w:vAlign w:val="center"/>
            <w:hideMark/>
          </w:tcPr>
          <w:p w14:paraId="635F3217" w14:textId="77777777" w:rsidR="001F05D8" w:rsidRPr="00422A90" w:rsidRDefault="001F05D8" w:rsidP="001F05D8">
            <w:pPr>
              <w:spacing w:line="240" w:lineRule="auto"/>
              <w:jc w:val="center"/>
              <w:rPr>
                <w:rFonts w:cs="Arial"/>
                <w:color w:val="000000"/>
                <w:sz w:val="16"/>
                <w:szCs w:val="16"/>
                <w:lang w:eastAsia="en-AU"/>
              </w:rPr>
            </w:pPr>
            <w:r w:rsidRPr="00422A90">
              <w:rPr>
                <w:rFonts w:cs="Arial"/>
                <w:color w:val="000000"/>
                <w:sz w:val="16"/>
                <w:szCs w:val="16"/>
                <w:lang w:eastAsia="en-AU"/>
              </w:rPr>
              <w:t>Queensland</w:t>
            </w:r>
          </w:p>
        </w:tc>
        <w:tc>
          <w:tcPr>
            <w:tcW w:w="2692" w:type="dxa"/>
            <w:shd w:val="clear" w:color="auto" w:fill="auto"/>
            <w:vAlign w:val="center"/>
            <w:hideMark/>
          </w:tcPr>
          <w:p w14:paraId="561185A1" w14:textId="77777777" w:rsidR="001F05D8" w:rsidRPr="00422A90" w:rsidRDefault="00B96CA1" w:rsidP="00422A90">
            <w:pPr>
              <w:spacing w:line="240" w:lineRule="auto"/>
              <w:rPr>
                <w:rFonts w:cs="Arial"/>
                <w:color w:val="0000FF"/>
                <w:sz w:val="16"/>
                <w:szCs w:val="16"/>
                <w:u w:val="single"/>
                <w:lang w:eastAsia="en-AU"/>
              </w:rPr>
            </w:pPr>
            <w:hyperlink r:id="rId63" w:history="1">
              <w:r w:rsidR="001F05D8" w:rsidRPr="00422A90">
                <w:rPr>
                  <w:rFonts w:cs="Arial"/>
                  <w:color w:val="0000FF"/>
                  <w:sz w:val="16"/>
                  <w:szCs w:val="16"/>
                  <w:u w:val="single"/>
                  <w:lang w:eastAsia="en-AU"/>
                </w:rPr>
                <w:t>Australian Institute for Commercialisation</w:t>
              </w:r>
            </w:hyperlink>
          </w:p>
        </w:tc>
        <w:tc>
          <w:tcPr>
            <w:tcW w:w="5087" w:type="dxa"/>
            <w:shd w:val="clear" w:color="auto" w:fill="auto"/>
            <w:vAlign w:val="center"/>
            <w:hideMark/>
          </w:tcPr>
          <w:p w14:paraId="79405331"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Works with entrepreneurs, businesses, research organisations and governments to convert ideas or intellectual property into successful business outcomes.  Establishes partnerships and provides commercialisation advice.</w:t>
            </w:r>
          </w:p>
        </w:tc>
        <w:tc>
          <w:tcPr>
            <w:tcW w:w="0" w:type="auto"/>
            <w:shd w:val="clear" w:color="auto" w:fill="auto"/>
            <w:noWrap/>
            <w:vAlign w:val="center"/>
          </w:tcPr>
          <w:p w14:paraId="33C4799C"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137A246D"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4FD41967"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16DF59EA"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11892327"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55164B09"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53497721"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446C052E"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7F0F8787"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11CF53BC" w14:textId="77777777" w:rsidR="001F05D8" w:rsidRPr="00057762" w:rsidRDefault="001F05D8" w:rsidP="00422A90">
            <w:pPr>
              <w:spacing w:line="240" w:lineRule="auto"/>
              <w:jc w:val="center"/>
              <w:rPr>
                <w:rFonts w:cs="Arial"/>
                <w:color w:val="000000"/>
                <w:lang w:eastAsia="en-AU"/>
              </w:rPr>
            </w:pPr>
          </w:p>
        </w:tc>
      </w:tr>
      <w:tr w:rsidR="001F05D8" w:rsidRPr="00422A90" w14:paraId="378728C6" w14:textId="77777777" w:rsidTr="00422A90">
        <w:trPr>
          <w:cantSplit/>
          <w:trHeight w:val="827"/>
        </w:trPr>
        <w:tc>
          <w:tcPr>
            <w:tcW w:w="1561" w:type="dxa"/>
            <w:vMerge/>
            <w:shd w:val="clear" w:color="auto" w:fill="auto"/>
            <w:vAlign w:val="center"/>
            <w:hideMark/>
          </w:tcPr>
          <w:p w14:paraId="05F58B88"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37F6A138" w14:textId="77777777" w:rsidR="001F05D8" w:rsidRPr="00422A90" w:rsidRDefault="00B96CA1" w:rsidP="00422A90">
            <w:pPr>
              <w:spacing w:line="240" w:lineRule="auto"/>
              <w:rPr>
                <w:rFonts w:cs="Arial"/>
                <w:color w:val="0000FF"/>
                <w:sz w:val="16"/>
                <w:szCs w:val="16"/>
                <w:u w:val="single"/>
                <w:lang w:eastAsia="en-AU"/>
              </w:rPr>
            </w:pPr>
            <w:hyperlink r:id="rId64" w:history="1">
              <w:r w:rsidR="001F05D8" w:rsidRPr="00422A90">
                <w:rPr>
                  <w:rFonts w:cs="Arial"/>
                  <w:color w:val="0000FF"/>
                  <w:sz w:val="16"/>
                  <w:szCs w:val="16"/>
                  <w:u w:val="single"/>
                  <w:lang w:eastAsia="en-AU"/>
                </w:rPr>
                <w:t>Queensland Wide Innovation Network</w:t>
              </w:r>
            </w:hyperlink>
          </w:p>
        </w:tc>
        <w:tc>
          <w:tcPr>
            <w:tcW w:w="5087" w:type="dxa"/>
            <w:shd w:val="clear" w:color="auto" w:fill="auto"/>
            <w:vAlign w:val="center"/>
            <w:hideMark/>
          </w:tcPr>
          <w:p w14:paraId="0B93BFC2"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 xml:space="preserve">Provides Queensland SMEs with the opportunity to connect with other </w:t>
            </w:r>
            <w:proofErr w:type="spellStart"/>
            <w:r w:rsidRPr="00422A90">
              <w:rPr>
                <w:rFonts w:cs="Arial"/>
                <w:color w:val="000000"/>
                <w:sz w:val="16"/>
                <w:szCs w:val="16"/>
                <w:lang w:eastAsia="en-AU"/>
              </w:rPr>
              <w:t>like minded</w:t>
            </w:r>
            <w:proofErr w:type="spellEnd"/>
            <w:r w:rsidRPr="00422A90">
              <w:rPr>
                <w:rFonts w:cs="Arial"/>
                <w:color w:val="000000"/>
                <w:sz w:val="16"/>
                <w:szCs w:val="16"/>
                <w:lang w:eastAsia="en-AU"/>
              </w:rPr>
              <w:t xml:space="preserve"> businesses and with Government and Private Sector support providers to assist with their business growth.</w:t>
            </w:r>
          </w:p>
        </w:tc>
        <w:tc>
          <w:tcPr>
            <w:tcW w:w="0" w:type="auto"/>
            <w:shd w:val="clear" w:color="auto" w:fill="auto"/>
            <w:noWrap/>
            <w:vAlign w:val="center"/>
            <w:hideMark/>
          </w:tcPr>
          <w:p w14:paraId="3E3023DC"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7DC731B"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F38B7E3"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DF35A93"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BE6B4CE"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CB34955"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65111D84"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CA63069"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6E9C15B7"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4FA0B0F"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r>
      <w:tr w:rsidR="001F05D8" w:rsidRPr="00422A90" w14:paraId="07CDFBE7" w14:textId="77777777" w:rsidTr="00422A90">
        <w:trPr>
          <w:cantSplit/>
          <w:trHeight w:val="1057"/>
        </w:trPr>
        <w:tc>
          <w:tcPr>
            <w:tcW w:w="1561" w:type="dxa"/>
            <w:vMerge/>
            <w:shd w:val="clear" w:color="auto" w:fill="auto"/>
            <w:vAlign w:val="center"/>
            <w:hideMark/>
          </w:tcPr>
          <w:p w14:paraId="5734042D"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019120CC" w14:textId="77777777" w:rsidR="001F05D8" w:rsidRPr="00422A90" w:rsidRDefault="00B96CA1" w:rsidP="00422A90">
            <w:pPr>
              <w:spacing w:line="240" w:lineRule="auto"/>
              <w:rPr>
                <w:rFonts w:cs="Arial"/>
                <w:color w:val="0000FF"/>
                <w:sz w:val="16"/>
                <w:szCs w:val="16"/>
                <w:u w:val="single"/>
                <w:lang w:eastAsia="en-AU"/>
              </w:rPr>
            </w:pPr>
            <w:hyperlink r:id="rId65" w:history="1">
              <w:r w:rsidR="001F05D8" w:rsidRPr="00422A90">
                <w:rPr>
                  <w:rFonts w:cs="Arial"/>
                  <w:color w:val="0000FF"/>
                  <w:sz w:val="16"/>
                  <w:szCs w:val="16"/>
                  <w:u w:val="single"/>
                  <w:lang w:eastAsia="en-AU"/>
                </w:rPr>
                <w:t>Life Sciences Queensland</w:t>
              </w:r>
            </w:hyperlink>
          </w:p>
        </w:tc>
        <w:tc>
          <w:tcPr>
            <w:tcW w:w="5087" w:type="dxa"/>
            <w:shd w:val="clear" w:color="auto" w:fill="auto"/>
            <w:vAlign w:val="center"/>
            <w:hideMark/>
          </w:tcPr>
          <w:p w14:paraId="37A3DB8C"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Provides members with tools, services, market intelligence and access to an international network of life sciences organisations with the aim of identifying new business opportunities and accelerating business growth.</w:t>
            </w:r>
          </w:p>
        </w:tc>
        <w:tc>
          <w:tcPr>
            <w:tcW w:w="0" w:type="auto"/>
            <w:shd w:val="clear" w:color="auto" w:fill="auto"/>
            <w:noWrap/>
            <w:vAlign w:val="center"/>
            <w:hideMark/>
          </w:tcPr>
          <w:p w14:paraId="242A4E7F"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6122BC4"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225B894"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C26A5FB"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1BA926F"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D908DA9"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D973E12"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E3522CA"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7846897"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DAD2E17"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r>
      <w:tr w:rsidR="001F05D8" w:rsidRPr="00422A90" w14:paraId="5A0FAF42" w14:textId="77777777" w:rsidTr="00422A90">
        <w:trPr>
          <w:cantSplit/>
          <w:trHeight w:val="548"/>
        </w:trPr>
        <w:tc>
          <w:tcPr>
            <w:tcW w:w="1561" w:type="dxa"/>
            <w:vMerge/>
            <w:shd w:val="clear" w:color="auto" w:fill="auto"/>
            <w:vAlign w:val="center"/>
            <w:hideMark/>
          </w:tcPr>
          <w:p w14:paraId="044594B4"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7C667150" w14:textId="77777777" w:rsidR="001F05D8" w:rsidRPr="00422A90" w:rsidRDefault="00B96CA1" w:rsidP="00422A90">
            <w:pPr>
              <w:spacing w:line="240" w:lineRule="auto"/>
              <w:rPr>
                <w:rFonts w:cs="Arial"/>
                <w:color w:val="0000FF"/>
                <w:sz w:val="16"/>
                <w:szCs w:val="16"/>
                <w:u w:val="single"/>
                <w:lang w:eastAsia="en-AU"/>
              </w:rPr>
            </w:pPr>
            <w:hyperlink r:id="rId66" w:history="1">
              <w:r w:rsidR="001F05D8" w:rsidRPr="00422A90">
                <w:rPr>
                  <w:rFonts w:cs="Arial"/>
                  <w:color w:val="0000FF"/>
                  <w:sz w:val="16"/>
                  <w:szCs w:val="16"/>
                  <w:u w:val="single"/>
                  <w:lang w:eastAsia="en-AU"/>
                </w:rPr>
                <w:t>Health Research Fellowship Program</w:t>
              </w:r>
            </w:hyperlink>
          </w:p>
        </w:tc>
        <w:tc>
          <w:tcPr>
            <w:tcW w:w="5087" w:type="dxa"/>
            <w:shd w:val="clear" w:color="auto" w:fill="auto"/>
            <w:vAlign w:val="center"/>
            <w:hideMark/>
          </w:tcPr>
          <w:p w14:paraId="0116058C"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 </w:t>
            </w:r>
          </w:p>
        </w:tc>
        <w:tc>
          <w:tcPr>
            <w:tcW w:w="0" w:type="auto"/>
            <w:shd w:val="clear" w:color="auto" w:fill="auto"/>
            <w:noWrap/>
            <w:vAlign w:val="center"/>
            <w:hideMark/>
          </w:tcPr>
          <w:p w14:paraId="44DF8C86"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F1EC127"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69E4DD9E"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0C16D82F" w14:textId="77777777" w:rsidR="001F05D8" w:rsidRPr="00057762" w:rsidRDefault="001F05D8" w:rsidP="00422A90">
            <w:pPr>
              <w:spacing w:line="240" w:lineRule="auto"/>
              <w:jc w:val="center"/>
              <w:rPr>
                <w:rFonts w:cs="Arial"/>
                <w:color w:val="92D050"/>
                <w:lang w:eastAsia="en-AU"/>
              </w:rPr>
            </w:pPr>
            <w:r w:rsidRPr="00057762">
              <w:rPr>
                <w:rFonts w:cs="Arial"/>
                <w:color w:val="92D050"/>
                <w:lang w:eastAsia="en-AU"/>
              </w:rPr>
              <w:t> </w:t>
            </w:r>
          </w:p>
        </w:tc>
        <w:tc>
          <w:tcPr>
            <w:tcW w:w="0" w:type="auto"/>
            <w:shd w:val="clear" w:color="auto" w:fill="auto"/>
            <w:noWrap/>
            <w:vAlign w:val="center"/>
            <w:hideMark/>
          </w:tcPr>
          <w:p w14:paraId="6370381F"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6325EE2D"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412F2A49"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976089D"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0353D8F"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25877E94"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r>
      <w:tr w:rsidR="001F05D8" w:rsidRPr="00422A90" w14:paraId="4D428446" w14:textId="77777777" w:rsidTr="00566692">
        <w:trPr>
          <w:cantSplit/>
          <w:trHeight w:val="1703"/>
        </w:trPr>
        <w:tc>
          <w:tcPr>
            <w:tcW w:w="1561" w:type="dxa"/>
            <w:vMerge/>
            <w:shd w:val="clear" w:color="auto" w:fill="auto"/>
            <w:vAlign w:val="center"/>
            <w:hideMark/>
          </w:tcPr>
          <w:p w14:paraId="26C3595C"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2F47E4DB" w14:textId="77777777" w:rsidR="001F05D8" w:rsidRPr="00422A90" w:rsidRDefault="00B96CA1" w:rsidP="00422A90">
            <w:pPr>
              <w:spacing w:line="240" w:lineRule="auto"/>
              <w:rPr>
                <w:rFonts w:cs="Arial"/>
                <w:color w:val="0000FF"/>
                <w:sz w:val="16"/>
                <w:szCs w:val="16"/>
                <w:u w:val="single"/>
                <w:lang w:eastAsia="en-AU"/>
              </w:rPr>
            </w:pPr>
            <w:hyperlink r:id="rId67" w:history="1">
              <w:r w:rsidR="001F05D8" w:rsidRPr="00422A90">
                <w:rPr>
                  <w:rFonts w:cs="Arial"/>
                  <w:color w:val="0000FF"/>
                  <w:sz w:val="16"/>
                  <w:szCs w:val="16"/>
                  <w:u w:val="single"/>
                  <w:lang w:eastAsia="en-AU"/>
                </w:rPr>
                <w:t>QMI Solutions</w:t>
              </w:r>
            </w:hyperlink>
          </w:p>
        </w:tc>
        <w:tc>
          <w:tcPr>
            <w:tcW w:w="5087" w:type="dxa"/>
            <w:shd w:val="clear" w:color="auto" w:fill="auto"/>
            <w:vAlign w:val="center"/>
            <w:hideMark/>
          </w:tcPr>
          <w:p w14:paraId="74237581"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A government-funded organisation responsible for assisting Queensland industry achieve world best practice in manufacturing and sustainability, recognises the importance of providing companies with the necessary skills and tools to introduce and improve cost-focused innovation. The primary objective is to help local manufacturers meet the identified challenges ahead to develop new products and new markets.</w:t>
            </w:r>
          </w:p>
        </w:tc>
        <w:tc>
          <w:tcPr>
            <w:tcW w:w="0" w:type="auto"/>
            <w:shd w:val="clear" w:color="auto" w:fill="auto"/>
            <w:noWrap/>
            <w:vAlign w:val="center"/>
          </w:tcPr>
          <w:p w14:paraId="0F5FCECD"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698D4864"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6C1F0DD3"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7E624E43"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1C614EDD"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5C1B24C3"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185E3AB0"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71FE305A"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3F91D24C" w14:textId="77777777" w:rsidR="001F05D8" w:rsidRPr="00057762" w:rsidRDefault="001F05D8" w:rsidP="00422A90">
            <w:pPr>
              <w:spacing w:line="240" w:lineRule="auto"/>
              <w:jc w:val="center"/>
              <w:rPr>
                <w:rFonts w:cs="Arial"/>
                <w:color w:val="000000"/>
                <w:lang w:eastAsia="en-AU"/>
              </w:rPr>
            </w:pPr>
          </w:p>
        </w:tc>
        <w:tc>
          <w:tcPr>
            <w:tcW w:w="0" w:type="auto"/>
            <w:shd w:val="clear" w:color="auto" w:fill="auto"/>
            <w:noWrap/>
            <w:vAlign w:val="center"/>
          </w:tcPr>
          <w:p w14:paraId="583D9323" w14:textId="77777777" w:rsidR="001F05D8" w:rsidRPr="00057762" w:rsidRDefault="001F05D8" w:rsidP="00422A90">
            <w:pPr>
              <w:spacing w:line="240" w:lineRule="auto"/>
              <w:jc w:val="center"/>
              <w:rPr>
                <w:rFonts w:cs="Arial"/>
                <w:color w:val="000000"/>
                <w:lang w:eastAsia="en-AU"/>
              </w:rPr>
            </w:pPr>
          </w:p>
        </w:tc>
      </w:tr>
      <w:tr w:rsidR="001F05D8" w:rsidRPr="00422A90" w14:paraId="1034A34A" w14:textId="77777777" w:rsidTr="00422A90">
        <w:trPr>
          <w:cantSplit/>
          <w:trHeight w:val="1199"/>
        </w:trPr>
        <w:tc>
          <w:tcPr>
            <w:tcW w:w="1561" w:type="dxa"/>
            <w:vMerge w:val="restart"/>
            <w:shd w:val="clear" w:color="auto" w:fill="auto"/>
            <w:vAlign w:val="center"/>
            <w:hideMark/>
          </w:tcPr>
          <w:p w14:paraId="0BD9541D" w14:textId="77777777" w:rsidR="001F05D8" w:rsidRPr="00422A90" w:rsidRDefault="001F05D8" w:rsidP="00422A90">
            <w:pPr>
              <w:spacing w:line="240" w:lineRule="auto"/>
              <w:jc w:val="center"/>
              <w:rPr>
                <w:rFonts w:cs="Arial"/>
                <w:color w:val="000000"/>
                <w:sz w:val="16"/>
                <w:szCs w:val="16"/>
                <w:lang w:eastAsia="en-AU"/>
              </w:rPr>
            </w:pPr>
            <w:r w:rsidRPr="00422A90">
              <w:rPr>
                <w:rFonts w:cs="Arial"/>
                <w:color w:val="000000"/>
                <w:sz w:val="16"/>
                <w:szCs w:val="16"/>
                <w:lang w:eastAsia="en-AU"/>
              </w:rPr>
              <w:t>Western Australia</w:t>
            </w:r>
          </w:p>
        </w:tc>
        <w:tc>
          <w:tcPr>
            <w:tcW w:w="2692" w:type="dxa"/>
            <w:shd w:val="clear" w:color="auto" w:fill="auto"/>
            <w:vAlign w:val="center"/>
            <w:hideMark/>
          </w:tcPr>
          <w:p w14:paraId="2B7C987B" w14:textId="77777777" w:rsidR="001F05D8" w:rsidRPr="00422A90" w:rsidRDefault="00B96CA1" w:rsidP="00422A90">
            <w:pPr>
              <w:spacing w:line="240" w:lineRule="auto"/>
              <w:rPr>
                <w:rFonts w:cs="Arial"/>
                <w:color w:val="0000FF"/>
                <w:sz w:val="16"/>
                <w:szCs w:val="16"/>
                <w:u w:val="single"/>
                <w:lang w:eastAsia="en-AU"/>
              </w:rPr>
            </w:pPr>
            <w:hyperlink r:id="rId68" w:history="1">
              <w:r w:rsidR="001F05D8" w:rsidRPr="00422A90">
                <w:rPr>
                  <w:rFonts w:cs="Arial"/>
                  <w:color w:val="0000FF"/>
                  <w:sz w:val="16"/>
                  <w:szCs w:val="16"/>
                  <w:u w:val="single"/>
                  <w:lang w:eastAsia="en-AU"/>
                </w:rPr>
                <w:t>MRIWA Research Grant</w:t>
              </w:r>
            </w:hyperlink>
          </w:p>
        </w:tc>
        <w:tc>
          <w:tcPr>
            <w:tcW w:w="5087" w:type="dxa"/>
            <w:shd w:val="clear" w:color="auto" w:fill="auto"/>
            <w:vAlign w:val="center"/>
            <w:hideMark/>
          </w:tcPr>
          <w:p w14:paraId="65F26625"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Statutory body established by the Western Australian Government that provides and administers funding grants to carry out minerals research. Able to undertake and procure minerals research itself.  Also able to collaborate with local, Australian and worldwide research and scientific institutions.</w:t>
            </w:r>
          </w:p>
        </w:tc>
        <w:tc>
          <w:tcPr>
            <w:tcW w:w="0" w:type="auto"/>
            <w:shd w:val="clear" w:color="auto" w:fill="auto"/>
            <w:noWrap/>
            <w:vAlign w:val="center"/>
            <w:hideMark/>
          </w:tcPr>
          <w:p w14:paraId="1F4593E0"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B46CA92" w14:textId="77777777" w:rsidR="001F05D8" w:rsidRPr="00057762" w:rsidRDefault="00396627" w:rsidP="00422A90">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75D626D7"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39D0436"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9B75A12"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A071ED4"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E36B75A"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4250025"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6A833613"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6BE5E4E"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r>
      <w:tr w:rsidR="001F05D8" w:rsidRPr="00422A90" w14:paraId="585D1EA3" w14:textId="77777777" w:rsidTr="00422A90">
        <w:trPr>
          <w:cantSplit/>
          <w:trHeight w:val="1307"/>
        </w:trPr>
        <w:tc>
          <w:tcPr>
            <w:tcW w:w="1561" w:type="dxa"/>
            <w:vMerge/>
            <w:shd w:val="clear" w:color="auto" w:fill="auto"/>
            <w:vAlign w:val="center"/>
            <w:hideMark/>
          </w:tcPr>
          <w:p w14:paraId="4E691643"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3087F403" w14:textId="77777777" w:rsidR="001F05D8" w:rsidRPr="00422A90" w:rsidRDefault="00B96CA1" w:rsidP="00422A90">
            <w:pPr>
              <w:spacing w:line="240" w:lineRule="auto"/>
              <w:rPr>
                <w:rFonts w:cs="Arial"/>
                <w:color w:val="0000FF"/>
                <w:sz w:val="16"/>
                <w:szCs w:val="16"/>
                <w:u w:val="single"/>
                <w:lang w:eastAsia="en-AU"/>
              </w:rPr>
            </w:pPr>
            <w:hyperlink r:id="rId69" w:history="1">
              <w:r w:rsidR="001F05D8" w:rsidRPr="00422A90">
                <w:rPr>
                  <w:rFonts w:cs="Arial"/>
                  <w:color w:val="0000FF"/>
                  <w:sz w:val="16"/>
                  <w:szCs w:val="16"/>
                  <w:u w:val="single"/>
                  <w:lang w:eastAsia="en-AU"/>
                </w:rPr>
                <w:t>International Centre for Radio Astronomy Research</w:t>
              </w:r>
            </w:hyperlink>
          </w:p>
        </w:tc>
        <w:tc>
          <w:tcPr>
            <w:tcW w:w="5087" w:type="dxa"/>
            <w:shd w:val="clear" w:color="auto" w:fill="auto"/>
            <w:vAlign w:val="center"/>
            <w:hideMark/>
          </w:tcPr>
          <w:p w14:paraId="6AA8F19A"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A joint venture between Curtin University and The University of Western Australia, with funding from the State Government of Western Australia, engages with industry and the community whilst delivering world-class outcomes for science, engineering and high performance computing.</w:t>
            </w:r>
          </w:p>
        </w:tc>
        <w:tc>
          <w:tcPr>
            <w:tcW w:w="0" w:type="auto"/>
            <w:shd w:val="clear" w:color="auto" w:fill="auto"/>
            <w:noWrap/>
            <w:vAlign w:val="center"/>
            <w:hideMark/>
          </w:tcPr>
          <w:p w14:paraId="6E498AF7"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66526C3"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18CB213"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D985553"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680E237F"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174B0E2"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4B2773C"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D952E48"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F1D84B4"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A78D3AC"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r>
      <w:tr w:rsidR="001F05D8" w:rsidRPr="00422A90" w14:paraId="7D71B9FF" w14:textId="77777777" w:rsidTr="00422A90">
        <w:trPr>
          <w:cantSplit/>
          <w:trHeight w:val="1424"/>
        </w:trPr>
        <w:tc>
          <w:tcPr>
            <w:tcW w:w="1561" w:type="dxa"/>
            <w:vMerge w:val="restart"/>
            <w:shd w:val="clear" w:color="auto" w:fill="auto"/>
            <w:vAlign w:val="center"/>
            <w:hideMark/>
          </w:tcPr>
          <w:p w14:paraId="076D330D" w14:textId="77777777" w:rsidR="001F05D8" w:rsidRPr="00422A90" w:rsidRDefault="001F05D8" w:rsidP="00422A90">
            <w:pPr>
              <w:spacing w:line="240" w:lineRule="auto"/>
              <w:jc w:val="center"/>
              <w:rPr>
                <w:rFonts w:cs="Arial"/>
                <w:color w:val="000000"/>
                <w:sz w:val="16"/>
                <w:szCs w:val="16"/>
                <w:lang w:eastAsia="en-AU"/>
              </w:rPr>
            </w:pPr>
            <w:r w:rsidRPr="00422A90">
              <w:rPr>
                <w:rFonts w:cs="Arial"/>
                <w:color w:val="000000"/>
                <w:sz w:val="16"/>
                <w:szCs w:val="16"/>
                <w:lang w:eastAsia="en-AU"/>
              </w:rPr>
              <w:t>Western Australia</w:t>
            </w:r>
          </w:p>
        </w:tc>
        <w:tc>
          <w:tcPr>
            <w:tcW w:w="2692" w:type="dxa"/>
            <w:shd w:val="clear" w:color="auto" w:fill="auto"/>
            <w:vAlign w:val="center"/>
            <w:hideMark/>
          </w:tcPr>
          <w:p w14:paraId="034C396A" w14:textId="77777777" w:rsidR="001F05D8" w:rsidRPr="00422A90" w:rsidRDefault="00B96CA1" w:rsidP="00422A90">
            <w:pPr>
              <w:spacing w:line="240" w:lineRule="auto"/>
              <w:rPr>
                <w:rFonts w:cs="Arial"/>
                <w:color w:val="0000FF"/>
                <w:sz w:val="16"/>
                <w:szCs w:val="16"/>
                <w:u w:val="single"/>
                <w:lang w:eastAsia="en-AU"/>
              </w:rPr>
            </w:pPr>
            <w:hyperlink r:id="rId70" w:history="1">
              <w:r w:rsidR="001F05D8" w:rsidRPr="00422A90">
                <w:rPr>
                  <w:rFonts w:cs="Arial"/>
                  <w:color w:val="0000FF"/>
                  <w:sz w:val="16"/>
                  <w:szCs w:val="16"/>
                  <w:u w:val="single"/>
                  <w:lang w:eastAsia="en-AU"/>
                </w:rPr>
                <w:t>Western Australian Marine Science Institute</w:t>
              </w:r>
            </w:hyperlink>
          </w:p>
        </w:tc>
        <w:tc>
          <w:tcPr>
            <w:tcW w:w="5087" w:type="dxa"/>
            <w:shd w:val="clear" w:color="auto" w:fill="auto"/>
            <w:vAlign w:val="center"/>
            <w:hideMark/>
          </w:tcPr>
          <w:p w14:paraId="1E435A1F"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 xml:space="preserve">A collaboration of State, Federal, industry and academic entities cooperating to create benchmark research and independent, quality scientific information.  The Institute carries out research into climate change, biodiversity, the iconic Ningaloo Marine Park, sustainable fisheries, biotechnology and oceanography, and has overseen the development of a marine </w:t>
            </w:r>
            <w:proofErr w:type="spellStart"/>
            <w:r w:rsidRPr="00422A90">
              <w:rPr>
                <w:rFonts w:cs="Arial"/>
                <w:color w:val="000000"/>
                <w:sz w:val="16"/>
                <w:szCs w:val="16"/>
                <w:lang w:eastAsia="en-AU"/>
              </w:rPr>
              <w:t>bioresources</w:t>
            </w:r>
            <w:proofErr w:type="spellEnd"/>
            <w:r w:rsidRPr="00422A90">
              <w:rPr>
                <w:rFonts w:cs="Arial"/>
                <w:color w:val="000000"/>
                <w:sz w:val="16"/>
                <w:szCs w:val="16"/>
                <w:lang w:eastAsia="en-AU"/>
              </w:rPr>
              <w:t xml:space="preserve"> library.</w:t>
            </w:r>
          </w:p>
        </w:tc>
        <w:tc>
          <w:tcPr>
            <w:tcW w:w="0" w:type="auto"/>
            <w:shd w:val="clear" w:color="auto" w:fill="auto"/>
            <w:noWrap/>
            <w:vAlign w:val="center"/>
            <w:hideMark/>
          </w:tcPr>
          <w:p w14:paraId="18E51D1A"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89A1DA7"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B7053C7"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F4AD767"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53669A7"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3800057"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099C6D3"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66D4F7E"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A8F4926"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5F61ADE"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r>
      <w:tr w:rsidR="001F05D8" w:rsidRPr="00422A90" w14:paraId="613E2052" w14:textId="77777777" w:rsidTr="00422A90">
        <w:trPr>
          <w:cantSplit/>
          <w:trHeight w:val="979"/>
        </w:trPr>
        <w:tc>
          <w:tcPr>
            <w:tcW w:w="1561" w:type="dxa"/>
            <w:vMerge/>
            <w:shd w:val="clear" w:color="auto" w:fill="auto"/>
            <w:vAlign w:val="center"/>
            <w:hideMark/>
          </w:tcPr>
          <w:p w14:paraId="0EF95584"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0E524F65" w14:textId="77777777" w:rsidR="001F05D8" w:rsidRPr="00422A90" w:rsidRDefault="00B96CA1" w:rsidP="00422A90">
            <w:pPr>
              <w:spacing w:line="240" w:lineRule="auto"/>
              <w:rPr>
                <w:rFonts w:cs="Arial"/>
                <w:color w:val="0000FF"/>
                <w:sz w:val="16"/>
                <w:szCs w:val="16"/>
                <w:u w:val="single"/>
                <w:lang w:eastAsia="en-AU"/>
              </w:rPr>
            </w:pPr>
            <w:hyperlink r:id="rId71" w:history="1">
              <w:r w:rsidR="001F05D8" w:rsidRPr="00422A90">
                <w:rPr>
                  <w:rFonts w:cs="Arial"/>
                  <w:color w:val="0000FF"/>
                  <w:sz w:val="16"/>
                  <w:szCs w:val="16"/>
                  <w:u w:val="single"/>
                  <w:lang w:eastAsia="en-AU"/>
                </w:rPr>
                <w:t>Western Australian Fellowships Program</w:t>
              </w:r>
            </w:hyperlink>
          </w:p>
        </w:tc>
        <w:tc>
          <w:tcPr>
            <w:tcW w:w="5087" w:type="dxa"/>
            <w:shd w:val="clear" w:color="auto" w:fill="auto"/>
            <w:vAlign w:val="center"/>
            <w:hideMark/>
          </w:tcPr>
          <w:p w14:paraId="06BC9024"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 xml:space="preserve">Attracts internationally prominent researchers from interstate or overseas to Western Australia. Fellows build and lead world-class research teams in the State and contribute to the development of the State’s science capability and capacity. </w:t>
            </w:r>
          </w:p>
        </w:tc>
        <w:tc>
          <w:tcPr>
            <w:tcW w:w="0" w:type="auto"/>
            <w:shd w:val="clear" w:color="auto" w:fill="auto"/>
            <w:noWrap/>
            <w:vAlign w:val="center"/>
            <w:hideMark/>
          </w:tcPr>
          <w:p w14:paraId="0AF25C45"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ECA7678"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82FA44D"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6BED51F"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202D41E"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1902BCF"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2ED84C9"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D0BE2AA"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C03972E"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0CBB07A"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r>
      <w:tr w:rsidR="001F05D8" w:rsidRPr="00422A90" w14:paraId="1FD50CA7" w14:textId="77777777" w:rsidTr="00422A90">
        <w:trPr>
          <w:cantSplit/>
          <w:trHeight w:val="992"/>
        </w:trPr>
        <w:tc>
          <w:tcPr>
            <w:tcW w:w="1561" w:type="dxa"/>
            <w:vMerge/>
            <w:shd w:val="clear" w:color="auto" w:fill="auto"/>
            <w:vAlign w:val="center"/>
            <w:hideMark/>
          </w:tcPr>
          <w:p w14:paraId="276AC820"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468C4167" w14:textId="77777777" w:rsidR="001F05D8" w:rsidRPr="00422A90" w:rsidRDefault="00B96CA1" w:rsidP="00422A90">
            <w:pPr>
              <w:spacing w:line="240" w:lineRule="auto"/>
              <w:rPr>
                <w:rFonts w:cs="Arial"/>
                <w:color w:val="0000FF"/>
                <w:sz w:val="16"/>
                <w:szCs w:val="16"/>
                <w:u w:val="single"/>
                <w:lang w:eastAsia="en-AU"/>
              </w:rPr>
            </w:pPr>
            <w:hyperlink r:id="rId72" w:history="1">
              <w:r w:rsidR="001F05D8" w:rsidRPr="00422A90">
                <w:rPr>
                  <w:rFonts w:cs="Arial"/>
                  <w:color w:val="0000FF"/>
                  <w:sz w:val="16"/>
                  <w:szCs w:val="16"/>
                  <w:u w:val="single"/>
                  <w:lang w:eastAsia="en-AU"/>
                </w:rPr>
                <w:t>Curtin Growth Ignition Program</w:t>
              </w:r>
            </w:hyperlink>
          </w:p>
        </w:tc>
        <w:tc>
          <w:tcPr>
            <w:tcW w:w="5087" w:type="dxa"/>
            <w:shd w:val="clear" w:color="auto" w:fill="auto"/>
            <w:vAlign w:val="center"/>
            <w:hideMark/>
          </w:tcPr>
          <w:p w14:paraId="0DB5D4BA"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Ignition is an annual event held in Perth. Run by the Curtin Centre for Entrepreneurship. It is a five and a half day intensive program which prepares participants for taking their idea to the business world.</w:t>
            </w:r>
          </w:p>
        </w:tc>
        <w:tc>
          <w:tcPr>
            <w:tcW w:w="0" w:type="auto"/>
            <w:shd w:val="clear" w:color="auto" w:fill="auto"/>
            <w:noWrap/>
            <w:vAlign w:val="center"/>
            <w:hideMark/>
          </w:tcPr>
          <w:p w14:paraId="13AEA1EA"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2D864648"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342FB72"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BB4FC3D"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93D7000"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4FE808D"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2965ED1"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DC0373D"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62140BA8"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6100678"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r>
      <w:tr w:rsidR="001F05D8" w:rsidRPr="00422A90" w14:paraId="64652B54" w14:textId="77777777" w:rsidTr="00422A90">
        <w:trPr>
          <w:cantSplit/>
          <w:trHeight w:val="774"/>
        </w:trPr>
        <w:tc>
          <w:tcPr>
            <w:tcW w:w="1561" w:type="dxa"/>
            <w:vMerge/>
            <w:shd w:val="clear" w:color="auto" w:fill="auto"/>
            <w:vAlign w:val="center"/>
            <w:hideMark/>
          </w:tcPr>
          <w:p w14:paraId="4B531B17"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4E431294" w14:textId="77777777" w:rsidR="001F05D8" w:rsidRPr="00422A90" w:rsidRDefault="00B96CA1" w:rsidP="00422A90">
            <w:pPr>
              <w:spacing w:line="240" w:lineRule="auto"/>
              <w:rPr>
                <w:rFonts w:cs="Arial"/>
                <w:color w:val="0000FF"/>
                <w:sz w:val="16"/>
                <w:szCs w:val="16"/>
                <w:u w:val="single"/>
                <w:lang w:eastAsia="en-AU"/>
              </w:rPr>
            </w:pPr>
            <w:hyperlink r:id="rId73" w:history="1">
              <w:r w:rsidR="001F05D8" w:rsidRPr="00422A90">
                <w:rPr>
                  <w:rFonts w:cs="Arial"/>
                  <w:color w:val="0000FF"/>
                  <w:sz w:val="16"/>
                  <w:szCs w:val="16"/>
                  <w:u w:val="single"/>
                  <w:lang w:eastAsia="en-AU"/>
                </w:rPr>
                <w:t>Innovation Centre of WA</w:t>
              </w:r>
            </w:hyperlink>
          </w:p>
        </w:tc>
        <w:tc>
          <w:tcPr>
            <w:tcW w:w="5087" w:type="dxa"/>
            <w:shd w:val="clear" w:color="auto" w:fill="auto"/>
            <w:vAlign w:val="center"/>
            <w:hideMark/>
          </w:tcPr>
          <w:p w14:paraId="7E2C8DB4"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Government-funded facility providing advice, networking opportunities and aims to improve the innovation and commercialisation infrastructure in WA.</w:t>
            </w:r>
          </w:p>
        </w:tc>
        <w:tc>
          <w:tcPr>
            <w:tcW w:w="0" w:type="auto"/>
            <w:shd w:val="clear" w:color="auto" w:fill="auto"/>
            <w:noWrap/>
            <w:vAlign w:val="center"/>
            <w:hideMark/>
          </w:tcPr>
          <w:p w14:paraId="0E453FB5"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1A9CC43"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A0DE116"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180CC0E"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520FE5F"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DCB2859"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5D7D41E"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3F1716B"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098ECA3"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5BB1018"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r>
      <w:tr w:rsidR="001F05D8" w:rsidRPr="00422A90" w14:paraId="3223AED2" w14:textId="77777777" w:rsidTr="00422A90">
        <w:trPr>
          <w:cantSplit/>
          <w:trHeight w:val="1692"/>
        </w:trPr>
        <w:tc>
          <w:tcPr>
            <w:tcW w:w="1561" w:type="dxa"/>
            <w:vMerge/>
            <w:shd w:val="clear" w:color="auto" w:fill="auto"/>
            <w:vAlign w:val="center"/>
            <w:hideMark/>
          </w:tcPr>
          <w:p w14:paraId="183C21B7"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55E6280B" w14:textId="77777777" w:rsidR="001F05D8" w:rsidRPr="00422A90" w:rsidRDefault="00B96CA1" w:rsidP="00422A90">
            <w:pPr>
              <w:spacing w:line="240" w:lineRule="auto"/>
              <w:rPr>
                <w:rFonts w:cs="Arial"/>
                <w:color w:val="0000FF"/>
                <w:sz w:val="16"/>
                <w:szCs w:val="16"/>
                <w:u w:val="single"/>
                <w:lang w:eastAsia="en-AU"/>
              </w:rPr>
            </w:pPr>
            <w:hyperlink r:id="rId74" w:history="1">
              <w:r w:rsidR="001F05D8" w:rsidRPr="00422A90">
                <w:rPr>
                  <w:rFonts w:cs="Arial"/>
                  <w:color w:val="0000FF"/>
                  <w:sz w:val="16"/>
                  <w:szCs w:val="16"/>
                  <w:u w:val="single"/>
                  <w:lang w:eastAsia="en-AU"/>
                </w:rPr>
                <w:t>WA Centres of Excellence Program</w:t>
              </w:r>
            </w:hyperlink>
          </w:p>
        </w:tc>
        <w:tc>
          <w:tcPr>
            <w:tcW w:w="5087" w:type="dxa"/>
            <w:shd w:val="clear" w:color="auto" w:fill="auto"/>
            <w:vAlign w:val="center"/>
            <w:hideMark/>
          </w:tcPr>
          <w:p w14:paraId="799B2188"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Aims to encourage, catalyse or leverage opportunities to expand and enhance Western Australia’s science and innovation capability and performance. Allows Western Australian scientists and innovators to develop centres involving research excellence within universities in collaboration with the vocational education and training sector, government research agencies, the private sector and the community.</w:t>
            </w:r>
          </w:p>
        </w:tc>
        <w:tc>
          <w:tcPr>
            <w:tcW w:w="0" w:type="auto"/>
            <w:shd w:val="clear" w:color="auto" w:fill="auto"/>
            <w:noWrap/>
            <w:vAlign w:val="center"/>
            <w:hideMark/>
          </w:tcPr>
          <w:p w14:paraId="4F62620E"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C589279"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CF7E833"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0D93C7DE"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967533B"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BF0F87F"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3679CF91"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A1CC6B0"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CFF460C"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82F1ACB"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r>
      <w:tr w:rsidR="001F05D8" w:rsidRPr="00422A90" w14:paraId="56F0AD8A" w14:textId="77777777" w:rsidTr="00422A90">
        <w:trPr>
          <w:cantSplit/>
          <w:trHeight w:val="510"/>
        </w:trPr>
        <w:tc>
          <w:tcPr>
            <w:tcW w:w="1561" w:type="dxa"/>
            <w:vMerge/>
            <w:shd w:val="clear" w:color="auto" w:fill="auto"/>
            <w:vAlign w:val="center"/>
            <w:hideMark/>
          </w:tcPr>
          <w:p w14:paraId="1DF6764C"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13250A71" w14:textId="77777777" w:rsidR="001F05D8" w:rsidRPr="00422A90" w:rsidRDefault="00B96CA1" w:rsidP="00422A90">
            <w:pPr>
              <w:spacing w:line="240" w:lineRule="auto"/>
              <w:rPr>
                <w:rFonts w:cs="Arial"/>
                <w:color w:val="0000FF"/>
                <w:sz w:val="16"/>
                <w:szCs w:val="16"/>
                <w:u w:val="single"/>
                <w:lang w:eastAsia="en-AU"/>
              </w:rPr>
            </w:pPr>
            <w:hyperlink r:id="rId75" w:history="1">
              <w:r w:rsidR="001F05D8" w:rsidRPr="00422A90">
                <w:rPr>
                  <w:rFonts w:cs="Arial"/>
                  <w:color w:val="0000FF"/>
                  <w:sz w:val="16"/>
                  <w:szCs w:val="16"/>
                  <w:u w:val="single"/>
                  <w:lang w:eastAsia="en-AU"/>
                </w:rPr>
                <w:t>Applied Research Program</w:t>
              </w:r>
            </w:hyperlink>
          </w:p>
        </w:tc>
        <w:tc>
          <w:tcPr>
            <w:tcW w:w="5087" w:type="dxa"/>
            <w:shd w:val="clear" w:color="auto" w:fill="auto"/>
            <w:vAlign w:val="center"/>
            <w:hideMark/>
          </w:tcPr>
          <w:p w14:paraId="0F0E59CF"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Aims to address Western Australian challenges and opportunities of immediate concern to the community.</w:t>
            </w:r>
          </w:p>
        </w:tc>
        <w:tc>
          <w:tcPr>
            <w:tcW w:w="0" w:type="auto"/>
            <w:shd w:val="clear" w:color="auto" w:fill="auto"/>
            <w:noWrap/>
            <w:vAlign w:val="center"/>
            <w:hideMark/>
          </w:tcPr>
          <w:p w14:paraId="34981BFD"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A767ED1"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3EEC03D3"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F5B7EB4"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418C369"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750D954B" w14:textId="77777777" w:rsidR="001F05D8" w:rsidRPr="00057762" w:rsidRDefault="001F05D8" w:rsidP="00422A90">
            <w:pPr>
              <w:spacing w:line="240" w:lineRule="auto"/>
              <w:jc w:val="center"/>
              <w:rPr>
                <w:rFonts w:cs="Arial"/>
                <w:color w:val="00B0F0"/>
                <w:lang w:eastAsia="en-AU"/>
              </w:rPr>
            </w:pPr>
            <w:r w:rsidRPr="00057762">
              <w:rPr>
                <w:rFonts w:cs="Arial"/>
                <w:color w:val="00B0F0"/>
                <w:lang w:eastAsia="en-AU"/>
              </w:rPr>
              <w:t> </w:t>
            </w:r>
          </w:p>
        </w:tc>
        <w:tc>
          <w:tcPr>
            <w:tcW w:w="0" w:type="auto"/>
            <w:shd w:val="clear" w:color="auto" w:fill="auto"/>
            <w:noWrap/>
            <w:vAlign w:val="center"/>
            <w:hideMark/>
          </w:tcPr>
          <w:p w14:paraId="25254BB8"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2D693DC"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CF31360"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343B030C"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r>
      <w:tr w:rsidR="00422A90" w:rsidRPr="00422A90" w14:paraId="4EA893C0" w14:textId="77777777" w:rsidTr="00422A90">
        <w:trPr>
          <w:cantSplit/>
          <w:trHeight w:val="1029"/>
        </w:trPr>
        <w:tc>
          <w:tcPr>
            <w:tcW w:w="1561" w:type="dxa"/>
            <w:shd w:val="clear" w:color="auto" w:fill="auto"/>
            <w:vAlign w:val="center"/>
            <w:hideMark/>
          </w:tcPr>
          <w:p w14:paraId="6A3E5A3A" w14:textId="77777777" w:rsidR="00422A90" w:rsidRPr="00422A90" w:rsidRDefault="00422A90" w:rsidP="00422A90">
            <w:pPr>
              <w:spacing w:line="240" w:lineRule="auto"/>
              <w:jc w:val="center"/>
              <w:rPr>
                <w:rFonts w:cs="Arial"/>
                <w:color w:val="000000"/>
                <w:sz w:val="16"/>
                <w:szCs w:val="16"/>
                <w:lang w:eastAsia="en-AU"/>
              </w:rPr>
            </w:pPr>
            <w:r w:rsidRPr="00422A90">
              <w:rPr>
                <w:rFonts w:cs="Arial"/>
                <w:color w:val="000000"/>
                <w:sz w:val="16"/>
                <w:szCs w:val="16"/>
                <w:lang w:eastAsia="en-AU"/>
              </w:rPr>
              <w:t>South Australia</w:t>
            </w:r>
          </w:p>
        </w:tc>
        <w:tc>
          <w:tcPr>
            <w:tcW w:w="2692" w:type="dxa"/>
            <w:shd w:val="clear" w:color="auto" w:fill="auto"/>
            <w:vAlign w:val="center"/>
            <w:hideMark/>
          </w:tcPr>
          <w:p w14:paraId="75184DC4" w14:textId="77777777" w:rsidR="00422A90" w:rsidRPr="00422A90" w:rsidRDefault="00B96CA1" w:rsidP="00422A90">
            <w:pPr>
              <w:spacing w:line="240" w:lineRule="auto"/>
              <w:rPr>
                <w:rFonts w:cs="Arial"/>
                <w:color w:val="0000FF"/>
                <w:sz w:val="16"/>
                <w:szCs w:val="16"/>
                <w:u w:val="single"/>
                <w:lang w:eastAsia="en-AU"/>
              </w:rPr>
            </w:pPr>
            <w:hyperlink r:id="rId76" w:history="1">
              <w:r w:rsidR="00422A90" w:rsidRPr="00422A90">
                <w:rPr>
                  <w:rFonts w:cs="Arial"/>
                  <w:color w:val="0000FF"/>
                  <w:sz w:val="16"/>
                  <w:szCs w:val="16"/>
                  <w:u w:val="single"/>
                  <w:lang w:eastAsia="en-AU"/>
                </w:rPr>
                <w:t>MEGA</w:t>
              </w:r>
            </w:hyperlink>
          </w:p>
        </w:tc>
        <w:tc>
          <w:tcPr>
            <w:tcW w:w="5087" w:type="dxa"/>
            <w:shd w:val="clear" w:color="auto" w:fill="auto"/>
            <w:vAlign w:val="center"/>
            <w:hideMark/>
          </w:tcPr>
          <w:p w14:paraId="406C4B38" w14:textId="77777777" w:rsidR="00422A90" w:rsidRPr="00422A90" w:rsidRDefault="00422A90" w:rsidP="00422A90">
            <w:pPr>
              <w:rPr>
                <w:rFonts w:cs="Arial"/>
                <w:color w:val="000000"/>
                <w:sz w:val="16"/>
                <w:szCs w:val="16"/>
                <w:lang w:eastAsia="en-AU"/>
              </w:rPr>
            </w:pPr>
            <w:r w:rsidRPr="00422A90">
              <w:rPr>
                <w:rFonts w:cs="Arial"/>
                <w:color w:val="000000"/>
                <w:sz w:val="16"/>
                <w:szCs w:val="16"/>
                <w:lang w:eastAsia="en-AU"/>
              </w:rPr>
              <w:t xml:space="preserve">3 months </w:t>
            </w:r>
            <w:proofErr w:type="spellStart"/>
            <w:r w:rsidRPr="00422A90">
              <w:rPr>
                <w:rFonts w:cs="Arial"/>
                <w:color w:val="000000"/>
                <w:sz w:val="16"/>
                <w:szCs w:val="16"/>
                <w:lang w:eastAsia="en-AU"/>
              </w:rPr>
              <w:t>startup</w:t>
            </w:r>
            <w:proofErr w:type="spellEnd"/>
            <w:r w:rsidRPr="00422A90">
              <w:rPr>
                <w:rFonts w:cs="Arial"/>
                <w:color w:val="000000"/>
                <w:sz w:val="16"/>
                <w:szCs w:val="16"/>
                <w:lang w:eastAsia="en-AU"/>
              </w:rPr>
              <w:t xml:space="preserve"> pre-accelerator program designed to be an evolutionary part of the search of a sustainable business model. Participants receive support from MEGA vibrant community of founders, successful mentors and space to work.</w:t>
            </w:r>
          </w:p>
        </w:tc>
        <w:tc>
          <w:tcPr>
            <w:tcW w:w="0" w:type="auto"/>
            <w:shd w:val="clear" w:color="auto" w:fill="auto"/>
            <w:noWrap/>
            <w:vAlign w:val="center"/>
            <w:hideMark/>
          </w:tcPr>
          <w:p w14:paraId="158E764B" w14:textId="77777777" w:rsidR="00422A90"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155CD1A6"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4E37BD6"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61292DD"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199051F" w14:textId="77777777" w:rsidR="00422A90"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7666521F"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E6963A0"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C1FCE69"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B3E7174"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5934AC8"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r>
      <w:tr w:rsidR="001F05D8" w:rsidRPr="00422A90" w14:paraId="47C4D0B7" w14:textId="77777777" w:rsidTr="00422A90">
        <w:trPr>
          <w:cantSplit/>
          <w:trHeight w:val="1257"/>
        </w:trPr>
        <w:tc>
          <w:tcPr>
            <w:tcW w:w="1561" w:type="dxa"/>
            <w:vMerge w:val="restart"/>
            <w:shd w:val="clear" w:color="auto" w:fill="auto"/>
            <w:vAlign w:val="center"/>
            <w:hideMark/>
          </w:tcPr>
          <w:p w14:paraId="34391653" w14:textId="77777777" w:rsidR="001F05D8" w:rsidRPr="00422A90" w:rsidRDefault="001F05D8" w:rsidP="00422A90">
            <w:pPr>
              <w:spacing w:line="240" w:lineRule="auto"/>
              <w:jc w:val="center"/>
              <w:rPr>
                <w:rFonts w:cs="Arial"/>
                <w:color w:val="000000"/>
                <w:sz w:val="16"/>
                <w:szCs w:val="16"/>
                <w:lang w:eastAsia="en-AU"/>
              </w:rPr>
            </w:pPr>
            <w:r w:rsidRPr="00422A90">
              <w:rPr>
                <w:rFonts w:cs="Arial"/>
                <w:color w:val="000000"/>
                <w:sz w:val="16"/>
                <w:szCs w:val="16"/>
                <w:lang w:eastAsia="en-AU"/>
              </w:rPr>
              <w:t>South Australia</w:t>
            </w:r>
          </w:p>
        </w:tc>
        <w:tc>
          <w:tcPr>
            <w:tcW w:w="2692" w:type="dxa"/>
            <w:shd w:val="clear" w:color="auto" w:fill="auto"/>
            <w:vAlign w:val="center"/>
            <w:hideMark/>
          </w:tcPr>
          <w:p w14:paraId="0D1A455F" w14:textId="77777777" w:rsidR="001F05D8" w:rsidRPr="00422A90" w:rsidRDefault="00B96CA1" w:rsidP="00422A90">
            <w:pPr>
              <w:spacing w:line="240" w:lineRule="auto"/>
              <w:rPr>
                <w:rFonts w:cs="Arial"/>
                <w:color w:val="0000FF"/>
                <w:sz w:val="16"/>
                <w:szCs w:val="16"/>
                <w:u w:val="single"/>
                <w:lang w:eastAsia="en-AU"/>
              </w:rPr>
            </w:pPr>
            <w:hyperlink r:id="rId77" w:history="1">
              <w:r w:rsidR="001F05D8" w:rsidRPr="00422A90">
                <w:rPr>
                  <w:rFonts w:cs="Arial"/>
                  <w:color w:val="0000FF"/>
                  <w:sz w:val="16"/>
                  <w:szCs w:val="16"/>
                  <w:u w:val="single"/>
                  <w:lang w:eastAsia="en-AU"/>
                </w:rPr>
                <w:t>Premier's Research and Industry Fund</w:t>
              </w:r>
            </w:hyperlink>
          </w:p>
        </w:tc>
        <w:tc>
          <w:tcPr>
            <w:tcW w:w="5087" w:type="dxa"/>
            <w:shd w:val="clear" w:color="auto" w:fill="auto"/>
            <w:vAlign w:val="center"/>
            <w:hideMark/>
          </w:tcPr>
          <w:p w14:paraId="43E41179"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Aims to support South Australia’s research community to compete successfully on a national and global scale. The fund encourages investment in key science and research areas that have the potential to generate significant economic, social and/or environmental benefits for the State.</w:t>
            </w:r>
          </w:p>
        </w:tc>
        <w:tc>
          <w:tcPr>
            <w:tcW w:w="0" w:type="auto"/>
            <w:shd w:val="clear" w:color="auto" w:fill="auto"/>
            <w:noWrap/>
            <w:vAlign w:val="center"/>
            <w:hideMark/>
          </w:tcPr>
          <w:p w14:paraId="1F7F1F22"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6ADA1C76"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C82D526"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237FD6D"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9022AA5"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32AD2EE"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CEAF03E"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6C0F570F"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38BC0CE"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37056F5"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r>
      <w:tr w:rsidR="001F05D8" w:rsidRPr="00422A90" w14:paraId="642E2AE4" w14:textId="77777777" w:rsidTr="00422A90">
        <w:trPr>
          <w:cantSplit/>
          <w:trHeight w:val="977"/>
        </w:trPr>
        <w:tc>
          <w:tcPr>
            <w:tcW w:w="1561" w:type="dxa"/>
            <w:vMerge/>
            <w:shd w:val="clear" w:color="auto" w:fill="auto"/>
            <w:vAlign w:val="center"/>
            <w:hideMark/>
          </w:tcPr>
          <w:p w14:paraId="6487E2E8"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4C18C3BC" w14:textId="77777777" w:rsidR="001F05D8" w:rsidRPr="00422A90" w:rsidRDefault="00B96CA1" w:rsidP="00422A90">
            <w:pPr>
              <w:spacing w:line="240" w:lineRule="auto"/>
              <w:rPr>
                <w:rFonts w:cs="Arial"/>
                <w:color w:val="0000FF"/>
                <w:sz w:val="16"/>
                <w:szCs w:val="16"/>
                <w:u w:val="single"/>
                <w:lang w:eastAsia="en-AU"/>
              </w:rPr>
            </w:pPr>
            <w:hyperlink r:id="rId78" w:history="1">
              <w:r w:rsidR="001F05D8" w:rsidRPr="00422A90">
                <w:rPr>
                  <w:rFonts w:cs="Arial"/>
                  <w:color w:val="0000FF"/>
                  <w:sz w:val="16"/>
                  <w:szCs w:val="16"/>
                  <w:u w:val="single"/>
                  <w:lang w:eastAsia="en-AU"/>
                </w:rPr>
                <w:t>Catalyst Research Grants</w:t>
              </w:r>
            </w:hyperlink>
          </w:p>
        </w:tc>
        <w:tc>
          <w:tcPr>
            <w:tcW w:w="5087" w:type="dxa"/>
            <w:shd w:val="clear" w:color="auto" w:fill="auto"/>
            <w:vAlign w:val="center"/>
            <w:hideMark/>
          </w:tcPr>
          <w:p w14:paraId="6D19DAE3"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Provides funding to support South Australian scientific and technological research projects performed by an Early Career Researcher in collaboration with an industry partner or end user group.</w:t>
            </w:r>
          </w:p>
        </w:tc>
        <w:tc>
          <w:tcPr>
            <w:tcW w:w="0" w:type="auto"/>
            <w:shd w:val="clear" w:color="auto" w:fill="auto"/>
            <w:noWrap/>
            <w:vAlign w:val="center"/>
            <w:hideMark/>
          </w:tcPr>
          <w:p w14:paraId="13EF1D45"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7429BA2"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31597F34"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171B034"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1818B38"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31C68C08"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8F6DA96"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12C7181"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10B2081"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62EAC902"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r>
      <w:tr w:rsidR="001F05D8" w:rsidRPr="00422A90" w14:paraId="0512D5C3" w14:textId="77777777" w:rsidTr="00422A90">
        <w:trPr>
          <w:cantSplit/>
          <w:trHeight w:val="1133"/>
        </w:trPr>
        <w:tc>
          <w:tcPr>
            <w:tcW w:w="1561" w:type="dxa"/>
            <w:vMerge/>
            <w:shd w:val="clear" w:color="auto" w:fill="auto"/>
            <w:vAlign w:val="center"/>
            <w:hideMark/>
          </w:tcPr>
          <w:p w14:paraId="5A304C83"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09F415B6" w14:textId="77777777" w:rsidR="001F05D8" w:rsidRPr="00422A90" w:rsidRDefault="00B96CA1" w:rsidP="00422A90">
            <w:pPr>
              <w:spacing w:line="240" w:lineRule="auto"/>
              <w:rPr>
                <w:rFonts w:cs="Arial"/>
                <w:color w:val="0000FF"/>
                <w:sz w:val="16"/>
                <w:szCs w:val="16"/>
                <w:u w:val="single"/>
                <w:lang w:eastAsia="en-AU"/>
              </w:rPr>
            </w:pPr>
            <w:hyperlink r:id="rId79" w:history="1">
              <w:r w:rsidR="001F05D8" w:rsidRPr="00422A90">
                <w:rPr>
                  <w:rFonts w:cs="Arial"/>
                  <w:color w:val="0000FF"/>
                  <w:sz w:val="16"/>
                  <w:szCs w:val="16"/>
                  <w:u w:val="single"/>
                  <w:lang w:eastAsia="en-AU"/>
                </w:rPr>
                <w:t>Innovation Voucher Program</w:t>
              </w:r>
            </w:hyperlink>
          </w:p>
        </w:tc>
        <w:tc>
          <w:tcPr>
            <w:tcW w:w="5087" w:type="dxa"/>
            <w:shd w:val="clear" w:color="auto" w:fill="auto"/>
            <w:vAlign w:val="center"/>
            <w:hideMark/>
          </w:tcPr>
          <w:p w14:paraId="73F18B9B"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Aims to stimulate innovation in SMEs through collaboration with public and private research providers to develop new manufactured products or processes and drive productivity and business profitability.</w:t>
            </w:r>
          </w:p>
        </w:tc>
        <w:tc>
          <w:tcPr>
            <w:tcW w:w="0" w:type="auto"/>
            <w:shd w:val="clear" w:color="auto" w:fill="auto"/>
            <w:noWrap/>
            <w:vAlign w:val="center"/>
            <w:hideMark/>
          </w:tcPr>
          <w:p w14:paraId="1485A4C2"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660E6C15"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2555804"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F1E6AFE"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CFB6E70"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14C88233"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6B37AB40"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1B1B674"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9B151E4"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29F51D3"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r>
      <w:tr w:rsidR="001F05D8" w:rsidRPr="00422A90" w14:paraId="645ACC6B" w14:textId="77777777" w:rsidTr="00422A90">
        <w:trPr>
          <w:cantSplit/>
          <w:trHeight w:val="979"/>
        </w:trPr>
        <w:tc>
          <w:tcPr>
            <w:tcW w:w="1561" w:type="dxa"/>
            <w:vMerge/>
            <w:shd w:val="clear" w:color="auto" w:fill="auto"/>
            <w:vAlign w:val="center"/>
            <w:hideMark/>
          </w:tcPr>
          <w:p w14:paraId="3E9F3F9B"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7E57E5C3" w14:textId="77777777" w:rsidR="001F05D8" w:rsidRPr="00422A90" w:rsidRDefault="00B96CA1" w:rsidP="00422A90">
            <w:pPr>
              <w:spacing w:line="240" w:lineRule="auto"/>
              <w:rPr>
                <w:rFonts w:cs="Arial"/>
                <w:color w:val="0000FF"/>
                <w:sz w:val="16"/>
                <w:szCs w:val="16"/>
                <w:u w:val="single"/>
                <w:lang w:eastAsia="en-AU"/>
              </w:rPr>
            </w:pPr>
            <w:hyperlink r:id="rId80" w:history="1">
              <w:r w:rsidR="001F05D8" w:rsidRPr="00422A90">
                <w:rPr>
                  <w:rFonts w:cs="Arial"/>
                  <w:color w:val="0000FF"/>
                  <w:sz w:val="16"/>
                  <w:szCs w:val="16"/>
                  <w:u w:val="single"/>
                  <w:lang w:eastAsia="en-AU"/>
                </w:rPr>
                <w:t>South Australian Research Fellowship</w:t>
              </w:r>
            </w:hyperlink>
          </w:p>
        </w:tc>
        <w:tc>
          <w:tcPr>
            <w:tcW w:w="5087" w:type="dxa"/>
            <w:shd w:val="clear" w:color="auto" w:fill="auto"/>
            <w:vAlign w:val="center"/>
            <w:hideMark/>
          </w:tcPr>
          <w:p w14:paraId="0D165C7C"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Provides funding to support world competitive research leadership and building research capability that address the States priority areas with direct benefit to the State, both its industries and the wider economy.</w:t>
            </w:r>
          </w:p>
        </w:tc>
        <w:tc>
          <w:tcPr>
            <w:tcW w:w="0" w:type="auto"/>
            <w:shd w:val="clear" w:color="auto" w:fill="auto"/>
            <w:noWrap/>
            <w:vAlign w:val="center"/>
            <w:hideMark/>
          </w:tcPr>
          <w:p w14:paraId="2DE6B114"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624104E"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092311E"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737308E3"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F28E720"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F37776F"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0DEDE21A"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A07ADD3"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3A46234"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2458239C"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r>
      <w:tr w:rsidR="001F05D8" w:rsidRPr="00422A90" w14:paraId="5340B6D0" w14:textId="77777777" w:rsidTr="00422A90">
        <w:trPr>
          <w:cantSplit/>
          <w:trHeight w:val="992"/>
        </w:trPr>
        <w:tc>
          <w:tcPr>
            <w:tcW w:w="1561" w:type="dxa"/>
            <w:vMerge/>
            <w:shd w:val="clear" w:color="auto" w:fill="auto"/>
            <w:vAlign w:val="center"/>
            <w:hideMark/>
          </w:tcPr>
          <w:p w14:paraId="0A612048"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4B2023DA" w14:textId="77777777" w:rsidR="001F05D8" w:rsidRPr="00422A90" w:rsidRDefault="00B96CA1" w:rsidP="00422A90">
            <w:pPr>
              <w:spacing w:line="240" w:lineRule="auto"/>
              <w:rPr>
                <w:rFonts w:cs="Arial"/>
                <w:color w:val="0000FF"/>
                <w:sz w:val="16"/>
                <w:szCs w:val="16"/>
                <w:u w:val="single"/>
                <w:lang w:eastAsia="en-AU"/>
              </w:rPr>
            </w:pPr>
            <w:hyperlink r:id="rId81" w:history="1">
              <w:r w:rsidR="001F05D8" w:rsidRPr="00422A90">
                <w:rPr>
                  <w:rFonts w:cs="Arial"/>
                  <w:color w:val="0000FF"/>
                  <w:sz w:val="16"/>
                  <w:szCs w:val="16"/>
                  <w:u w:val="single"/>
                  <w:lang w:eastAsia="en-AU"/>
                </w:rPr>
                <w:t>Collaboration Pathways Program</w:t>
              </w:r>
            </w:hyperlink>
          </w:p>
        </w:tc>
        <w:tc>
          <w:tcPr>
            <w:tcW w:w="5087" w:type="dxa"/>
            <w:shd w:val="clear" w:color="auto" w:fill="auto"/>
            <w:vAlign w:val="center"/>
            <w:hideMark/>
          </w:tcPr>
          <w:p w14:paraId="2B0C36CA"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Encourages cross-sector interaction to develop innovative, high quality, collaborative research activities that improve efficiency in the use of intellectual capacity and the pooling of knowledge, expertise and resources.</w:t>
            </w:r>
          </w:p>
        </w:tc>
        <w:tc>
          <w:tcPr>
            <w:tcW w:w="0" w:type="auto"/>
            <w:shd w:val="clear" w:color="auto" w:fill="auto"/>
            <w:noWrap/>
            <w:vAlign w:val="center"/>
            <w:hideMark/>
          </w:tcPr>
          <w:p w14:paraId="0E9EBFFF"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B386097"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CDE8195"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3F1E0D37"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EEDD9E2"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05CCAA51"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7AE989B"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021281C"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30C7DAF" w14:textId="77777777" w:rsidR="001F05D8" w:rsidRPr="00057762" w:rsidRDefault="001F05D8" w:rsidP="00422A90">
            <w:pPr>
              <w:spacing w:line="240" w:lineRule="auto"/>
              <w:jc w:val="center"/>
              <w:rPr>
                <w:rFonts w:cs="Arial"/>
                <w:color w:val="00B0F0"/>
                <w:lang w:eastAsia="en-AU"/>
              </w:rPr>
            </w:pPr>
            <w:r w:rsidRPr="00057762">
              <w:rPr>
                <w:rFonts w:cs="Arial"/>
                <w:color w:val="00B0F0"/>
                <w:lang w:eastAsia="en-AU"/>
              </w:rPr>
              <w:t> </w:t>
            </w:r>
          </w:p>
        </w:tc>
        <w:tc>
          <w:tcPr>
            <w:tcW w:w="0" w:type="auto"/>
            <w:shd w:val="clear" w:color="auto" w:fill="auto"/>
            <w:noWrap/>
            <w:vAlign w:val="center"/>
            <w:hideMark/>
          </w:tcPr>
          <w:p w14:paraId="013E6F4E"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r>
      <w:tr w:rsidR="001F05D8" w:rsidRPr="00422A90" w14:paraId="22E164D4" w14:textId="77777777" w:rsidTr="00422A90">
        <w:trPr>
          <w:cantSplit/>
          <w:trHeight w:val="723"/>
        </w:trPr>
        <w:tc>
          <w:tcPr>
            <w:tcW w:w="1561" w:type="dxa"/>
            <w:vMerge/>
            <w:shd w:val="clear" w:color="auto" w:fill="auto"/>
            <w:vAlign w:val="center"/>
            <w:hideMark/>
          </w:tcPr>
          <w:p w14:paraId="74B21B3C"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6FCBB1A6" w14:textId="77777777" w:rsidR="001F05D8" w:rsidRPr="00422A90" w:rsidRDefault="00B96CA1" w:rsidP="00422A90">
            <w:pPr>
              <w:spacing w:line="240" w:lineRule="auto"/>
              <w:rPr>
                <w:rFonts w:cs="Arial"/>
                <w:color w:val="0000FF"/>
                <w:sz w:val="16"/>
                <w:szCs w:val="16"/>
                <w:u w:val="single"/>
                <w:lang w:eastAsia="en-AU"/>
              </w:rPr>
            </w:pPr>
            <w:hyperlink r:id="rId82" w:history="1">
              <w:r w:rsidR="001F05D8" w:rsidRPr="00422A90">
                <w:rPr>
                  <w:rFonts w:cs="Arial"/>
                  <w:color w:val="0000FF"/>
                  <w:sz w:val="16"/>
                  <w:szCs w:val="16"/>
                  <w:u w:val="single"/>
                  <w:lang w:eastAsia="en-AU"/>
                </w:rPr>
                <w:t>International Research Grants</w:t>
              </w:r>
            </w:hyperlink>
          </w:p>
        </w:tc>
        <w:tc>
          <w:tcPr>
            <w:tcW w:w="5087" w:type="dxa"/>
            <w:shd w:val="clear" w:color="auto" w:fill="auto"/>
            <w:vAlign w:val="center"/>
            <w:hideMark/>
          </w:tcPr>
          <w:p w14:paraId="746B19DF"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Fund research and supports scientific and technological research being conducted by eligible South Australian organisations with an international partner.</w:t>
            </w:r>
          </w:p>
        </w:tc>
        <w:tc>
          <w:tcPr>
            <w:tcW w:w="0" w:type="auto"/>
            <w:shd w:val="clear" w:color="auto" w:fill="auto"/>
            <w:noWrap/>
            <w:vAlign w:val="center"/>
            <w:hideMark/>
          </w:tcPr>
          <w:p w14:paraId="4BCC87DB"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084C28A"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027E3C8"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155A1340"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BA147F1"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3551B3C8"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A6AC139"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C8358B7"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5EF1004"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5F463162"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r>
      <w:tr w:rsidR="001F05D8" w:rsidRPr="00422A90" w14:paraId="54B4188D" w14:textId="77777777" w:rsidTr="00422A90">
        <w:trPr>
          <w:cantSplit/>
          <w:trHeight w:val="510"/>
        </w:trPr>
        <w:tc>
          <w:tcPr>
            <w:tcW w:w="1561" w:type="dxa"/>
            <w:vMerge/>
            <w:shd w:val="clear" w:color="auto" w:fill="auto"/>
            <w:vAlign w:val="center"/>
            <w:hideMark/>
          </w:tcPr>
          <w:p w14:paraId="3BE5E5E5"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7DB1439A" w14:textId="77777777" w:rsidR="001F05D8" w:rsidRPr="00422A90" w:rsidRDefault="00B96CA1" w:rsidP="00422A90">
            <w:pPr>
              <w:spacing w:line="240" w:lineRule="auto"/>
              <w:rPr>
                <w:rFonts w:cs="Arial"/>
                <w:color w:val="0000FF"/>
                <w:sz w:val="16"/>
                <w:szCs w:val="16"/>
                <w:u w:val="single"/>
                <w:lang w:eastAsia="en-AU"/>
              </w:rPr>
            </w:pPr>
            <w:hyperlink r:id="rId83" w:history="1">
              <w:r w:rsidR="001F05D8" w:rsidRPr="00422A90">
                <w:rPr>
                  <w:rFonts w:cs="Arial"/>
                  <w:color w:val="0000FF"/>
                  <w:sz w:val="16"/>
                  <w:szCs w:val="16"/>
                  <w:u w:val="single"/>
                  <w:lang w:eastAsia="en-AU"/>
                </w:rPr>
                <w:t>Medical Technologies Program</w:t>
              </w:r>
            </w:hyperlink>
          </w:p>
        </w:tc>
        <w:tc>
          <w:tcPr>
            <w:tcW w:w="5087" w:type="dxa"/>
            <w:shd w:val="clear" w:color="auto" w:fill="auto"/>
            <w:vAlign w:val="center"/>
            <w:hideMark/>
          </w:tcPr>
          <w:p w14:paraId="147B5ABE"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 </w:t>
            </w:r>
          </w:p>
        </w:tc>
        <w:tc>
          <w:tcPr>
            <w:tcW w:w="0" w:type="auto"/>
            <w:shd w:val="clear" w:color="auto" w:fill="auto"/>
            <w:noWrap/>
            <w:vAlign w:val="center"/>
            <w:hideMark/>
          </w:tcPr>
          <w:p w14:paraId="5B54DECC"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61F425A7"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6E5566EF"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D5AD4E9"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0A6D2AE"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c>
          <w:tcPr>
            <w:tcW w:w="0" w:type="auto"/>
            <w:shd w:val="clear" w:color="auto" w:fill="auto"/>
            <w:noWrap/>
            <w:vAlign w:val="center"/>
            <w:hideMark/>
          </w:tcPr>
          <w:p w14:paraId="1AECFD22"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0B7C35E"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4CEAD19"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7D38644"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8D2A942" w14:textId="77777777" w:rsidR="001F05D8" w:rsidRPr="00057762" w:rsidRDefault="00396627" w:rsidP="00396627">
            <w:pPr>
              <w:spacing w:line="240" w:lineRule="auto"/>
              <w:jc w:val="center"/>
              <w:rPr>
                <w:rFonts w:cs="Arial"/>
                <w:color w:val="00B0F0"/>
                <w:lang w:eastAsia="en-AU"/>
              </w:rPr>
            </w:pPr>
            <w:r w:rsidRPr="00527F52">
              <w:rPr>
                <w:rFonts w:cs="Arial"/>
                <w:color w:val="007FAA"/>
                <w:lang w:eastAsia="en-AU"/>
              </w:rPr>
              <w:sym w:font="Wingdings" w:char="F06C"/>
            </w:r>
          </w:p>
        </w:tc>
      </w:tr>
      <w:tr w:rsidR="001F05D8" w:rsidRPr="00422A90" w14:paraId="55FCBC10" w14:textId="77777777" w:rsidTr="00422A90">
        <w:trPr>
          <w:cantSplit/>
          <w:trHeight w:val="510"/>
        </w:trPr>
        <w:tc>
          <w:tcPr>
            <w:tcW w:w="1561" w:type="dxa"/>
            <w:vMerge/>
            <w:shd w:val="clear" w:color="auto" w:fill="auto"/>
            <w:vAlign w:val="center"/>
            <w:hideMark/>
          </w:tcPr>
          <w:p w14:paraId="1C1EAF51" w14:textId="77777777" w:rsidR="001F05D8" w:rsidRPr="00422A90" w:rsidRDefault="001F05D8"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603884F3" w14:textId="77777777" w:rsidR="001F05D8" w:rsidRPr="00422A90" w:rsidRDefault="00B96CA1" w:rsidP="00422A90">
            <w:pPr>
              <w:spacing w:line="240" w:lineRule="auto"/>
              <w:rPr>
                <w:rFonts w:cs="Arial"/>
                <w:color w:val="0000FF"/>
                <w:sz w:val="16"/>
                <w:szCs w:val="16"/>
                <w:u w:val="single"/>
                <w:lang w:eastAsia="en-AU"/>
              </w:rPr>
            </w:pPr>
            <w:hyperlink r:id="rId84" w:history="1">
              <w:r w:rsidR="001F05D8" w:rsidRPr="00422A90">
                <w:rPr>
                  <w:rFonts w:cs="Arial"/>
                  <w:color w:val="0000FF"/>
                  <w:sz w:val="16"/>
                  <w:szCs w:val="16"/>
                  <w:u w:val="single"/>
                  <w:lang w:eastAsia="en-AU"/>
                </w:rPr>
                <w:t>Premium Food and Wine Co-Innovation Clusters</w:t>
              </w:r>
            </w:hyperlink>
          </w:p>
        </w:tc>
        <w:tc>
          <w:tcPr>
            <w:tcW w:w="5087" w:type="dxa"/>
            <w:shd w:val="clear" w:color="auto" w:fill="auto"/>
            <w:vAlign w:val="center"/>
            <w:hideMark/>
          </w:tcPr>
          <w:p w14:paraId="735145E6" w14:textId="77777777" w:rsidR="001F05D8" w:rsidRPr="00422A90" w:rsidRDefault="001F05D8" w:rsidP="00422A90">
            <w:pPr>
              <w:rPr>
                <w:rFonts w:cs="Arial"/>
                <w:color w:val="000000"/>
                <w:sz w:val="16"/>
                <w:szCs w:val="16"/>
                <w:lang w:eastAsia="en-AU"/>
              </w:rPr>
            </w:pPr>
            <w:r w:rsidRPr="00422A90">
              <w:rPr>
                <w:rFonts w:cs="Arial"/>
                <w:color w:val="000000"/>
                <w:sz w:val="16"/>
                <w:szCs w:val="16"/>
                <w:lang w:eastAsia="en-AU"/>
              </w:rPr>
              <w:t> </w:t>
            </w:r>
          </w:p>
        </w:tc>
        <w:tc>
          <w:tcPr>
            <w:tcW w:w="0" w:type="auto"/>
            <w:shd w:val="clear" w:color="auto" w:fill="auto"/>
            <w:noWrap/>
            <w:vAlign w:val="center"/>
            <w:hideMark/>
          </w:tcPr>
          <w:p w14:paraId="0FF390C7"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E05DE50"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22E6980"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1991FD16"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0A70791"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72D9FF98" w14:textId="77777777" w:rsidR="001F05D8" w:rsidRPr="00057762" w:rsidRDefault="001F05D8" w:rsidP="00422A90">
            <w:pPr>
              <w:spacing w:line="240" w:lineRule="auto"/>
              <w:jc w:val="center"/>
              <w:rPr>
                <w:rFonts w:cs="Arial"/>
                <w:color w:val="92D050"/>
                <w:lang w:eastAsia="en-AU"/>
              </w:rPr>
            </w:pPr>
            <w:r w:rsidRPr="00057762">
              <w:rPr>
                <w:rFonts w:cs="Arial"/>
                <w:color w:val="92D050"/>
                <w:lang w:eastAsia="en-AU"/>
              </w:rPr>
              <w:t> </w:t>
            </w:r>
          </w:p>
        </w:tc>
        <w:tc>
          <w:tcPr>
            <w:tcW w:w="0" w:type="auto"/>
            <w:shd w:val="clear" w:color="auto" w:fill="auto"/>
            <w:noWrap/>
            <w:vAlign w:val="center"/>
            <w:hideMark/>
          </w:tcPr>
          <w:p w14:paraId="302F53B8"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2AB8A18" w14:textId="77777777" w:rsidR="001F05D8" w:rsidRPr="00057762" w:rsidRDefault="001F05D8"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9DD82CD" w14:textId="77777777" w:rsidR="001F05D8"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31EFC246" w14:textId="77777777" w:rsidR="001F05D8" w:rsidRPr="00057762" w:rsidRDefault="001F05D8" w:rsidP="00422A90">
            <w:pPr>
              <w:spacing w:line="240" w:lineRule="auto"/>
              <w:jc w:val="center"/>
              <w:rPr>
                <w:rFonts w:cs="Arial"/>
                <w:color w:val="00B0F0"/>
                <w:lang w:eastAsia="en-AU"/>
              </w:rPr>
            </w:pPr>
            <w:r w:rsidRPr="00057762">
              <w:rPr>
                <w:rFonts w:cs="Arial"/>
                <w:color w:val="00B0F0"/>
                <w:lang w:eastAsia="en-AU"/>
              </w:rPr>
              <w:t> </w:t>
            </w:r>
          </w:p>
        </w:tc>
      </w:tr>
      <w:tr w:rsidR="00422A90" w:rsidRPr="00422A90" w14:paraId="3CE06DC2" w14:textId="77777777" w:rsidTr="00422A90">
        <w:trPr>
          <w:cantSplit/>
          <w:trHeight w:val="765"/>
        </w:trPr>
        <w:tc>
          <w:tcPr>
            <w:tcW w:w="1561" w:type="dxa"/>
            <w:shd w:val="clear" w:color="auto" w:fill="auto"/>
            <w:vAlign w:val="center"/>
            <w:hideMark/>
          </w:tcPr>
          <w:p w14:paraId="5BC79A56" w14:textId="77777777" w:rsidR="00422A90" w:rsidRPr="00422A90" w:rsidRDefault="00422A90" w:rsidP="00422A90">
            <w:pPr>
              <w:spacing w:line="240" w:lineRule="auto"/>
              <w:jc w:val="center"/>
              <w:rPr>
                <w:rFonts w:cs="Arial"/>
                <w:color w:val="000000"/>
                <w:sz w:val="16"/>
                <w:szCs w:val="16"/>
                <w:lang w:eastAsia="en-AU"/>
              </w:rPr>
            </w:pPr>
            <w:r w:rsidRPr="00422A90">
              <w:rPr>
                <w:rFonts w:cs="Arial"/>
                <w:color w:val="000000"/>
                <w:sz w:val="16"/>
                <w:szCs w:val="16"/>
                <w:lang w:eastAsia="en-AU"/>
              </w:rPr>
              <w:t>Australian Capital Territory</w:t>
            </w:r>
          </w:p>
        </w:tc>
        <w:tc>
          <w:tcPr>
            <w:tcW w:w="2692" w:type="dxa"/>
            <w:shd w:val="clear" w:color="auto" w:fill="auto"/>
            <w:vAlign w:val="center"/>
            <w:hideMark/>
          </w:tcPr>
          <w:p w14:paraId="1378BDFF" w14:textId="77777777" w:rsidR="00422A90" w:rsidRPr="00422A90" w:rsidRDefault="00B96CA1" w:rsidP="00422A90">
            <w:pPr>
              <w:spacing w:line="240" w:lineRule="auto"/>
              <w:rPr>
                <w:rFonts w:cs="Arial"/>
                <w:color w:val="0000FF"/>
                <w:sz w:val="16"/>
                <w:szCs w:val="16"/>
                <w:u w:val="single"/>
                <w:lang w:eastAsia="en-AU"/>
              </w:rPr>
            </w:pPr>
            <w:hyperlink r:id="rId85" w:history="1">
              <w:r w:rsidR="00422A90" w:rsidRPr="00422A90">
                <w:rPr>
                  <w:rFonts w:cs="Arial"/>
                  <w:color w:val="0000FF"/>
                  <w:sz w:val="16"/>
                  <w:szCs w:val="16"/>
                  <w:u w:val="single"/>
                  <w:lang w:eastAsia="en-AU"/>
                </w:rPr>
                <w:t>Lighthouse Business Innovation Centre</w:t>
              </w:r>
            </w:hyperlink>
          </w:p>
        </w:tc>
        <w:tc>
          <w:tcPr>
            <w:tcW w:w="5087" w:type="dxa"/>
            <w:shd w:val="clear" w:color="auto" w:fill="auto"/>
            <w:vAlign w:val="center"/>
            <w:hideMark/>
          </w:tcPr>
          <w:p w14:paraId="1A1D9091" w14:textId="77777777" w:rsidR="00422A90" w:rsidRPr="00422A90" w:rsidRDefault="00422A90" w:rsidP="00422A90">
            <w:pPr>
              <w:rPr>
                <w:rFonts w:cs="Arial"/>
                <w:color w:val="000000"/>
                <w:sz w:val="16"/>
                <w:szCs w:val="16"/>
                <w:lang w:eastAsia="en-AU"/>
              </w:rPr>
            </w:pPr>
            <w:r w:rsidRPr="00422A90">
              <w:rPr>
                <w:rFonts w:cs="Arial"/>
                <w:color w:val="000000"/>
                <w:sz w:val="16"/>
                <w:szCs w:val="16"/>
                <w:lang w:eastAsia="en-AU"/>
              </w:rPr>
              <w:t>Provides range of advice and training programs and administers some ACT government programs. Not really business-research linkage programs with grants. They do have linking service.</w:t>
            </w:r>
          </w:p>
        </w:tc>
        <w:tc>
          <w:tcPr>
            <w:tcW w:w="0" w:type="auto"/>
            <w:shd w:val="clear" w:color="auto" w:fill="auto"/>
            <w:noWrap/>
            <w:vAlign w:val="center"/>
            <w:hideMark/>
          </w:tcPr>
          <w:p w14:paraId="7B3FD59A"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AF2675C"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0741C5A"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17059B3"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6E2DF9EC"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4D9C107"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60CF11C4"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2E97F86"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2CDD9B2"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E256D57"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r>
      <w:tr w:rsidR="00422A90" w:rsidRPr="00422A90" w14:paraId="7F0F2456" w14:textId="77777777" w:rsidTr="00422A90">
        <w:trPr>
          <w:cantSplit/>
          <w:trHeight w:val="1334"/>
        </w:trPr>
        <w:tc>
          <w:tcPr>
            <w:tcW w:w="1561" w:type="dxa"/>
            <w:vMerge w:val="restart"/>
            <w:shd w:val="clear" w:color="auto" w:fill="auto"/>
            <w:vAlign w:val="center"/>
            <w:hideMark/>
          </w:tcPr>
          <w:p w14:paraId="08DF8C70" w14:textId="77777777" w:rsidR="00422A90" w:rsidRPr="00422A90" w:rsidRDefault="00422A90" w:rsidP="00422A90">
            <w:pPr>
              <w:spacing w:line="240" w:lineRule="auto"/>
              <w:jc w:val="center"/>
              <w:rPr>
                <w:rFonts w:cs="Arial"/>
                <w:color w:val="000000"/>
                <w:sz w:val="16"/>
                <w:szCs w:val="16"/>
                <w:lang w:eastAsia="en-AU"/>
              </w:rPr>
            </w:pPr>
            <w:r w:rsidRPr="00422A90">
              <w:rPr>
                <w:rFonts w:cs="Arial"/>
                <w:color w:val="000000"/>
                <w:sz w:val="16"/>
                <w:szCs w:val="16"/>
                <w:lang w:eastAsia="en-AU"/>
              </w:rPr>
              <w:t>Northern Territory</w:t>
            </w:r>
          </w:p>
        </w:tc>
        <w:tc>
          <w:tcPr>
            <w:tcW w:w="2692" w:type="dxa"/>
            <w:shd w:val="clear" w:color="auto" w:fill="auto"/>
            <w:vAlign w:val="center"/>
            <w:hideMark/>
          </w:tcPr>
          <w:p w14:paraId="031B59D1" w14:textId="77777777" w:rsidR="00422A90" w:rsidRPr="00422A90" w:rsidRDefault="00B96CA1" w:rsidP="00422A90">
            <w:pPr>
              <w:spacing w:line="240" w:lineRule="auto"/>
              <w:rPr>
                <w:rFonts w:cs="Arial"/>
                <w:color w:val="0000FF"/>
                <w:sz w:val="16"/>
                <w:szCs w:val="16"/>
                <w:u w:val="single"/>
                <w:lang w:eastAsia="en-AU"/>
              </w:rPr>
            </w:pPr>
            <w:hyperlink r:id="rId86" w:history="1">
              <w:r w:rsidR="00422A90" w:rsidRPr="00422A90">
                <w:rPr>
                  <w:rFonts w:cs="Arial"/>
                  <w:color w:val="0000FF"/>
                  <w:sz w:val="16"/>
                  <w:szCs w:val="16"/>
                  <w:u w:val="single"/>
                  <w:lang w:eastAsia="en-AU"/>
                </w:rPr>
                <w:t>Business Innovation Support Initiatives</w:t>
              </w:r>
            </w:hyperlink>
          </w:p>
        </w:tc>
        <w:tc>
          <w:tcPr>
            <w:tcW w:w="5087" w:type="dxa"/>
            <w:shd w:val="clear" w:color="auto" w:fill="auto"/>
            <w:vAlign w:val="center"/>
            <w:hideMark/>
          </w:tcPr>
          <w:p w14:paraId="4B515216" w14:textId="77777777" w:rsidR="00422A90" w:rsidRPr="00422A90" w:rsidRDefault="00422A90" w:rsidP="00422A90">
            <w:pPr>
              <w:rPr>
                <w:rFonts w:cs="Arial"/>
                <w:color w:val="000000"/>
                <w:sz w:val="16"/>
                <w:szCs w:val="16"/>
                <w:lang w:eastAsia="en-AU"/>
              </w:rPr>
            </w:pPr>
            <w:r w:rsidRPr="00422A90">
              <w:rPr>
                <w:rFonts w:cs="Arial"/>
                <w:color w:val="000000"/>
                <w:sz w:val="16"/>
                <w:szCs w:val="16"/>
                <w:lang w:eastAsia="en-AU"/>
              </w:rPr>
              <w:t>Run annually, the BISI program is aimed at stimulating, initiating and promoting innovation by assisting businesses to commence research and development projects in the areas of science, engineering, technology and design, which could lead to successful new products, processes and services.</w:t>
            </w:r>
          </w:p>
        </w:tc>
        <w:tc>
          <w:tcPr>
            <w:tcW w:w="0" w:type="auto"/>
            <w:shd w:val="clear" w:color="auto" w:fill="auto"/>
            <w:noWrap/>
            <w:vAlign w:val="center"/>
            <w:hideMark/>
          </w:tcPr>
          <w:p w14:paraId="09C6E173"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DC3BFE3"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9A52967"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60322843"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F3F75FE"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09E8171"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BD8A2BF"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60E832EE"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6F6C17B"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0369708B"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r>
      <w:tr w:rsidR="00422A90" w:rsidRPr="00422A90" w14:paraId="107ED27D" w14:textId="77777777" w:rsidTr="00422A90">
        <w:trPr>
          <w:cantSplit/>
          <w:trHeight w:val="545"/>
        </w:trPr>
        <w:tc>
          <w:tcPr>
            <w:tcW w:w="1561" w:type="dxa"/>
            <w:vMerge/>
            <w:shd w:val="clear" w:color="auto" w:fill="auto"/>
            <w:vAlign w:val="center"/>
            <w:hideMark/>
          </w:tcPr>
          <w:p w14:paraId="02F1FF04" w14:textId="77777777" w:rsidR="00422A90" w:rsidRPr="00422A90" w:rsidRDefault="00422A90"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18D0F507" w14:textId="77777777" w:rsidR="00422A90" w:rsidRPr="00422A90" w:rsidRDefault="00B96CA1" w:rsidP="00422A90">
            <w:pPr>
              <w:spacing w:line="240" w:lineRule="auto"/>
              <w:rPr>
                <w:rFonts w:cs="Arial"/>
                <w:color w:val="0000FF"/>
                <w:sz w:val="16"/>
                <w:szCs w:val="16"/>
                <w:u w:val="single"/>
                <w:lang w:eastAsia="en-AU"/>
              </w:rPr>
            </w:pPr>
            <w:hyperlink r:id="rId87" w:history="1">
              <w:r w:rsidR="00422A90" w:rsidRPr="00422A90">
                <w:rPr>
                  <w:rFonts w:cs="Arial"/>
                  <w:color w:val="0000FF"/>
                  <w:sz w:val="16"/>
                  <w:szCs w:val="16"/>
                  <w:u w:val="single"/>
                  <w:lang w:eastAsia="en-AU"/>
                </w:rPr>
                <w:t>Innovation Voucher Scheme</w:t>
              </w:r>
            </w:hyperlink>
          </w:p>
        </w:tc>
        <w:tc>
          <w:tcPr>
            <w:tcW w:w="5087" w:type="dxa"/>
            <w:shd w:val="clear" w:color="auto" w:fill="auto"/>
            <w:vAlign w:val="center"/>
            <w:hideMark/>
          </w:tcPr>
          <w:p w14:paraId="2354C658" w14:textId="77777777" w:rsidR="00422A90" w:rsidRPr="00422A90" w:rsidRDefault="00422A90" w:rsidP="00422A90">
            <w:pPr>
              <w:rPr>
                <w:rFonts w:cs="Arial"/>
                <w:color w:val="000000"/>
                <w:sz w:val="16"/>
                <w:szCs w:val="16"/>
                <w:lang w:eastAsia="en-AU"/>
              </w:rPr>
            </w:pPr>
            <w:r w:rsidRPr="00422A90">
              <w:rPr>
                <w:rFonts w:cs="Arial"/>
                <w:color w:val="000000"/>
                <w:sz w:val="16"/>
                <w:szCs w:val="16"/>
                <w:lang w:eastAsia="en-AU"/>
              </w:rPr>
              <w:t>A voucher scheme which supports eligible contractual agreements between applicant businesses and research service providers.</w:t>
            </w:r>
          </w:p>
        </w:tc>
        <w:tc>
          <w:tcPr>
            <w:tcW w:w="0" w:type="auto"/>
            <w:shd w:val="clear" w:color="auto" w:fill="auto"/>
            <w:noWrap/>
            <w:vAlign w:val="center"/>
            <w:hideMark/>
          </w:tcPr>
          <w:p w14:paraId="0649DC50" w14:textId="77777777" w:rsidR="00422A90"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5A95A155"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95B2387"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786ED03A"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4E372746" w14:textId="77777777" w:rsidR="00422A90"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34EA78FB"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22FF2C7"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24817B9C"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66FD5CF" w14:textId="77777777" w:rsidR="00422A90"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5B6A1A46"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r>
      <w:tr w:rsidR="00422A90" w:rsidRPr="00422A90" w14:paraId="6E2C3CED" w14:textId="77777777" w:rsidTr="00422A90">
        <w:trPr>
          <w:cantSplit/>
          <w:trHeight w:val="865"/>
        </w:trPr>
        <w:tc>
          <w:tcPr>
            <w:tcW w:w="1561" w:type="dxa"/>
            <w:vMerge/>
            <w:shd w:val="clear" w:color="auto" w:fill="auto"/>
            <w:vAlign w:val="center"/>
            <w:hideMark/>
          </w:tcPr>
          <w:p w14:paraId="6C5DBDD4" w14:textId="77777777" w:rsidR="00422A90" w:rsidRPr="00422A90" w:rsidRDefault="00422A90" w:rsidP="00422A90">
            <w:pPr>
              <w:spacing w:line="240" w:lineRule="auto"/>
              <w:jc w:val="center"/>
              <w:rPr>
                <w:rFonts w:cs="Arial"/>
                <w:color w:val="000000"/>
                <w:sz w:val="16"/>
                <w:szCs w:val="16"/>
                <w:lang w:eastAsia="en-AU"/>
              </w:rPr>
            </w:pPr>
          </w:p>
        </w:tc>
        <w:tc>
          <w:tcPr>
            <w:tcW w:w="2692" w:type="dxa"/>
            <w:shd w:val="clear" w:color="auto" w:fill="auto"/>
            <w:vAlign w:val="center"/>
            <w:hideMark/>
          </w:tcPr>
          <w:p w14:paraId="63486599" w14:textId="77777777" w:rsidR="00422A90" w:rsidRPr="00422A90" w:rsidRDefault="00B96CA1" w:rsidP="00422A90">
            <w:pPr>
              <w:spacing w:line="240" w:lineRule="auto"/>
              <w:rPr>
                <w:rFonts w:cs="Arial"/>
                <w:color w:val="0000FF"/>
                <w:sz w:val="16"/>
                <w:szCs w:val="16"/>
                <w:u w:val="single"/>
                <w:lang w:eastAsia="en-AU"/>
              </w:rPr>
            </w:pPr>
            <w:hyperlink r:id="rId88" w:history="1">
              <w:r w:rsidR="00422A90" w:rsidRPr="00422A90">
                <w:rPr>
                  <w:rFonts w:cs="Arial"/>
                  <w:color w:val="0000FF"/>
                  <w:sz w:val="16"/>
                  <w:szCs w:val="16"/>
                  <w:u w:val="single"/>
                  <w:lang w:eastAsia="en-AU"/>
                </w:rPr>
                <w:t>Innovation Grants Scheme</w:t>
              </w:r>
            </w:hyperlink>
          </w:p>
        </w:tc>
        <w:tc>
          <w:tcPr>
            <w:tcW w:w="5087" w:type="dxa"/>
            <w:shd w:val="clear" w:color="auto" w:fill="auto"/>
            <w:vAlign w:val="center"/>
            <w:hideMark/>
          </w:tcPr>
          <w:p w14:paraId="6B6E9AE3" w14:textId="77777777" w:rsidR="00422A90" w:rsidRPr="00422A90" w:rsidRDefault="00422A90" w:rsidP="00422A90">
            <w:pPr>
              <w:rPr>
                <w:rFonts w:cs="Arial"/>
                <w:color w:val="000000"/>
                <w:sz w:val="16"/>
                <w:szCs w:val="16"/>
                <w:lang w:eastAsia="en-AU"/>
              </w:rPr>
            </w:pPr>
            <w:r w:rsidRPr="00422A90">
              <w:rPr>
                <w:rFonts w:cs="Arial"/>
                <w:color w:val="000000"/>
                <w:sz w:val="16"/>
                <w:szCs w:val="16"/>
                <w:lang w:eastAsia="en-AU"/>
              </w:rPr>
              <w:t>A grant scheme to support applicant businesses with the in-house capacity to do their own research in the areas of science, engineering, technology and design.</w:t>
            </w:r>
          </w:p>
        </w:tc>
        <w:tc>
          <w:tcPr>
            <w:tcW w:w="0" w:type="auto"/>
            <w:shd w:val="clear" w:color="auto" w:fill="auto"/>
            <w:noWrap/>
            <w:vAlign w:val="center"/>
            <w:hideMark/>
          </w:tcPr>
          <w:p w14:paraId="0D38DD6B"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9931B60" w14:textId="77777777" w:rsidR="00422A90"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7B8E12FB"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47B109C"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5038FA07" w14:textId="77777777" w:rsidR="00422A90"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34DCB1B7"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119A84C9"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6FE4DB8C"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c>
          <w:tcPr>
            <w:tcW w:w="0" w:type="auto"/>
            <w:shd w:val="clear" w:color="auto" w:fill="auto"/>
            <w:noWrap/>
            <w:vAlign w:val="center"/>
            <w:hideMark/>
          </w:tcPr>
          <w:p w14:paraId="39C78378" w14:textId="77777777" w:rsidR="00422A90" w:rsidRPr="00057762" w:rsidRDefault="00CD2DAC" w:rsidP="00CD2DAC">
            <w:pPr>
              <w:spacing w:line="240" w:lineRule="auto"/>
              <w:jc w:val="center"/>
              <w:rPr>
                <w:rFonts w:cs="Arial"/>
                <w:color w:val="92D050"/>
                <w:lang w:eastAsia="en-AU"/>
              </w:rPr>
            </w:pPr>
            <w:r w:rsidRPr="00CD2DAC">
              <w:rPr>
                <w:rFonts w:cs="Arial"/>
                <w:color w:val="008000"/>
                <w:lang w:eastAsia="en-AU"/>
              </w:rPr>
              <w:sym w:font="Wingdings" w:char="F06E"/>
            </w:r>
          </w:p>
        </w:tc>
        <w:tc>
          <w:tcPr>
            <w:tcW w:w="0" w:type="auto"/>
            <w:shd w:val="clear" w:color="auto" w:fill="auto"/>
            <w:noWrap/>
            <w:vAlign w:val="center"/>
            <w:hideMark/>
          </w:tcPr>
          <w:p w14:paraId="360B64F1" w14:textId="77777777" w:rsidR="00422A90" w:rsidRPr="00057762" w:rsidRDefault="00422A90" w:rsidP="00422A90">
            <w:pPr>
              <w:spacing w:line="240" w:lineRule="auto"/>
              <w:jc w:val="center"/>
              <w:rPr>
                <w:rFonts w:cs="Arial"/>
                <w:color w:val="000000"/>
                <w:lang w:eastAsia="en-AU"/>
              </w:rPr>
            </w:pPr>
            <w:r w:rsidRPr="00057762">
              <w:rPr>
                <w:rFonts w:cs="Arial"/>
                <w:color w:val="000000"/>
                <w:lang w:eastAsia="en-AU"/>
              </w:rPr>
              <w:t> </w:t>
            </w:r>
          </w:p>
        </w:tc>
      </w:tr>
    </w:tbl>
    <w:p w14:paraId="322A45F6" w14:textId="77777777" w:rsidR="00162C19" w:rsidRDefault="00162C19" w:rsidP="00162C19"/>
    <w:p w14:paraId="1ACABD92" w14:textId="77777777" w:rsidR="00162C19" w:rsidRDefault="00162C19" w:rsidP="00162C19">
      <w:pPr>
        <w:rPr>
          <w:b/>
          <w:color w:val="007FAA"/>
        </w:rPr>
      </w:pPr>
      <w:r w:rsidRPr="00527F52">
        <w:rPr>
          <w:rFonts w:cs="Arial"/>
          <w:color w:val="007FAA"/>
          <w:lang w:eastAsia="en-AU"/>
        </w:rPr>
        <w:sym w:font="Wingdings" w:char="F06C"/>
      </w:r>
      <w:r w:rsidRPr="00162C19">
        <w:rPr>
          <w:b/>
        </w:rPr>
        <w:t xml:space="preserve"> </w:t>
      </w:r>
      <w:r w:rsidRPr="00162C19">
        <w:rPr>
          <w:b/>
          <w:color w:val="007FAA"/>
        </w:rPr>
        <w:t>All end-users</w:t>
      </w:r>
    </w:p>
    <w:p w14:paraId="6ED73D4A" w14:textId="77777777" w:rsidR="00162C19" w:rsidRPr="00162C19" w:rsidRDefault="00162C19" w:rsidP="00162C19">
      <w:pPr>
        <w:rPr>
          <w:b/>
        </w:rPr>
      </w:pPr>
      <w:r w:rsidRPr="00CD2DAC">
        <w:rPr>
          <w:rFonts w:cs="Arial"/>
          <w:color w:val="008000"/>
          <w:lang w:eastAsia="en-AU"/>
        </w:rPr>
        <w:sym w:font="Wingdings" w:char="F06E"/>
      </w:r>
      <w:r>
        <w:rPr>
          <w:rFonts w:cs="Arial"/>
          <w:color w:val="008000"/>
          <w:lang w:eastAsia="en-AU"/>
        </w:rPr>
        <w:t xml:space="preserve"> </w:t>
      </w:r>
      <w:r w:rsidRPr="00162C19">
        <w:rPr>
          <w:rFonts w:cs="Arial"/>
          <w:b/>
          <w:color w:val="008000"/>
          <w:lang w:eastAsia="en-AU"/>
        </w:rPr>
        <w:t>Industry end-users</w:t>
      </w:r>
    </w:p>
    <w:sectPr w:rsidR="00162C19" w:rsidRPr="00162C19" w:rsidSect="009F64E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BB8CB" w14:textId="77777777" w:rsidR="00797F54" w:rsidRDefault="00797F54">
      <w:r>
        <w:separator/>
      </w:r>
    </w:p>
    <w:p w14:paraId="3FCCFEF1" w14:textId="77777777" w:rsidR="00797F54" w:rsidRDefault="00797F54"/>
    <w:p w14:paraId="365D2A0F" w14:textId="77777777" w:rsidR="00797F54" w:rsidRDefault="00797F54"/>
    <w:p w14:paraId="2F23585E" w14:textId="77777777" w:rsidR="00797F54" w:rsidRDefault="00797F54"/>
  </w:endnote>
  <w:endnote w:type="continuationSeparator" w:id="0">
    <w:p w14:paraId="3478BA3E" w14:textId="77777777" w:rsidR="00797F54" w:rsidRDefault="00797F54">
      <w:r>
        <w:continuationSeparator/>
      </w:r>
    </w:p>
    <w:p w14:paraId="168D9C24" w14:textId="77777777" w:rsidR="00797F54" w:rsidRDefault="00797F54"/>
    <w:p w14:paraId="51ABCCB8" w14:textId="77777777" w:rsidR="00797F54" w:rsidRDefault="00797F54"/>
    <w:p w14:paraId="46D99F29" w14:textId="77777777" w:rsidR="00797F54" w:rsidRDefault="00797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otham Medium">
    <w:altName w:val="Arial"/>
    <w:panose1 w:val="00000000000000000000"/>
    <w:charset w:val="00"/>
    <w:family w:val="modern"/>
    <w:notTrueType/>
    <w:pitch w:val="variable"/>
    <w:sig w:usb0="A10000FF" w:usb1="4000005B" w:usb2="00000000" w:usb3="00000000" w:csb0="0000009B" w:csb1="00000000"/>
  </w:font>
  <w:font w:name="Gotham Narrow Light">
    <w:altName w:val="Gotham Narrow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6AF2" w14:textId="77777777" w:rsidR="00797F54" w:rsidRDefault="00797F54">
    <w:pPr>
      <w:pStyle w:val="Footer"/>
      <w:jc w:val="right"/>
    </w:pPr>
  </w:p>
  <w:p w14:paraId="095BBFAD" w14:textId="77777777" w:rsidR="00797F54" w:rsidRDefault="00797F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364875"/>
      <w:docPartObj>
        <w:docPartGallery w:val="Page Numbers (Bottom of Page)"/>
        <w:docPartUnique/>
      </w:docPartObj>
    </w:sdtPr>
    <w:sdtEndPr/>
    <w:sdtContent>
      <w:p w14:paraId="4AE1ADD5" w14:textId="77777777" w:rsidR="00797F54" w:rsidRPr="001172D5" w:rsidRDefault="00797F54" w:rsidP="001172D5">
        <w:pPr>
          <w:pStyle w:val="Footer"/>
          <w:rPr>
            <w:b/>
          </w:rPr>
        </w:pPr>
        <w:r w:rsidRPr="001172D5">
          <w:rPr>
            <w:b/>
          </w:rPr>
          <w:t>Growth throug</w:t>
        </w:r>
        <w:r>
          <w:rPr>
            <w:b/>
          </w:rPr>
          <w:t>h Innovation and Collaboration</w:t>
        </w:r>
      </w:p>
      <w:p w14:paraId="4ED698BF" w14:textId="77777777" w:rsidR="00797F54" w:rsidRPr="001172D5" w:rsidRDefault="00797F54" w:rsidP="001172D5">
        <w:pPr>
          <w:pStyle w:val="Footer"/>
        </w:pPr>
        <w:r>
          <w:t>A Review of the Cooperative Research Centres Programme</w:t>
        </w:r>
        <w:r>
          <w:tab/>
          <w:t xml:space="preserve"> Page | </w:t>
        </w:r>
        <w:r>
          <w:fldChar w:fldCharType="begin"/>
        </w:r>
        <w:r>
          <w:instrText xml:space="preserve"> PAGE   \* MERGEFORMAT </w:instrText>
        </w:r>
        <w:r>
          <w:fldChar w:fldCharType="separate"/>
        </w:r>
        <w:r w:rsidR="00B96CA1">
          <w:rPr>
            <w:noProof/>
          </w:rPr>
          <w:t>64</w:t>
        </w:r>
        <w:r>
          <w:rPr>
            <w:noProof/>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C983B" w14:textId="77777777" w:rsidR="00797F54" w:rsidRDefault="00797F54">
      <w:r>
        <w:separator/>
      </w:r>
    </w:p>
    <w:p w14:paraId="4068E1DB" w14:textId="77777777" w:rsidR="00797F54" w:rsidRDefault="00797F54"/>
    <w:p w14:paraId="12AD60E8" w14:textId="77777777" w:rsidR="00797F54" w:rsidRDefault="00797F54"/>
    <w:p w14:paraId="206B6FA9" w14:textId="77777777" w:rsidR="00797F54" w:rsidRDefault="00797F54"/>
  </w:footnote>
  <w:footnote w:type="continuationSeparator" w:id="0">
    <w:p w14:paraId="3762A151" w14:textId="77777777" w:rsidR="00797F54" w:rsidRDefault="00797F54">
      <w:r>
        <w:continuationSeparator/>
      </w:r>
    </w:p>
    <w:p w14:paraId="5DD37312" w14:textId="77777777" w:rsidR="00797F54" w:rsidRDefault="00797F54"/>
    <w:p w14:paraId="13F260CB" w14:textId="77777777" w:rsidR="00797F54" w:rsidRDefault="00797F54"/>
    <w:p w14:paraId="54780AC3" w14:textId="77777777" w:rsidR="00797F54" w:rsidRDefault="00797F54"/>
  </w:footnote>
  <w:footnote w:id="1">
    <w:p w14:paraId="24BB6040" w14:textId="77777777" w:rsidR="00797F54" w:rsidRPr="00A46559" w:rsidRDefault="00797F54" w:rsidP="00CC66C6">
      <w:pPr>
        <w:pStyle w:val="FootnoteText"/>
        <w:rPr>
          <w:rFonts w:ascii="Times New Roman" w:hAnsi="Times New Roman" w:cs="Times New Roman"/>
        </w:rPr>
      </w:pPr>
      <w:r w:rsidRPr="00A46559">
        <w:rPr>
          <w:rStyle w:val="FootnoteReference"/>
          <w:rFonts w:ascii="Times New Roman" w:hAnsi="Times New Roman" w:cs="Times New Roman"/>
        </w:rPr>
        <w:footnoteRef/>
      </w:r>
      <w:r w:rsidRPr="00A46559">
        <w:rPr>
          <w:rFonts w:ascii="Times New Roman" w:hAnsi="Times New Roman" w:cs="Times New Roman"/>
        </w:rPr>
        <w:t xml:space="preserve"> Researchers in Business Programme Data</w:t>
      </w:r>
    </w:p>
  </w:footnote>
  <w:footnote w:id="2">
    <w:p w14:paraId="4368397D" w14:textId="77777777" w:rsidR="00797F54" w:rsidRPr="003B18F0" w:rsidRDefault="00797F54" w:rsidP="00665912">
      <w:pPr>
        <w:pStyle w:val="FootnoteText"/>
      </w:pPr>
      <w:r w:rsidRPr="003B18F0">
        <w:rPr>
          <w:rStyle w:val="FootnoteReference"/>
          <w:vertAlign w:val="baseline"/>
        </w:rPr>
        <w:footnoteRef/>
      </w:r>
      <w:r w:rsidRPr="003B18F0">
        <w:t xml:space="preserve"> In some industry sectors the level of collaboration is significantly higher: in 2012-13 21% of businesses in the Construction sector, 18.5% of businesses in the Health Care and Social Assistance sector and 16.6% of businesses in the Agriculture, Forestry and Fishing sector engaged in some kind of research collaboration with universities.</w:t>
      </w:r>
    </w:p>
  </w:footnote>
  <w:footnote w:id="3">
    <w:p w14:paraId="107239C5" w14:textId="77777777" w:rsidR="00797F54" w:rsidRPr="00A72F33" w:rsidRDefault="00797F54" w:rsidP="002403A5">
      <w:pPr>
        <w:pStyle w:val="FootnoteText"/>
      </w:pPr>
      <w:r w:rsidRPr="003B18F0">
        <w:rPr>
          <w:rStyle w:val="FootnoteReference"/>
          <w:vertAlign w:val="baseline"/>
        </w:rPr>
        <w:footnoteRef/>
      </w:r>
      <w:r w:rsidRPr="003B18F0">
        <w:t xml:space="preserve"> Australian Innovati</w:t>
      </w:r>
      <w:r>
        <w:t>on System Report 2014, p. 8</w:t>
      </w:r>
    </w:p>
  </w:footnote>
  <w:footnote w:id="4">
    <w:p w14:paraId="091EE761" w14:textId="77777777" w:rsidR="00797F54" w:rsidRPr="003B18F0" w:rsidRDefault="00797F54" w:rsidP="003B18F0">
      <w:pPr>
        <w:pStyle w:val="FootnoteText"/>
      </w:pPr>
      <w:r w:rsidRPr="003B18F0">
        <w:rPr>
          <w:rStyle w:val="FootnoteReference"/>
        </w:rPr>
        <w:footnoteRef/>
      </w:r>
      <w:r w:rsidRPr="003B18F0">
        <w:t xml:space="preserve"> 38 CRC graduates in 2012-13 found industry employment. </w:t>
      </w:r>
      <w:hyperlink r:id="rId1" w:history="1">
        <w:r w:rsidRPr="003B18F0">
          <w:rPr>
            <w:rStyle w:val="Hyperlink"/>
          </w:rPr>
          <w:t>http://www.industry.gov.au/innovation/reportsandstudies/Pages/NationalSurveyofResearchCommercialisation.aspx</w:t>
        </w:r>
      </w:hyperlink>
      <w:r w:rsidRPr="003B18F0">
        <w:t xml:space="preserve"> </w:t>
      </w:r>
    </w:p>
  </w:footnote>
  <w:footnote w:id="5">
    <w:p w14:paraId="019F192F" w14:textId="77777777" w:rsidR="00797F54" w:rsidRPr="007B08AD" w:rsidRDefault="00797F54">
      <w:pPr>
        <w:pStyle w:val="FootnoteText"/>
      </w:pPr>
      <w:r w:rsidRPr="00140538">
        <w:rPr>
          <w:rStyle w:val="FootnoteReference"/>
        </w:rPr>
        <w:footnoteRef/>
      </w:r>
      <w:r w:rsidRPr="00140538">
        <w:t xml:space="preserve"> ABS, 8155.0 - </w:t>
      </w:r>
      <w:r w:rsidRPr="00140538">
        <w:rPr>
          <w:i/>
        </w:rPr>
        <w:t>Australian Industry</w:t>
      </w:r>
      <w:r w:rsidRPr="00140538">
        <w:t>, 2012-13</w:t>
      </w:r>
    </w:p>
  </w:footnote>
  <w:footnote w:id="6">
    <w:p w14:paraId="4F95C23E" w14:textId="77777777" w:rsidR="00797F54" w:rsidRDefault="00797F54" w:rsidP="002C3E09">
      <w:pPr>
        <w:pStyle w:val="FootnoteText"/>
      </w:pPr>
      <w:r>
        <w:rPr>
          <w:rStyle w:val="FootnoteReference"/>
        </w:rPr>
        <w:footnoteRef/>
      </w:r>
      <w:r>
        <w:t xml:space="preserve"> ABS, </w:t>
      </w:r>
      <w:r w:rsidRPr="00D31ABB">
        <w:rPr>
          <w:i/>
        </w:rPr>
        <w:t>8104.0 - Research and Experimental Development, Businesses, Australia, 2011-12</w:t>
      </w:r>
    </w:p>
  </w:footnote>
  <w:footnote w:id="7">
    <w:p w14:paraId="3F4997C5" w14:textId="77777777" w:rsidR="00797F54" w:rsidRPr="002D0581" w:rsidRDefault="00797F54" w:rsidP="002C3E09">
      <w:pPr>
        <w:pStyle w:val="FootnoteText"/>
      </w:pPr>
      <w:r>
        <w:rPr>
          <w:rStyle w:val="FootnoteReference"/>
        </w:rPr>
        <w:footnoteRef/>
      </w:r>
      <w:r>
        <w:t xml:space="preserve"> ABS, </w:t>
      </w:r>
      <w:r w:rsidRPr="00D31ABB">
        <w:rPr>
          <w:i/>
        </w:rPr>
        <w:t>8112.0 - Research and Experimental Development, All Sector Summary, Australia, 2008-09</w:t>
      </w:r>
      <w:r>
        <w:t>. This is the most recent period for which an all-sector summary is available; the balance of human resources and expenditure across different sectors is unlikely to have changed much in the past six years.</w:t>
      </w:r>
    </w:p>
  </w:footnote>
  <w:footnote w:id="8">
    <w:p w14:paraId="05503E4E" w14:textId="77777777" w:rsidR="00797F54" w:rsidRPr="00A71348" w:rsidRDefault="00797F54" w:rsidP="00C314F6">
      <w:pPr>
        <w:pStyle w:val="FootnoteText"/>
      </w:pPr>
      <w:r>
        <w:rPr>
          <w:rStyle w:val="FootnoteReference"/>
        </w:rPr>
        <w:footnoteRef/>
      </w:r>
      <w:r>
        <w:t xml:space="preserve"> </w:t>
      </w:r>
      <w:r>
        <w:rPr>
          <w:i/>
        </w:rPr>
        <w:t>Background paper on CRC Programme</w:t>
      </w:r>
      <w:r>
        <w:t>, March 2008, Commonwealth of Australia, Canberra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F287A" w14:textId="77777777" w:rsidR="00797F54" w:rsidRDefault="00797F54" w:rsidP="007D65FF">
    <w:pPr>
      <w:ind w:firstLine="720"/>
    </w:pPr>
  </w:p>
  <w:p w14:paraId="64E09BD9" w14:textId="77777777" w:rsidR="00797F54" w:rsidRDefault="00797F54" w:rsidP="009866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9ECD3" w14:textId="77777777" w:rsidR="00797F54" w:rsidRDefault="00797F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6987C" w14:textId="77777777" w:rsidR="00797F54" w:rsidRDefault="00797F54" w:rsidP="007D65FF">
    <w:pPr>
      <w:ind w:firstLine="720"/>
    </w:pPr>
  </w:p>
  <w:p w14:paraId="13247AAE" w14:textId="77777777" w:rsidR="00797F54" w:rsidRDefault="00797F54" w:rsidP="009866F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6209D" w14:textId="77777777" w:rsidR="00797F54" w:rsidRDefault="00797F54" w:rsidP="009866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682E6A"/>
    <w:lvl w:ilvl="0">
      <w:start w:val="1"/>
      <w:numFmt w:val="decimal"/>
      <w:lvlText w:val="%1."/>
      <w:lvlJc w:val="left"/>
      <w:pPr>
        <w:tabs>
          <w:tab w:val="num" w:pos="1492"/>
        </w:tabs>
        <w:ind w:left="1492" w:hanging="360"/>
      </w:pPr>
    </w:lvl>
  </w:abstractNum>
  <w:abstractNum w:abstractNumId="1">
    <w:nsid w:val="FFFFFF7D"/>
    <w:multiLevelType w:val="singleLevel"/>
    <w:tmpl w:val="E4264B3E"/>
    <w:lvl w:ilvl="0">
      <w:start w:val="1"/>
      <w:numFmt w:val="decimal"/>
      <w:lvlText w:val="%1."/>
      <w:lvlJc w:val="left"/>
      <w:pPr>
        <w:tabs>
          <w:tab w:val="num" w:pos="1209"/>
        </w:tabs>
        <w:ind w:left="1209" w:hanging="360"/>
      </w:pPr>
    </w:lvl>
  </w:abstractNum>
  <w:abstractNum w:abstractNumId="2">
    <w:nsid w:val="FFFFFF7E"/>
    <w:multiLevelType w:val="singleLevel"/>
    <w:tmpl w:val="7ED0811E"/>
    <w:lvl w:ilvl="0">
      <w:start w:val="1"/>
      <w:numFmt w:val="decimal"/>
      <w:lvlText w:val="%1."/>
      <w:lvlJc w:val="left"/>
      <w:pPr>
        <w:tabs>
          <w:tab w:val="num" w:pos="926"/>
        </w:tabs>
        <w:ind w:left="926" w:hanging="360"/>
      </w:pPr>
    </w:lvl>
  </w:abstractNum>
  <w:abstractNum w:abstractNumId="3">
    <w:nsid w:val="FFFFFF7F"/>
    <w:multiLevelType w:val="singleLevel"/>
    <w:tmpl w:val="36D642FE"/>
    <w:lvl w:ilvl="0">
      <w:start w:val="1"/>
      <w:numFmt w:val="decimal"/>
      <w:lvlText w:val="%1."/>
      <w:lvlJc w:val="left"/>
      <w:pPr>
        <w:tabs>
          <w:tab w:val="num" w:pos="643"/>
        </w:tabs>
        <w:ind w:left="643" w:hanging="360"/>
      </w:pPr>
    </w:lvl>
  </w:abstractNum>
  <w:abstractNum w:abstractNumId="4">
    <w:nsid w:val="FFFFFF80"/>
    <w:multiLevelType w:val="singleLevel"/>
    <w:tmpl w:val="259E98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2E0026"/>
    <w:lvl w:ilvl="0">
      <w:start w:val="1"/>
      <w:numFmt w:val="bullet"/>
      <w:lvlText w:val=""/>
      <w:lvlJc w:val="left"/>
      <w:pPr>
        <w:tabs>
          <w:tab w:val="num" w:pos="1209"/>
        </w:tabs>
        <w:ind w:left="1209" w:hanging="360"/>
      </w:pPr>
      <w:rPr>
        <w:rFonts w:ascii="Symbol" w:hAnsi="Symbol" w:hint="default"/>
      </w:rPr>
    </w:lvl>
  </w:abstractNum>
  <w:abstractNum w:abstractNumId="6">
    <w:nsid w:val="FFFFFF89"/>
    <w:multiLevelType w:val="singleLevel"/>
    <w:tmpl w:val="4A588092"/>
    <w:lvl w:ilvl="0">
      <w:start w:val="1"/>
      <w:numFmt w:val="bullet"/>
      <w:pStyle w:val="ListBullet"/>
      <w:lvlText w:val=""/>
      <w:lvlJc w:val="left"/>
      <w:pPr>
        <w:tabs>
          <w:tab w:val="num" w:pos="360"/>
        </w:tabs>
        <w:ind w:left="360" w:hanging="360"/>
      </w:pPr>
      <w:rPr>
        <w:rFonts w:ascii="Wingdings" w:hAnsi="Wingdings" w:hint="default"/>
      </w:rPr>
    </w:lvl>
  </w:abstractNum>
  <w:abstractNum w:abstractNumId="7">
    <w:nsid w:val="00FF67B6"/>
    <w:multiLevelType w:val="hybridMultilevel"/>
    <w:tmpl w:val="FEA831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3FA403F"/>
    <w:multiLevelType w:val="hybridMultilevel"/>
    <w:tmpl w:val="1A32608A"/>
    <w:lvl w:ilvl="0" w:tplc="F6188FF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2D49C4"/>
    <w:multiLevelType w:val="hybridMultilevel"/>
    <w:tmpl w:val="628AD7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F67018"/>
    <w:multiLevelType w:val="hybridMultilevel"/>
    <w:tmpl w:val="69FEAE90"/>
    <w:lvl w:ilvl="0" w:tplc="6542EA7E">
      <w:start w:val="1"/>
      <w:numFmt w:val="bullet"/>
      <w:pStyle w:val="Bodytext-alis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nsid w:val="18E77EAE"/>
    <w:multiLevelType w:val="hybridMultilevel"/>
    <w:tmpl w:val="7D36150E"/>
    <w:lvl w:ilvl="0" w:tplc="BCCA4AC2">
      <w:start w:val="1"/>
      <w:numFmt w:val="bullet"/>
      <w:pStyle w:val="ListBullet2"/>
      <w:lvlText w:val=""/>
      <w:lvlJc w:val="left"/>
      <w:pPr>
        <w:ind w:left="360" w:hanging="360"/>
      </w:pPr>
      <w:rPr>
        <w:rFonts w:ascii="Wingdings" w:hAnsi="Wingdings" w:hint="default"/>
        <w:b w:val="0"/>
        <w:i w:val="0"/>
        <w:color w:val="007FAA"/>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AE306C"/>
    <w:multiLevelType w:val="hybridMultilevel"/>
    <w:tmpl w:val="BE52BF6A"/>
    <w:lvl w:ilvl="0" w:tplc="967CB100">
      <w:start w:val="1"/>
      <w:numFmt w:val="bullet"/>
      <w:pStyle w:val="ListBullet3"/>
      <w:lvlText w:val=""/>
      <w:lvlJc w:val="left"/>
      <w:pPr>
        <w:ind w:left="360" w:hanging="360"/>
      </w:pPr>
      <w:rPr>
        <w:rFonts w:ascii="Wingdings" w:hAnsi="Wingdings" w:hint="default"/>
        <w:color w:val="0080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7D1DCF"/>
    <w:multiLevelType w:val="hybridMultilevel"/>
    <w:tmpl w:val="657CBF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D212FA"/>
    <w:multiLevelType w:val="hybridMultilevel"/>
    <w:tmpl w:val="5EBCCE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0E62E6"/>
    <w:multiLevelType w:val="hybridMultilevel"/>
    <w:tmpl w:val="C04A8516"/>
    <w:lvl w:ilvl="0" w:tplc="0C986A12">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BC50ECB"/>
    <w:multiLevelType w:val="hybridMultilevel"/>
    <w:tmpl w:val="C6FA22DC"/>
    <w:lvl w:ilvl="0" w:tplc="D2B87B94">
      <w:start w:val="1"/>
      <w:numFmt w:val="lowerLetter"/>
      <w:pStyle w:val="ListAlphab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22D621D"/>
    <w:multiLevelType w:val="multilevel"/>
    <w:tmpl w:val="BB7E4B0E"/>
    <w:lvl w:ilvl="0">
      <w:start w:val="1"/>
      <w:numFmt w:val="none"/>
      <w:lvlText w:val=""/>
      <w:lvlJc w:val="left"/>
      <w:pPr>
        <w:tabs>
          <w:tab w:val="num" w:pos="432"/>
        </w:tabs>
        <w:ind w:left="432" w:hanging="432"/>
      </w:pPr>
      <w:rPr>
        <w:rFonts w:hint="default"/>
      </w:rPr>
    </w:lvl>
    <w:lvl w:ilvl="1">
      <w:start w:val="1"/>
      <w:numFmt w:val="decimal"/>
      <w:lvlText w:val="%1%2"/>
      <w:lvlJc w:val="left"/>
      <w:pPr>
        <w:tabs>
          <w:tab w:val="num" w:pos="634"/>
        </w:tabs>
        <w:ind w:left="634" w:hanging="454"/>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06"/>
        </w:tabs>
        <w:ind w:left="1106" w:hanging="1106"/>
      </w:pPr>
      <w:rPr>
        <w:rFonts w:hint="default"/>
      </w:rPr>
    </w:lvl>
    <w:lvl w:ilvl="5">
      <w:start w:val="1"/>
      <w:numFmt w:val="decimal"/>
      <w:lvlText w:val="%1"/>
      <w:lvlJc w:val="left"/>
      <w:pPr>
        <w:tabs>
          <w:tab w:val="num" w:pos="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6639664C"/>
    <w:multiLevelType w:val="hybridMultilevel"/>
    <w:tmpl w:val="E40AD894"/>
    <w:lvl w:ilvl="0" w:tplc="7EAE4802">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6AE7F45"/>
    <w:multiLevelType w:val="multilevel"/>
    <w:tmpl w:val="A2D2E2A4"/>
    <w:lvl w:ilvl="0">
      <w:start w:val="1"/>
      <w:numFmt w:val="none"/>
      <w:pStyle w:val="Heading1"/>
      <w:lvlText w:val=""/>
      <w:lvlJc w:val="left"/>
      <w:pPr>
        <w:tabs>
          <w:tab w:val="num" w:pos="432"/>
        </w:tabs>
        <w:ind w:left="432" w:hanging="432"/>
      </w:pPr>
      <w:rPr>
        <w:rFonts w:hint="default"/>
      </w:rPr>
    </w:lvl>
    <w:lvl w:ilvl="1">
      <w:start w:val="1"/>
      <w:numFmt w:val="decimal"/>
      <w:lvlText w:val="%1%2"/>
      <w:lvlJc w:val="left"/>
      <w:pPr>
        <w:tabs>
          <w:tab w:val="num" w:pos="634"/>
        </w:tabs>
        <w:ind w:left="634" w:hanging="454"/>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992"/>
        </w:tabs>
        <w:ind w:left="992" w:hanging="992"/>
      </w:pPr>
      <w:rPr>
        <w:rFonts w:ascii="Arial" w:hAnsi="Arial" w:cs="Arial" w:hint="default"/>
        <w:sz w:val="28"/>
        <w:szCs w:val="28"/>
      </w:rPr>
    </w:lvl>
    <w:lvl w:ilvl="4">
      <w:start w:val="1"/>
      <w:numFmt w:val="decimal"/>
      <w:lvlText w:val="%1%2.%3.%4.%5"/>
      <w:lvlJc w:val="left"/>
      <w:pPr>
        <w:tabs>
          <w:tab w:val="num" w:pos="1106"/>
        </w:tabs>
        <w:ind w:left="1106" w:hanging="1106"/>
      </w:pPr>
      <w:rPr>
        <w:rFonts w:hint="default"/>
      </w:rPr>
    </w:lvl>
    <w:lvl w:ilvl="5">
      <w:start w:val="1"/>
      <w:numFmt w:val="decimal"/>
      <w:pStyle w:val="Heading6"/>
      <w:lvlText w:val="%1"/>
      <w:lvlJc w:val="left"/>
      <w:pPr>
        <w:tabs>
          <w:tab w:val="num" w:pos="0"/>
        </w:tabs>
        <w:ind w:left="0" w:firstLine="0"/>
      </w:pPr>
      <w:rPr>
        <w:rFonts w:hint="default"/>
      </w:rPr>
    </w:lvl>
    <w:lvl w:ilvl="6">
      <w:start w:val="1"/>
      <w:numFmt w:val="decimal"/>
      <w:lvlText w:val="%1"/>
      <w:lvlJc w:val="left"/>
      <w:pPr>
        <w:tabs>
          <w:tab w:val="num" w:pos="1296"/>
        </w:tabs>
        <w:ind w:left="1296" w:hanging="1296"/>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17"/>
  </w:num>
  <w:num w:numId="3">
    <w:abstractNumId w:val="19"/>
  </w:num>
  <w:num w:numId="4">
    <w:abstractNumId w:val="10"/>
  </w:num>
  <w:num w:numId="5">
    <w:abstractNumId w:val="8"/>
  </w:num>
  <w:num w:numId="6">
    <w:abstractNumId w:val="13"/>
  </w:num>
  <w:num w:numId="7">
    <w:abstractNumId w:val="14"/>
  </w:num>
  <w:num w:numId="8">
    <w:abstractNumId w:val="15"/>
  </w:num>
  <w:num w:numId="9">
    <w:abstractNumId w:val="16"/>
  </w:num>
  <w:num w:numId="10">
    <w:abstractNumId w:val="18"/>
  </w:num>
  <w:num w:numId="11">
    <w:abstractNumId w:val="7"/>
  </w:num>
  <w:num w:numId="12">
    <w:abstractNumId w:val="9"/>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2"/>
  </w:num>
  <w:num w:numId="2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0"/>
  <w:autoFormatOverride/>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5A"/>
    <w:rsid w:val="00002D63"/>
    <w:rsid w:val="0001332C"/>
    <w:rsid w:val="00034EFF"/>
    <w:rsid w:val="0003692C"/>
    <w:rsid w:val="000369C9"/>
    <w:rsid w:val="000429E3"/>
    <w:rsid w:val="00044144"/>
    <w:rsid w:val="00051011"/>
    <w:rsid w:val="0005667B"/>
    <w:rsid w:val="00057762"/>
    <w:rsid w:val="00057BA8"/>
    <w:rsid w:val="000610F3"/>
    <w:rsid w:val="00063B2F"/>
    <w:rsid w:val="0006709E"/>
    <w:rsid w:val="00072266"/>
    <w:rsid w:val="0007360D"/>
    <w:rsid w:val="0007668E"/>
    <w:rsid w:val="0008595A"/>
    <w:rsid w:val="000924C8"/>
    <w:rsid w:val="000A30BD"/>
    <w:rsid w:val="000A4704"/>
    <w:rsid w:val="000B6433"/>
    <w:rsid w:val="000C6BFE"/>
    <w:rsid w:val="000D3D9A"/>
    <w:rsid w:val="000E2801"/>
    <w:rsid w:val="000E3913"/>
    <w:rsid w:val="000E735A"/>
    <w:rsid w:val="000F1EB3"/>
    <w:rsid w:val="000F3BB5"/>
    <w:rsid w:val="000F4E9C"/>
    <w:rsid w:val="000F7697"/>
    <w:rsid w:val="00104FC9"/>
    <w:rsid w:val="001104F2"/>
    <w:rsid w:val="001132D8"/>
    <w:rsid w:val="001172D5"/>
    <w:rsid w:val="00125006"/>
    <w:rsid w:val="001261B6"/>
    <w:rsid w:val="001272D8"/>
    <w:rsid w:val="0013501F"/>
    <w:rsid w:val="00135FF2"/>
    <w:rsid w:val="001374FF"/>
    <w:rsid w:val="00140538"/>
    <w:rsid w:val="00140D13"/>
    <w:rsid w:val="00151F7D"/>
    <w:rsid w:val="00157234"/>
    <w:rsid w:val="00157D77"/>
    <w:rsid w:val="00162C19"/>
    <w:rsid w:val="001658CD"/>
    <w:rsid w:val="001662A8"/>
    <w:rsid w:val="00174083"/>
    <w:rsid w:val="001803A4"/>
    <w:rsid w:val="00181C19"/>
    <w:rsid w:val="00181C9D"/>
    <w:rsid w:val="0018425D"/>
    <w:rsid w:val="00184F28"/>
    <w:rsid w:val="00191574"/>
    <w:rsid w:val="001A210D"/>
    <w:rsid w:val="001A7C6C"/>
    <w:rsid w:val="001B1203"/>
    <w:rsid w:val="001B16BF"/>
    <w:rsid w:val="001B22B5"/>
    <w:rsid w:val="001B6A0F"/>
    <w:rsid w:val="001B74F2"/>
    <w:rsid w:val="001C2A37"/>
    <w:rsid w:val="001D2D38"/>
    <w:rsid w:val="001D54D0"/>
    <w:rsid w:val="001F05D8"/>
    <w:rsid w:val="001F42F4"/>
    <w:rsid w:val="0020230F"/>
    <w:rsid w:val="002039CB"/>
    <w:rsid w:val="00212D08"/>
    <w:rsid w:val="002160E0"/>
    <w:rsid w:val="00221623"/>
    <w:rsid w:val="00222369"/>
    <w:rsid w:val="00226D9E"/>
    <w:rsid w:val="002278A8"/>
    <w:rsid w:val="0023207D"/>
    <w:rsid w:val="00235A71"/>
    <w:rsid w:val="00235ECC"/>
    <w:rsid w:val="002403A5"/>
    <w:rsid w:val="00241EAD"/>
    <w:rsid w:val="00244DC3"/>
    <w:rsid w:val="0024524B"/>
    <w:rsid w:val="00246A40"/>
    <w:rsid w:val="00250F3F"/>
    <w:rsid w:val="00251835"/>
    <w:rsid w:val="002549C3"/>
    <w:rsid w:val="00274048"/>
    <w:rsid w:val="0027428E"/>
    <w:rsid w:val="002753DC"/>
    <w:rsid w:val="00276F20"/>
    <w:rsid w:val="00282C47"/>
    <w:rsid w:val="002838A4"/>
    <w:rsid w:val="0029016F"/>
    <w:rsid w:val="002A3AAD"/>
    <w:rsid w:val="002A4105"/>
    <w:rsid w:val="002A6A80"/>
    <w:rsid w:val="002A730D"/>
    <w:rsid w:val="002B0395"/>
    <w:rsid w:val="002B0BD3"/>
    <w:rsid w:val="002B27F8"/>
    <w:rsid w:val="002B46A2"/>
    <w:rsid w:val="002B7D90"/>
    <w:rsid w:val="002C0F4F"/>
    <w:rsid w:val="002C34C9"/>
    <w:rsid w:val="002C3E09"/>
    <w:rsid w:val="002C6AF0"/>
    <w:rsid w:val="002D2FD6"/>
    <w:rsid w:val="002D34D5"/>
    <w:rsid w:val="002D4B90"/>
    <w:rsid w:val="002F1A60"/>
    <w:rsid w:val="00304B9C"/>
    <w:rsid w:val="00306DAD"/>
    <w:rsid w:val="00314B40"/>
    <w:rsid w:val="003168EF"/>
    <w:rsid w:val="003177AB"/>
    <w:rsid w:val="00335ADA"/>
    <w:rsid w:val="00336508"/>
    <w:rsid w:val="00350277"/>
    <w:rsid w:val="0035028B"/>
    <w:rsid w:val="003547CB"/>
    <w:rsid w:val="00357300"/>
    <w:rsid w:val="00363BC8"/>
    <w:rsid w:val="003653D8"/>
    <w:rsid w:val="0036638F"/>
    <w:rsid w:val="0036739E"/>
    <w:rsid w:val="003772EA"/>
    <w:rsid w:val="00387D24"/>
    <w:rsid w:val="00390032"/>
    <w:rsid w:val="0039643B"/>
    <w:rsid w:val="00396627"/>
    <w:rsid w:val="003B18DD"/>
    <w:rsid w:val="003B18F0"/>
    <w:rsid w:val="003B5109"/>
    <w:rsid w:val="003C091F"/>
    <w:rsid w:val="003C20CF"/>
    <w:rsid w:val="003D3D75"/>
    <w:rsid w:val="003D4F55"/>
    <w:rsid w:val="003D5D38"/>
    <w:rsid w:val="003D6692"/>
    <w:rsid w:val="003F4F17"/>
    <w:rsid w:val="003F720B"/>
    <w:rsid w:val="003F72F6"/>
    <w:rsid w:val="00401ADC"/>
    <w:rsid w:val="00401F16"/>
    <w:rsid w:val="004134CB"/>
    <w:rsid w:val="00414D3F"/>
    <w:rsid w:val="004172AC"/>
    <w:rsid w:val="00422A90"/>
    <w:rsid w:val="00431621"/>
    <w:rsid w:val="00431ADB"/>
    <w:rsid w:val="00431AE3"/>
    <w:rsid w:val="00437A0A"/>
    <w:rsid w:val="00450197"/>
    <w:rsid w:val="004502D0"/>
    <w:rsid w:val="0045112D"/>
    <w:rsid w:val="004633E7"/>
    <w:rsid w:val="00464302"/>
    <w:rsid w:val="00472392"/>
    <w:rsid w:val="00474CB1"/>
    <w:rsid w:val="00474FD8"/>
    <w:rsid w:val="00475C88"/>
    <w:rsid w:val="0048129C"/>
    <w:rsid w:val="004867BC"/>
    <w:rsid w:val="00492805"/>
    <w:rsid w:val="00494B31"/>
    <w:rsid w:val="004A06EB"/>
    <w:rsid w:val="004A2EA1"/>
    <w:rsid w:val="004A3449"/>
    <w:rsid w:val="004A489D"/>
    <w:rsid w:val="004B52C1"/>
    <w:rsid w:val="004B6147"/>
    <w:rsid w:val="004C0380"/>
    <w:rsid w:val="004C2222"/>
    <w:rsid w:val="004C7492"/>
    <w:rsid w:val="004C770F"/>
    <w:rsid w:val="004D3247"/>
    <w:rsid w:val="004D4F93"/>
    <w:rsid w:val="004D530F"/>
    <w:rsid w:val="004D72E5"/>
    <w:rsid w:val="004E0A6B"/>
    <w:rsid w:val="004E635D"/>
    <w:rsid w:val="004E6EF0"/>
    <w:rsid w:val="004F2C77"/>
    <w:rsid w:val="004F58DC"/>
    <w:rsid w:val="004F5E76"/>
    <w:rsid w:val="004F7617"/>
    <w:rsid w:val="00510597"/>
    <w:rsid w:val="00511A0B"/>
    <w:rsid w:val="00511EFC"/>
    <w:rsid w:val="00522EC0"/>
    <w:rsid w:val="005253F9"/>
    <w:rsid w:val="00527712"/>
    <w:rsid w:val="00527F52"/>
    <w:rsid w:val="00534920"/>
    <w:rsid w:val="00542006"/>
    <w:rsid w:val="005432CE"/>
    <w:rsid w:val="00566692"/>
    <w:rsid w:val="00567DC3"/>
    <w:rsid w:val="00574FAC"/>
    <w:rsid w:val="0057509D"/>
    <w:rsid w:val="0057746E"/>
    <w:rsid w:val="00577514"/>
    <w:rsid w:val="00580C97"/>
    <w:rsid w:val="005816A1"/>
    <w:rsid w:val="005844BE"/>
    <w:rsid w:val="00593A1C"/>
    <w:rsid w:val="005975A8"/>
    <w:rsid w:val="005B4764"/>
    <w:rsid w:val="005B6C00"/>
    <w:rsid w:val="005E18ED"/>
    <w:rsid w:val="005E4F89"/>
    <w:rsid w:val="005F3DA2"/>
    <w:rsid w:val="005F5BDF"/>
    <w:rsid w:val="00605B5F"/>
    <w:rsid w:val="0060670E"/>
    <w:rsid w:val="00613202"/>
    <w:rsid w:val="00622D11"/>
    <w:rsid w:val="00624188"/>
    <w:rsid w:val="006258CE"/>
    <w:rsid w:val="006452AF"/>
    <w:rsid w:val="0065165E"/>
    <w:rsid w:val="0065581B"/>
    <w:rsid w:val="00660FFC"/>
    <w:rsid w:val="00664787"/>
    <w:rsid w:val="00665912"/>
    <w:rsid w:val="00666C56"/>
    <w:rsid w:val="006755FE"/>
    <w:rsid w:val="00675B5B"/>
    <w:rsid w:val="00676CF2"/>
    <w:rsid w:val="00677627"/>
    <w:rsid w:val="00677C2C"/>
    <w:rsid w:val="0068514F"/>
    <w:rsid w:val="006852C0"/>
    <w:rsid w:val="00696E8F"/>
    <w:rsid w:val="006A3354"/>
    <w:rsid w:val="006A5147"/>
    <w:rsid w:val="006A6F43"/>
    <w:rsid w:val="006B3E4D"/>
    <w:rsid w:val="006B6FE8"/>
    <w:rsid w:val="006C20A5"/>
    <w:rsid w:val="006C49FD"/>
    <w:rsid w:val="006D69AF"/>
    <w:rsid w:val="006D6F21"/>
    <w:rsid w:val="006E154A"/>
    <w:rsid w:val="006E44AA"/>
    <w:rsid w:val="006F08AE"/>
    <w:rsid w:val="006F4BEB"/>
    <w:rsid w:val="006F5FE8"/>
    <w:rsid w:val="00704DF0"/>
    <w:rsid w:val="007052D0"/>
    <w:rsid w:val="00707F59"/>
    <w:rsid w:val="00710C1B"/>
    <w:rsid w:val="00717AA5"/>
    <w:rsid w:val="00717BC1"/>
    <w:rsid w:val="00717E58"/>
    <w:rsid w:val="00720990"/>
    <w:rsid w:val="00721FA0"/>
    <w:rsid w:val="00723A83"/>
    <w:rsid w:val="00725271"/>
    <w:rsid w:val="00733D0C"/>
    <w:rsid w:val="00740BE1"/>
    <w:rsid w:val="00746EAC"/>
    <w:rsid w:val="00750D32"/>
    <w:rsid w:val="00751A83"/>
    <w:rsid w:val="00754EA2"/>
    <w:rsid w:val="00761A3E"/>
    <w:rsid w:val="007649D8"/>
    <w:rsid w:val="00764D03"/>
    <w:rsid w:val="00772D52"/>
    <w:rsid w:val="00775A63"/>
    <w:rsid w:val="00776029"/>
    <w:rsid w:val="00776843"/>
    <w:rsid w:val="00780CE6"/>
    <w:rsid w:val="00784701"/>
    <w:rsid w:val="00784FEB"/>
    <w:rsid w:val="00785A84"/>
    <w:rsid w:val="00797A2B"/>
    <w:rsid w:val="00797F54"/>
    <w:rsid w:val="007A03EB"/>
    <w:rsid w:val="007A0C40"/>
    <w:rsid w:val="007A3852"/>
    <w:rsid w:val="007A5265"/>
    <w:rsid w:val="007B004A"/>
    <w:rsid w:val="007B08AD"/>
    <w:rsid w:val="007B5E30"/>
    <w:rsid w:val="007C2DDA"/>
    <w:rsid w:val="007C5149"/>
    <w:rsid w:val="007C7BA2"/>
    <w:rsid w:val="007D0C76"/>
    <w:rsid w:val="007D1145"/>
    <w:rsid w:val="007D3955"/>
    <w:rsid w:val="007D3A21"/>
    <w:rsid w:val="007D3B52"/>
    <w:rsid w:val="007D497E"/>
    <w:rsid w:val="007D5029"/>
    <w:rsid w:val="007D556D"/>
    <w:rsid w:val="007D65FF"/>
    <w:rsid w:val="007D79A8"/>
    <w:rsid w:val="007E01F3"/>
    <w:rsid w:val="007E7AB7"/>
    <w:rsid w:val="007F104C"/>
    <w:rsid w:val="007F2ABA"/>
    <w:rsid w:val="008003CF"/>
    <w:rsid w:val="00803425"/>
    <w:rsid w:val="00803A99"/>
    <w:rsid w:val="0081513E"/>
    <w:rsid w:val="0082271B"/>
    <w:rsid w:val="008227F3"/>
    <w:rsid w:val="00824B1F"/>
    <w:rsid w:val="00825FF5"/>
    <w:rsid w:val="00827E52"/>
    <w:rsid w:val="00834C9B"/>
    <w:rsid w:val="008361A1"/>
    <w:rsid w:val="00852B83"/>
    <w:rsid w:val="00854E6A"/>
    <w:rsid w:val="00855D0F"/>
    <w:rsid w:val="00862C4C"/>
    <w:rsid w:val="0086497D"/>
    <w:rsid w:val="008664A6"/>
    <w:rsid w:val="00871174"/>
    <w:rsid w:val="00874D58"/>
    <w:rsid w:val="00880E72"/>
    <w:rsid w:val="00881E6E"/>
    <w:rsid w:val="008820B8"/>
    <w:rsid w:val="008841FD"/>
    <w:rsid w:val="008853B5"/>
    <w:rsid w:val="00886F38"/>
    <w:rsid w:val="0089012A"/>
    <w:rsid w:val="0089101F"/>
    <w:rsid w:val="008A5BB0"/>
    <w:rsid w:val="008A7192"/>
    <w:rsid w:val="008B4D03"/>
    <w:rsid w:val="008B79A4"/>
    <w:rsid w:val="008C007F"/>
    <w:rsid w:val="008D14BB"/>
    <w:rsid w:val="008E3886"/>
    <w:rsid w:val="008F0958"/>
    <w:rsid w:val="008F0BDB"/>
    <w:rsid w:val="008F2C1A"/>
    <w:rsid w:val="008F3C4C"/>
    <w:rsid w:val="0090032C"/>
    <w:rsid w:val="009013F7"/>
    <w:rsid w:val="0090273F"/>
    <w:rsid w:val="00904D3E"/>
    <w:rsid w:val="0090582F"/>
    <w:rsid w:val="00914317"/>
    <w:rsid w:val="00914F9F"/>
    <w:rsid w:val="009175A0"/>
    <w:rsid w:val="009223E2"/>
    <w:rsid w:val="00924A08"/>
    <w:rsid w:val="0093453D"/>
    <w:rsid w:val="00935C24"/>
    <w:rsid w:val="00945A4C"/>
    <w:rsid w:val="0094658C"/>
    <w:rsid w:val="00946954"/>
    <w:rsid w:val="00950B31"/>
    <w:rsid w:val="00953BBB"/>
    <w:rsid w:val="0095493D"/>
    <w:rsid w:val="00966B89"/>
    <w:rsid w:val="009677E3"/>
    <w:rsid w:val="00972EA5"/>
    <w:rsid w:val="0097579E"/>
    <w:rsid w:val="00986334"/>
    <w:rsid w:val="009866F9"/>
    <w:rsid w:val="00992581"/>
    <w:rsid w:val="00995B0D"/>
    <w:rsid w:val="00997536"/>
    <w:rsid w:val="009A0BB0"/>
    <w:rsid w:val="009B411E"/>
    <w:rsid w:val="009B4953"/>
    <w:rsid w:val="009C09E3"/>
    <w:rsid w:val="009C37E6"/>
    <w:rsid w:val="009D23A7"/>
    <w:rsid w:val="009D3D35"/>
    <w:rsid w:val="009E0A63"/>
    <w:rsid w:val="009E2211"/>
    <w:rsid w:val="009E59AA"/>
    <w:rsid w:val="009E5E13"/>
    <w:rsid w:val="009F39CE"/>
    <w:rsid w:val="009F64E0"/>
    <w:rsid w:val="009F7D2E"/>
    <w:rsid w:val="00A0107D"/>
    <w:rsid w:val="00A031E9"/>
    <w:rsid w:val="00A049EB"/>
    <w:rsid w:val="00A06231"/>
    <w:rsid w:val="00A12D2A"/>
    <w:rsid w:val="00A136F3"/>
    <w:rsid w:val="00A13BAB"/>
    <w:rsid w:val="00A2598E"/>
    <w:rsid w:val="00A33059"/>
    <w:rsid w:val="00A354CD"/>
    <w:rsid w:val="00A57E48"/>
    <w:rsid w:val="00A620B0"/>
    <w:rsid w:val="00A64B6E"/>
    <w:rsid w:val="00A662FE"/>
    <w:rsid w:val="00A751F9"/>
    <w:rsid w:val="00A8093A"/>
    <w:rsid w:val="00A83406"/>
    <w:rsid w:val="00A85440"/>
    <w:rsid w:val="00A87457"/>
    <w:rsid w:val="00A92E73"/>
    <w:rsid w:val="00A93246"/>
    <w:rsid w:val="00A95F49"/>
    <w:rsid w:val="00AA7182"/>
    <w:rsid w:val="00AB2CD2"/>
    <w:rsid w:val="00AB337C"/>
    <w:rsid w:val="00AC0884"/>
    <w:rsid w:val="00AC25CD"/>
    <w:rsid w:val="00AC26F1"/>
    <w:rsid w:val="00AC46F3"/>
    <w:rsid w:val="00AD27B1"/>
    <w:rsid w:val="00AD2EA4"/>
    <w:rsid w:val="00AD4927"/>
    <w:rsid w:val="00AD5454"/>
    <w:rsid w:val="00AD75A5"/>
    <w:rsid w:val="00AE6792"/>
    <w:rsid w:val="00AF08DE"/>
    <w:rsid w:val="00AF0964"/>
    <w:rsid w:val="00AF3D92"/>
    <w:rsid w:val="00AF4CE9"/>
    <w:rsid w:val="00AF5005"/>
    <w:rsid w:val="00B05A01"/>
    <w:rsid w:val="00B1220C"/>
    <w:rsid w:val="00B16B20"/>
    <w:rsid w:val="00B23C49"/>
    <w:rsid w:val="00B37488"/>
    <w:rsid w:val="00B40D40"/>
    <w:rsid w:val="00B454B7"/>
    <w:rsid w:val="00B47E5C"/>
    <w:rsid w:val="00B52896"/>
    <w:rsid w:val="00B5648A"/>
    <w:rsid w:val="00B63006"/>
    <w:rsid w:val="00B7195C"/>
    <w:rsid w:val="00B81C21"/>
    <w:rsid w:val="00B8625F"/>
    <w:rsid w:val="00B86EE3"/>
    <w:rsid w:val="00B92B92"/>
    <w:rsid w:val="00B9455C"/>
    <w:rsid w:val="00B94FB0"/>
    <w:rsid w:val="00B95F63"/>
    <w:rsid w:val="00B96CA1"/>
    <w:rsid w:val="00BA550C"/>
    <w:rsid w:val="00BB2258"/>
    <w:rsid w:val="00BB2F5F"/>
    <w:rsid w:val="00BB6038"/>
    <w:rsid w:val="00BC4289"/>
    <w:rsid w:val="00BC5310"/>
    <w:rsid w:val="00BD7AE5"/>
    <w:rsid w:val="00BE01C5"/>
    <w:rsid w:val="00BE3585"/>
    <w:rsid w:val="00BE3720"/>
    <w:rsid w:val="00BE3C23"/>
    <w:rsid w:val="00BE4F3F"/>
    <w:rsid w:val="00BE5F0F"/>
    <w:rsid w:val="00BF119A"/>
    <w:rsid w:val="00BF17AC"/>
    <w:rsid w:val="00BF39E4"/>
    <w:rsid w:val="00BF3C14"/>
    <w:rsid w:val="00BF6D71"/>
    <w:rsid w:val="00BF71DD"/>
    <w:rsid w:val="00C030DD"/>
    <w:rsid w:val="00C12BF4"/>
    <w:rsid w:val="00C17EEC"/>
    <w:rsid w:val="00C20E3B"/>
    <w:rsid w:val="00C254BA"/>
    <w:rsid w:val="00C2674C"/>
    <w:rsid w:val="00C30560"/>
    <w:rsid w:val="00C307A1"/>
    <w:rsid w:val="00C314F6"/>
    <w:rsid w:val="00C317C5"/>
    <w:rsid w:val="00C32F74"/>
    <w:rsid w:val="00C36C3A"/>
    <w:rsid w:val="00C40ECF"/>
    <w:rsid w:val="00C43DD3"/>
    <w:rsid w:val="00C50263"/>
    <w:rsid w:val="00C51013"/>
    <w:rsid w:val="00C52E04"/>
    <w:rsid w:val="00C53761"/>
    <w:rsid w:val="00C57763"/>
    <w:rsid w:val="00C66D56"/>
    <w:rsid w:val="00C70B0E"/>
    <w:rsid w:val="00C7268D"/>
    <w:rsid w:val="00C85FC9"/>
    <w:rsid w:val="00C91402"/>
    <w:rsid w:val="00C94594"/>
    <w:rsid w:val="00C94717"/>
    <w:rsid w:val="00C959E1"/>
    <w:rsid w:val="00C97441"/>
    <w:rsid w:val="00CA2F17"/>
    <w:rsid w:val="00CB44C7"/>
    <w:rsid w:val="00CB540F"/>
    <w:rsid w:val="00CB5B62"/>
    <w:rsid w:val="00CB63D2"/>
    <w:rsid w:val="00CC5BF1"/>
    <w:rsid w:val="00CC66C6"/>
    <w:rsid w:val="00CD2DAC"/>
    <w:rsid w:val="00CE7BD9"/>
    <w:rsid w:val="00CF14C0"/>
    <w:rsid w:val="00CF6207"/>
    <w:rsid w:val="00D04540"/>
    <w:rsid w:val="00D16D3C"/>
    <w:rsid w:val="00D317E1"/>
    <w:rsid w:val="00D32748"/>
    <w:rsid w:val="00D368AB"/>
    <w:rsid w:val="00D40724"/>
    <w:rsid w:val="00D459A6"/>
    <w:rsid w:val="00D5030E"/>
    <w:rsid w:val="00D50A47"/>
    <w:rsid w:val="00D5200D"/>
    <w:rsid w:val="00D525E2"/>
    <w:rsid w:val="00D53150"/>
    <w:rsid w:val="00D564D3"/>
    <w:rsid w:val="00D574DD"/>
    <w:rsid w:val="00D637A0"/>
    <w:rsid w:val="00D6644E"/>
    <w:rsid w:val="00D73BDC"/>
    <w:rsid w:val="00D76D67"/>
    <w:rsid w:val="00D8333E"/>
    <w:rsid w:val="00D87555"/>
    <w:rsid w:val="00D91166"/>
    <w:rsid w:val="00D953F3"/>
    <w:rsid w:val="00DA4220"/>
    <w:rsid w:val="00DA4F89"/>
    <w:rsid w:val="00DB03D5"/>
    <w:rsid w:val="00DB6720"/>
    <w:rsid w:val="00DC744F"/>
    <w:rsid w:val="00DC7A73"/>
    <w:rsid w:val="00DD0064"/>
    <w:rsid w:val="00DD62D8"/>
    <w:rsid w:val="00DD630F"/>
    <w:rsid w:val="00DD6691"/>
    <w:rsid w:val="00DE0679"/>
    <w:rsid w:val="00DE1A96"/>
    <w:rsid w:val="00DE5E05"/>
    <w:rsid w:val="00DE6DE0"/>
    <w:rsid w:val="00DF1F14"/>
    <w:rsid w:val="00DF3960"/>
    <w:rsid w:val="00E01FBE"/>
    <w:rsid w:val="00E02506"/>
    <w:rsid w:val="00E06637"/>
    <w:rsid w:val="00E06C1F"/>
    <w:rsid w:val="00E07CF6"/>
    <w:rsid w:val="00E175A6"/>
    <w:rsid w:val="00E2708B"/>
    <w:rsid w:val="00E30A18"/>
    <w:rsid w:val="00E33790"/>
    <w:rsid w:val="00E450DE"/>
    <w:rsid w:val="00E4724A"/>
    <w:rsid w:val="00E51834"/>
    <w:rsid w:val="00E51EE6"/>
    <w:rsid w:val="00E5310B"/>
    <w:rsid w:val="00E5602A"/>
    <w:rsid w:val="00E56D09"/>
    <w:rsid w:val="00E6602A"/>
    <w:rsid w:val="00E74F3F"/>
    <w:rsid w:val="00E75FB3"/>
    <w:rsid w:val="00E779D9"/>
    <w:rsid w:val="00E83E86"/>
    <w:rsid w:val="00E841FC"/>
    <w:rsid w:val="00E91F9D"/>
    <w:rsid w:val="00E97CAC"/>
    <w:rsid w:val="00EA1517"/>
    <w:rsid w:val="00EA37C8"/>
    <w:rsid w:val="00EA6796"/>
    <w:rsid w:val="00EB0D4E"/>
    <w:rsid w:val="00EB47F0"/>
    <w:rsid w:val="00EB6F91"/>
    <w:rsid w:val="00EB7593"/>
    <w:rsid w:val="00EC2EA3"/>
    <w:rsid w:val="00EC361E"/>
    <w:rsid w:val="00ED15C2"/>
    <w:rsid w:val="00ED6204"/>
    <w:rsid w:val="00ED7DD1"/>
    <w:rsid w:val="00EE1B3E"/>
    <w:rsid w:val="00EE2E18"/>
    <w:rsid w:val="00EE3599"/>
    <w:rsid w:val="00EE79DD"/>
    <w:rsid w:val="00EF12A9"/>
    <w:rsid w:val="00EF5364"/>
    <w:rsid w:val="00F11611"/>
    <w:rsid w:val="00F1218E"/>
    <w:rsid w:val="00F12F7D"/>
    <w:rsid w:val="00F16AF1"/>
    <w:rsid w:val="00F22C9E"/>
    <w:rsid w:val="00F2758C"/>
    <w:rsid w:val="00F33C63"/>
    <w:rsid w:val="00F3562E"/>
    <w:rsid w:val="00F403A4"/>
    <w:rsid w:val="00F41D06"/>
    <w:rsid w:val="00F421BE"/>
    <w:rsid w:val="00F457F8"/>
    <w:rsid w:val="00F50844"/>
    <w:rsid w:val="00F50B26"/>
    <w:rsid w:val="00F57CB0"/>
    <w:rsid w:val="00F66D2E"/>
    <w:rsid w:val="00F71287"/>
    <w:rsid w:val="00F72D61"/>
    <w:rsid w:val="00F757EF"/>
    <w:rsid w:val="00F8041F"/>
    <w:rsid w:val="00F82231"/>
    <w:rsid w:val="00F96E9F"/>
    <w:rsid w:val="00FA1DC5"/>
    <w:rsid w:val="00FA4479"/>
    <w:rsid w:val="00FA73DD"/>
    <w:rsid w:val="00FB1DE3"/>
    <w:rsid w:val="00FB5826"/>
    <w:rsid w:val="00FD0A8D"/>
    <w:rsid w:val="00FD2F2D"/>
    <w:rsid w:val="00FE45E1"/>
    <w:rsid w:val="00FE6275"/>
    <w:rsid w:val="00FF09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1936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toc 1" w:uiPriority="39"/>
    <w:lsdException w:name="toc 2" w:uiPriority="39"/>
    <w:lsdException w:name="toc 3" w:uiPriority="39"/>
    <w:lsdException w:name="toc 4" w:uiPriority="39"/>
    <w:lsdException w:name="toc 5" w:uiPriority="39"/>
    <w:lsdException w:name="toc 6" w:locked="1" w:uiPriority="39"/>
    <w:lsdException w:name="footnote text" w:uiPriority="99"/>
    <w:lsdException w:name="annotation text" w:uiPriority="99"/>
    <w:lsdException w:name="header" w:uiPriority="99"/>
    <w:lsdException w:name="footer" w:locked="1" w:uiPriority="99"/>
    <w:lsdException w:name="caption" w:qFormat="1"/>
    <w:lsdException w:name="annotation reference" w:uiPriority="99"/>
    <w:lsdException w:name="List Bullet" w:uiPriority="99"/>
    <w:lsdException w:name="Title" w:qFormat="1"/>
    <w:lsdException w:name="Body Text" w:uiPriority="99" w:qFormat="1"/>
    <w:lsdException w:name="Subtitle" w:qFormat="1"/>
    <w:lsdException w:name="Hyperlink" w:uiPriority="99"/>
    <w:lsdException w:name="Strong" w:uiPriority="22" w:qFormat="1"/>
    <w:lsdException w:name="Emphasis" w:uiPriority="20" w:qFormat="1"/>
    <w:lsdException w:name="annotation subject" w:uiPriority="99"/>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99"/>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3D8"/>
    <w:pPr>
      <w:spacing w:line="300" w:lineRule="auto"/>
    </w:pPr>
    <w:rPr>
      <w:rFonts w:ascii="Arial" w:hAnsi="Arial"/>
      <w:color w:val="333333"/>
      <w:sz w:val="24"/>
      <w:szCs w:val="24"/>
      <w:lang w:eastAsia="en-US"/>
    </w:rPr>
  </w:style>
  <w:style w:type="paragraph" w:styleId="Heading1">
    <w:name w:val="heading 1"/>
    <w:basedOn w:val="Normal"/>
    <w:next w:val="Normal"/>
    <w:link w:val="Heading1Char"/>
    <w:autoRedefine/>
    <w:qFormat/>
    <w:rsid w:val="005E4F89"/>
    <w:pPr>
      <w:keepNext/>
      <w:numPr>
        <w:numId w:val="3"/>
      </w:numPr>
      <w:spacing w:before="6000" w:after="400" w:line="240" w:lineRule="auto"/>
      <w:ind w:left="431" w:hanging="431"/>
      <w:contextualSpacing/>
      <w:jc w:val="center"/>
      <w:outlineLvl w:val="0"/>
    </w:pPr>
    <w:rPr>
      <w:rFonts w:cs="Arial"/>
      <w:b/>
      <w:bCs/>
      <w:color w:val="auto"/>
      <w:kern w:val="32"/>
      <w:sz w:val="48"/>
      <w:szCs w:val="44"/>
    </w:rPr>
  </w:style>
  <w:style w:type="paragraph" w:styleId="Heading2">
    <w:name w:val="heading 2"/>
    <w:basedOn w:val="Normal"/>
    <w:next w:val="Normal"/>
    <w:link w:val="Heading2Char"/>
    <w:autoRedefine/>
    <w:uiPriority w:val="9"/>
    <w:qFormat/>
    <w:rsid w:val="005E4F89"/>
    <w:pPr>
      <w:keepNext/>
      <w:spacing w:after="200"/>
      <w:jc w:val="center"/>
      <w:outlineLvl w:val="1"/>
    </w:pPr>
    <w:rPr>
      <w:rFonts w:cs="Arial"/>
      <w:b/>
      <w:bCs/>
      <w:iCs/>
      <w:color w:val="auto"/>
      <w:sz w:val="32"/>
      <w:szCs w:val="28"/>
    </w:rPr>
  </w:style>
  <w:style w:type="paragraph" w:styleId="Heading3">
    <w:name w:val="heading 3"/>
    <w:basedOn w:val="Normal"/>
    <w:next w:val="Normal"/>
    <w:link w:val="Heading3Char"/>
    <w:autoRedefine/>
    <w:uiPriority w:val="9"/>
    <w:qFormat/>
    <w:rsid w:val="008664A6"/>
    <w:pPr>
      <w:keepNext/>
      <w:spacing w:after="200"/>
      <w:ind w:left="737" w:hanging="737"/>
      <w:outlineLvl w:val="2"/>
    </w:pPr>
    <w:rPr>
      <w:rFonts w:eastAsiaTheme="minorHAnsi" w:cs="Arial"/>
      <w:b/>
      <w:bCs/>
      <w:color w:val="auto"/>
      <w:sz w:val="32"/>
      <w:szCs w:val="26"/>
    </w:rPr>
  </w:style>
  <w:style w:type="paragraph" w:styleId="Heading4">
    <w:name w:val="heading 4"/>
    <w:basedOn w:val="Normal"/>
    <w:next w:val="Normal"/>
    <w:link w:val="Heading4Char"/>
    <w:autoRedefine/>
    <w:qFormat/>
    <w:rsid w:val="00986334"/>
    <w:pPr>
      <w:keepNext/>
      <w:spacing w:after="200"/>
      <w:ind w:left="992" w:hanging="992"/>
      <w:outlineLvl w:val="3"/>
    </w:pPr>
    <w:rPr>
      <w:rFonts w:ascii="Times New Roman" w:eastAsiaTheme="minorHAnsi" w:hAnsi="Times New Roman"/>
      <w:b/>
      <w:bCs/>
      <w:color w:val="000000" w:themeColor="text1"/>
      <w:sz w:val="28"/>
      <w:szCs w:val="28"/>
    </w:rPr>
  </w:style>
  <w:style w:type="paragraph" w:styleId="Heading5">
    <w:name w:val="heading 5"/>
    <w:basedOn w:val="Normal"/>
    <w:next w:val="Normal"/>
    <w:link w:val="Heading5Char"/>
    <w:autoRedefine/>
    <w:qFormat/>
    <w:rsid w:val="00986334"/>
    <w:pPr>
      <w:spacing w:after="200"/>
      <w:ind w:left="1106" w:hanging="1106"/>
      <w:outlineLvl w:val="4"/>
    </w:pPr>
    <w:rPr>
      <w:rFonts w:ascii="Times New Roman" w:eastAsiaTheme="minorHAnsi" w:hAnsi="Times New Roman"/>
      <w:b/>
      <w:bCs/>
      <w:color w:val="auto"/>
    </w:rPr>
  </w:style>
  <w:style w:type="paragraph" w:styleId="Heading6">
    <w:name w:val="heading 6"/>
    <w:basedOn w:val="Normal"/>
    <w:next w:val="Normal"/>
    <w:link w:val="Heading6Char"/>
    <w:autoRedefine/>
    <w:rsid w:val="007649D8"/>
    <w:pPr>
      <w:numPr>
        <w:ilvl w:val="5"/>
        <w:numId w:val="3"/>
      </w:numPr>
      <w:spacing w:after="200"/>
      <w:outlineLvl w:val="5"/>
    </w:pPr>
    <w:rPr>
      <w:sz w:val="26"/>
      <w:szCs w:val="20"/>
    </w:rPr>
  </w:style>
  <w:style w:type="paragraph" w:styleId="Heading7">
    <w:name w:val="heading 7"/>
    <w:basedOn w:val="Normal"/>
    <w:next w:val="Normal"/>
    <w:rsid w:val="007649D8"/>
    <w:pPr>
      <w:spacing w:before="240" w:after="60"/>
      <w:outlineLvl w:val="6"/>
    </w:pPr>
    <w:rPr>
      <w:rFonts w:ascii="Times New Roman" w:hAnsi="Times New Roman"/>
      <w:b/>
    </w:rPr>
  </w:style>
  <w:style w:type="paragraph" w:styleId="Heading8">
    <w:name w:val="heading 8"/>
    <w:basedOn w:val="Normal"/>
    <w:next w:val="Normal"/>
    <w:rsid w:val="001B74F2"/>
    <w:pPr>
      <w:numPr>
        <w:ilvl w:val="7"/>
        <w:numId w:val="2"/>
      </w:numPr>
      <w:spacing w:before="240" w:after="60"/>
      <w:outlineLvl w:val="7"/>
    </w:pPr>
    <w:rPr>
      <w:rFonts w:ascii="Times New Roman" w:hAnsi="Times New Roman"/>
      <w:i/>
      <w:iCs/>
    </w:rPr>
  </w:style>
  <w:style w:type="paragraph" w:styleId="Heading9">
    <w:name w:val="heading 9"/>
    <w:basedOn w:val="Normal"/>
    <w:next w:val="Normal"/>
    <w:rsid w:val="001B74F2"/>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ISRTEFOOTER">
    <w:name w:val="DIISRTE FOOTER"/>
    <w:basedOn w:val="Normal"/>
    <w:autoRedefine/>
    <w:locked/>
    <w:rsid w:val="005E18ED"/>
    <w:pPr>
      <w:tabs>
        <w:tab w:val="center" w:pos="4320"/>
        <w:tab w:val="right" w:pos="8640"/>
      </w:tabs>
      <w:spacing w:line="360" w:lineRule="auto"/>
      <w:ind w:right="360"/>
      <w:jc w:val="right"/>
    </w:pPr>
    <w:rPr>
      <w:sz w:val="16"/>
    </w:rPr>
  </w:style>
  <w:style w:type="paragraph" w:styleId="BodyTextIndent2">
    <w:name w:val="Body Text Indent 2"/>
    <w:basedOn w:val="Normal"/>
    <w:semiHidden/>
    <w:rsid w:val="00D317E1"/>
    <w:pPr>
      <w:spacing w:after="120" w:line="480" w:lineRule="auto"/>
      <w:ind w:left="283"/>
    </w:pPr>
  </w:style>
  <w:style w:type="paragraph" w:customStyle="1" w:styleId="CSMsubheadings">
    <w:name w:val="CSM sub headings"/>
    <w:basedOn w:val="Normal"/>
    <w:semiHidden/>
    <w:locked/>
    <w:rsid w:val="00D31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pPr>
    <w:rPr>
      <w:rFonts w:ascii="Helvetica" w:hAnsi="Helvetica"/>
      <w:b/>
      <w:color w:val="56678E"/>
      <w:lang w:val="en-US"/>
    </w:rPr>
  </w:style>
  <w:style w:type="paragraph" w:customStyle="1" w:styleId="TOC">
    <w:name w:val="TOC"/>
    <w:basedOn w:val="Heading2"/>
    <w:rsid w:val="001B74F2"/>
  </w:style>
  <w:style w:type="table" w:customStyle="1" w:styleId="DIISRTETableThree">
    <w:name w:val="DIISRTE Table Thre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tblStylePr w:type="lastRow">
      <w:rPr>
        <w:rFonts w:ascii="Arial" w:hAnsi="Arial"/>
        <w:b/>
        <w:sz w:val="20"/>
      </w:rPr>
    </w:tblStylePr>
    <w:tblStylePr w:type="firstCol">
      <w:rPr>
        <w:rFonts w:ascii="Arial" w:hAnsi="Arial"/>
        <w:b/>
        <w:sz w:val="20"/>
      </w:rPr>
    </w:tblStylePr>
  </w:style>
  <w:style w:type="table" w:customStyle="1" w:styleId="DIISRTETableTwo">
    <w:name w:val="DIISRTE Table Two"/>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Arial" w:hAnsi="Arial"/>
        <w:b/>
        <w:sz w:val="20"/>
      </w:rPr>
    </w:tblStylePr>
    <w:tblStylePr w:type="firstCol">
      <w:rPr>
        <w:rFonts w:ascii="Arial" w:hAnsi="Arial"/>
        <w:b/>
        <w:sz w:val="20"/>
      </w:rPr>
    </w:tblStylePr>
    <w:tblStylePr w:type="lastCol">
      <w:rPr>
        <w:b/>
      </w:rPr>
      <w:tblPr/>
      <w:tcPr>
        <w:tcBorders>
          <w:top w:val="nil"/>
          <w:left w:val="nil"/>
          <w:bottom w:val="nil"/>
          <w:right w:val="nil"/>
          <w:insideH w:val="nil"/>
          <w:insideV w:val="nil"/>
          <w:tl2br w:val="nil"/>
          <w:tr2bl w:val="nil"/>
        </w:tcBorders>
      </w:tcPr>
    </w:tblStylePr>
  </w:style>
  <w:style w:type="paragraph" w:customStyle="1" w:styleId="FMHeader">
    <w:name w:val="FM Header"/>
    <w:semiHidden/>
    <w:locked/>
    <w:rsid w:val="00D317E1"/>
    <w:pPr>
      <w:spacing w:before="120" w:after="120" w:line="360" w:lineRule="auto"/>
    </w:pPr>
    <w:rPr>
      <w:rFonts w:ascii="Arial" w:hAnsi="Arial"/>
      <w:b/>
      <w:color w:val="165387"/>
      <w:sz w:val="40"/>
      <w:szCs w:val="24"/>
      <w:lang w:eastAsia="en-US"/>
    </w:rPr>
  </w:style>
  <w:style w:type="paragraph" w:customStyle="1" w:styleId="PilbrowBodyText">
    <w:name w:val="Pilbrow Body Text"/>
    <w:semiHidden/>
    <w:locked/>
    <w:rsid w:val="00D317E1"/>
    <w:pPr>
      <w:spacing w:before="120" w:after="120" w:line="360" w:lineRule="auto"/>
      <w:ind w:left="-425" w:right="-204"/>
    </w:pPr>
    <w:rPr>
      <w:rFonts w:ascii="Arial" w:hAnsi="Arial"/>
      <w:b/>
      <w:color w:val="D35200"/>
      <w:sz w:val="28"/>
      <w:szCs w:val="24"/>
      <w:lang w:eastAsia="en-US"/>
    </w:rPr>
  </w:style>
  <w:style w:type="paragraph" w:customStyle="1" w:styleId="PilbrowHeaderCover">
    <w:name w:val="Pilbrow Header Cover"/>
    <w:semiHidden/>
    <w:locked/>
    <w:rsid w:val="00D317E1"/>
    <w:pPr>
      <w:spacing w:before="360" w:after="360"/>
      <w:ind w:left="-425" w:right="-204"/>
    </w:pPr>
    <w:rPr>
      <w:rFonts w:ascii="Arial" w:hAnsi="Arial"/>
      <w:b/>
      <w:color w:val="D1530B"/>
      <w:sz w:val="48"/>
      <w:szCs w:val="24"/>
      <w:lang w:eastAsia="en-US"/>
    </w:rPr>
  </w:style>
  <w:style w:type="paragraph" w:customStyle="1" w:styleId="PilbrowHeaderOne">
    <w:name w:val="Pilbrow Header One"/>
    <w:next w:val="PilbrowBodyText"/>
    <w:semiHidden/>
    <w:locked/>
    <w:rsid w:val="00D317E1"/>
    <w:rPr>
      <w:rFonts w:ascii="Arial" w:hAnsi="Arial"/>
      <w:b/>
      <w:color w:val="D35200"/>
      <w:sz w:val="32"/>
      <w:szCs w:val="24"/>
      <w:lang w:eastAsia="en-US"/>
    </w:rPr>
  </w:style>
  <w:style w:type="paragraph" w:customStyle="1" w:styleId="PilbrowHeaderOnenotab">
    <w:name w:val="Pilbrow Header One (no tab)"/>
    <w:semiHidden/>
    <w:locked/>
    <w:rsid w:val="00D317E1"/>
    <w:rPr>
      <w:rFonts w:ascii="Arial" w:hAnsi="Arial"/>
      <w:b/>
      <w:color w:val="D35200"/>
      <w:sz w:val="32"/>
      <w:szCs w:val="24"/>
      <w:lang w:eastAsia="en-US"/>
    </w:rPr>
  </w:style>
  <w:style w:type="paragraph" w:customStyle="1" w:styleId="PilbrowHeaderTwo">
    <w:name w:val="Pilbrow Header Two"/>
    <w:basedOn w:val="PilbrowBodyText"/>
    <w:semiHidden/>
    <w:locked/>
    <w:rsid w:val="00D317E1"/>
    <w:rPr>
      <w:color w:val="333333"/>
    </w:rPr>
  </w:style>
  <w:style w:type="paragraph" w:customStyle="1" w:styleId="PilbrowSubHeaderCover">
    <w:name w:val="Pilbrow Sub Header Cover"/>
    <w:basedOn w:val="PilbrowHeaderCover"/>
    <w:semiHidden/>
    <w:locked/>
    <w:rsid w:val="00D317E1"/>
    <w:rPr>
      <w:color w:val="333333"/>
      <w:sz w:val="36"/>
    </w:rPr>
  </w:style>
  <w:style w:type="paragraph" w:customStyle="1" w:styleId="PlibrowHeaderOnenotab">
    <w:name w:val="Plibrow Header One (no tab)"/>
    <w:basedOn w:val="PilbrowBodyText"/>
    <w:semiHidden/>
    <w:locked/>
    <w:rsid w:val="00D317E1"/>
    <w:pPr>
      <w:ind w:left="0"/>
    </w:pPr>
    <w:rPr>
      <w:sz w:val="32"/>
    </w:rPr>
  </w:style>
  <w:style w:type="paragraph" w:styleId="Header">
    <w:name w:val="header"/>
    <w:basedOn w:val="Normal"/>
    <w:link w:val="HeaderChar"/>
    <w:autoRedefine/>
    <w:uiPriority w:val="99"/>
    <w:rsid w:val="00226D9E"/>
    <w:pPr>
      <w:tabs>
        <w:tab w:val="center" w:pos="4320"/>
        <w:tab w:val="right" w:pos="8640"/>
      </w:tabs>
    </w:pPr>
    <w:rPr>
      <w:sz w:val="18"/>
    </w:rPr>
  </w:style>
  <w:style w:type="paragraph" w:styleId="TOC1">
    <w:name w:val="toc 1"/>
    <w:basedOn w:val="Normal"/>
    <w:next w:val="Normal"/>
    <w:autoRedefine/>
    <w:uiPriority w:val="39"/>
    <w:rsid w:val="00B8625F"/>
  </w:style>
  <w:style w:type="paragraph" w:styleId="ListBullet">
    <w:name w:val="List Bullet"/>
    <w:basedOn w:val="Normal"/>
    <w:autoRedefine/>
    <w:uiPriority w:val="99"/>
    <w:rsid w:val="006B3E4D"/>
    <w:pPr>
      <w:numPr>
        <w:numId w:val="1"/>
      </w:numPr>
      <w:tabs>
        <w:tab w:val="clear" w:pos="360"/>
      </w:tabs>
      <w:spacing w:after="200" w:line="240" w:lineRule="auto"/>
      <w:ind w:left="709"/>
    </w:pPr>
    <w:rPr>
      <w:color w:val="auto"/>
      <w:szCs w:val="20"/>
    </w:rPr>
  </w:style>
  <w:style w:type="paragraph" w:styleId="ListNumber">
    <w:name w:val="List Number"/>
    <w:basedOn w:val="Bodytext-a"/>
    <w:rsid w:val="00A85440"/>
    <w:pPr>
      <w:numPr>
        <w:numId w:val="8"/>
      </w:numPr>
    </w:pPr>
    <w:rPr>
      <w:i w:val="0"/>
    </w:rPr>
  </w:style>
  <w:style w:type="table" w:customStyle="1" w:styleId="DIISRTETableOne">
    <w:name w:val="DIISRTE Table On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Arial" w:hAnsi="Arial"/>
        <w:b/>
        <w:sz w:val="20"/>
      </w:rPr>
    </w:tblStylePr>
    <w:tblStylePr w:type="firstCol">
      <w:rPr>
        <w:rFonts w:ascii="Arial" w:hAnsi="Arial"/>
        <w:b/>
        <w:sz w:val="20"/>
      </w:rPr>
    </w:tblStylePr>
  </w:style>
  <w:style w:type="paragraph" w:styleId="TOC2">
    <w:name w:val="toc 2"/>
    <w:basedOn w:val="Normal"/>
    <w:next w:val="Normal"/>
    <w:autoRedefine/>
    <w:uiPriority w:val="39"/>
    <w:rsid w:val="00181C19"/>
    <w:pPr>
      <w:ind w:left="240"/>
    </w:pPr>
  </w:style>
  <w:style w:type="paragraph" w:styleId="TOC3">
    <w:name w:val="toc 3"/>
    <w:basedOn w:val="Normal"/>
    <w:next w:val="Normal"/>
    <w:autoRedefine/>
    <w:uiPriority w:val="39"/>
    <w:rsid w:val="00F33C63"/>
    <w:pPr>
      <w:tabs>
        <w:tab w:val="left" w:pos="1200"/>
        <w:tab w:val="right" w:leader="dot" w:pos="8296"/>
      </w:tabs>
      <w:ind w:left="1134" w:hanging="654"/>
    </w:pPr>
  </w:style>
  <w:style w:type="paragraph" w:styleId="TOC4">
    <w:name w:val="toc 4"/>
    <w:basedOn w:val="Normal"/>
    <w:next w:val="Normal"/>
    <w:autoRedefine/>
    <w:uiPriority w:val="39"/>
    <w:rsid w:val="00181C19"/>
    <w:pPr>
      <w:ind w:left="720"/>
    </w:pPr>
  </w:style>
  <w:style w:type="paragraph" w:styleId="TOC5">
    <w:name w:val="toc 5"/>
    <w:basedOn w:val="Normal"/>
    <w:next w:val="Normal"/>
    <w:autoRedefine/>
    <w:uiPriority w:val="39"/>
    <w:rsid w:val="00181C19"/>
    <w:pPr>
      <w:ind w:left="960"/>
    </w:pPr>
  </w:style>
  <w:style w:type="character" w:styleId="Hyperlink">
    <w:name w:val="Hyperlink"/>
    <w:uiPriority w:val="99"/>
    <w:rsid w:val="005975A8"/>
    <w:rPr>
      <w:color w:val="0000FF"/>
      <w:u w:val="single"/>
    </w:rPr>
  </w:style>
  <w:style w:type="character" w:styleId="PageNumber">
    <w:name w:val="page number"/>
    <w:rsid w:val="0094658C"/>
    <w:rPr>
      <w:rFonts w:ascii="Arial" w:hAnsi="Arial"/>
      <w:sz w:val="16"/>
    </w:rPr>
  </w:style>
  <w:style w:type="paragraph" w:styleId="HTMLAddress">
    <w:name w:val="HTML Address"/>
    <w:basedOn w:val="Normal"/>
    <w:rsid w:val="00924A08"/>
    <w:rPr>
      <w:i/>
      <w:iCs/>
    </w:rPr>
  </w:style>
  <w:style w:type="character" w:styleId="Strong">
    <w:name w:val="Strong"/>
    <w:uiPriority w:val="22"/>
    <w:qFormat/>
    <w:rsid w:val="006A3354"/>
    <w:rPr>
      <w:rFonts w:ascii="Arial" w:hAnsi="Arial" w:cs="Arial"/>
      <w:b/>
      <w:color w:val="auto"/>
      <w:sz w:val="24"/>
    </w:rPr>
  </w:style>
  <w:style w:type="character" w:styleId="Emphasis">
    <w:name w:val="Emphasis"/>
    <w:uiPriority w:val="20"/>
    <w:qFormat/>
    <w:rsid w:val="006B3E4D"/>
    <w:rPr>
      <w:rFonts w:ascii="Arial" w:eastAsiaTheme="minorHAnsi" w:hAnsi="Arial"/>
      <w:i/>
      <w:sz w:val="24"/>
      <w:szCs w:val="20"/>
    </w:rPr>
  </w:style>
  <w:style w:type="paragraph" w:styleId="BodyTextIndent">
    <w:name w:val="Body Text Indent"/>
    <w:basedOn w:val="Normal"/>
    <w:next w:val="Normal"/>
    <w:link w:val="BodyTextIndentChar"/>
    <w:autoRedefine/>
    <w:rsid w:val="009866F9"/>
    <w:pPr>
      <w:spacing w:after="120"/>
      <w:ind w:left="360"/>
    </w:pPr>
  </w:style>
  <w:style w:type="paragraph" w:styleId="Footer">
    <w:name w:val="footer"/>
    <w:basedOn w:val="Normal"/>
    <w:link w:val="FooterChar"/>
    <w:uiPriority w:val="99"/>
    <w:rsid w:val="00226D9E"/>
    <w:pPr>
      <w:tabs>
        <w:tab w:val="center" w:pos="4320"/>
        <w:tab w:val="right" w:pos="8640"/>
      </w:tabs>
    </w:pPr>
    <w:rPr>
      <w:sz w:val="18"/>
    </w:rPr>
  </w:style>
  <w:style w:type="paragraph" w:styleId="TOC6">
    <w:name w:val="toc 6"/>
    <w:basedOn w:val="Normal"/>
    <w:next w:val="Normal"/>
    <w:autoRedefine/>
    <w:uiPriority w:val="39"/>
    <w:rsid w:val="00946954"/>
    <w:pPr>
      <w:ind w:left="1200"/>
    </w:pPr>
  </w:style>
  <w:style w:type="paragraph" w:customStyle="1" w:styleId="ListAlphabet">
    <w:name w:val="List Alphabet"/>
    <w:basedOn w:val="ListNumber"/>
    <w:qFormat/>
    <w:rsid w:val="00A85440"/>
    <w:pPr>
      <w:numPr>
        <w:numId w:val="9"/>
      </w:numPr>
    </w:pPr>
  </w:style>
  <w:style w:type="paragraph" w:styleId="BodyText">
    <w:name w:val="Body Text"/>
    <w:basedOn w:val="Normal"/>
    <w:link w:val="BodyTextChar"/>
    <w:autoRedefine/>
    <w:uiPriority w:val="99"/>
    <w:qFormat/>
    <w:rsid w:val="002D34D5"/>
    <w:pPr>
      <w:spacing w:after="200"/>
    </w:pPr>
    <w:rPr>
      <w:rFonts w:eastAsiaTheme="minorHAnsi"/>
      <w:color w:val="auto"/>
      <w:szCs w:val="20"/>
    </w:rPr>
  </w:style>
  <w:style w:type="paragraph" w:styleId="Caption">
    <w:name w:val="caption"/>
    <w:basedOn w:val="Normal"/>
    <w:next w:val="Normal"/>
    <w:qFormat/>
    <w:rsid w:val="00226D9E"/>
    <w:pPr>
      <w:spacing w:after="120"/>
    </w:pPr>
    <w:rPr>
      <w:rFonts w:eastAsia="MS Mincho"/>
      <w:b/>
      <w:color w:val="auto"/>
      <w:sz w:val="18"/>
      <w:lang w:val="en-US"/>
    </w:rPr>
  </w:style>
  <w:style w:type="paragraph" w:customStyle="1" w:styleId="TitlePage">
    <w:name w:val="TitlePage"/>
    <w:basedOn w:val="Heading1"/>
    <w:rsid w:val="006A5147"/>
    <w:pPr>
      <w:numPr>
        <w:numId w:val="0"/>
      </w:numPr>
      <w:spacing w:after="0"/>
    </w:pPr>
    <w:rPr>
      <w:szCs w:val="48"/>
    </w:rPr>
  </w:style>
  <w:style w:type="character" w:styleId="CommentReference">
    <w:name w:val="annotation reference"/>
    <w:basedOn w:val="DefaultParagraphFont"/>
    <w:uiPriority w:val="99"/>
    <w:rsid w:val="00D73BDC"/>
    <w:rPr>
      <w:sz w:val="16"/>
      <w:szCs w:val="16"/>
    </w:rPr>
  </w:style>
  <w:style w:type="paragraph" w:styleId="CommentSubject">
    <w:name w:val="annotation subject"/>
    <w:basedOn w:val="Normal"/>
    <w:link w:val="CommentSubjectChar"/>
    <w:uiPriority w:val="99"/>
    <w:rsid w:val="004E6EF0"/>
    <w:pPr>
      <w:spacing w:line="240" w:lineRule="auto"/>
    </w:pPr>
    <w:rPr>
      <w:b/>
      <w:bCs/>
      <w:sz w:val="20"/>
      <w:szCs w:val="20"/>
    </w:rPr>
  </w:style>
  <w:style w:type="character" w:customStyle="1" w:styleId="CommentSubjectChar">
    <w:name w:val="Comment Subject Char"/>
    <w:basedOn w:val="DefaultParagraphFont"/>
    <w:link w:val="CommentSubject"/>
    <w:uiPriority w:val="99"/>
    <w:rsid w:val="004E6EF0"/>
    <w:rPr>
      <w:rFonts w:ascii="Arial" w:hAnsi="Arial"/>
      <w:b/>
      <w:bCs/>
      <w:color w:val="333333"/>
      <w:lang w:eastAsia="en-US"/>
    </w:rPr>
  </w:style>
  <w:style w:type="character" w:customStyle="1" w:styleId="Heading2Char">
    <w:name w:val="Heading 2 Char"/>
    <w:basedOn w:val="DefaultParagraphFont"/>
    <w:link w:val="Heading2"/>
    <w:uiPriority w:val="9"/>
    <w:rsid w:val="005E4F89"/>
    <w:rPr>
      <w:rFonts w:ascii="Arial" w:hAnsi="Arial" w:cs="Arial"/>
      <w:b/>
      <w:bCs/>
      <w:iCs/>
      <w:sz w:val="32"/>
      <w:szCs w:val="28"/>
      <w:lang w:eastAsia="en-US"/>
    </w:rPr>
  </w:style>
  <w:style w:type="character" w:customStyle="1" w:styleId="Heading3Char">
    <w:name w:val="Heading 3 Char"/>
    <w:basedOn w:val="DefaultParagraphFont"/>
    <w:link w:val="Heading3"/>
    <w:uiPriority w:val="9"/>
    <w:rsid w:val="008664A6"/>
    <w:rPr>
      <w:rFonts w:ascii="Arial" w:eastAsiaTheme="minorHAnsi" w:hAnsi="Arial" w:cs="Arial"/>
      <w:b/>
      <w:bCs/>
      <w:sz w:val="32"/>
      <w:szCs w:val="26"/>
      <w:lang w:eastAsia="en-US"/>
    </w:rPr>
  </w:style>
  <w:style w:type="numbering" w:customStyle="1" w:styleId="NoList1">
    <w:name w:val="No List1"/>
    <w:next w:val="NoList"/>
    <w:uiPriority w:val="99"/>
    <w:semiHidden/>
    <w:unhideWhenUsed/>
    <w:rsid w:val="00827E52"/>
  </w:style>
  <w:style w:type="character" w:customStyle="1" w:styleId="BodyTextChar">
    <w:name w:val="Body Text Char"/>
    <w:basedOn w:val="DefaultParagraphFont"/>
    <w:link w:val="BodyText"/>
    <w:uiPriority w:val="99"/>
    <w:rsid w:val="002D34D5"/>
    <w:rPr>
      <w:rFonts w:ascii="Arial" w:eastAsiaTheme="minorHAnsi" w:hAnsi="Arial"/>
      <w:sz w:val="24"/>
      <w:lang w:eastAsia="en-US"/>
    </w:rPr>
  </w:style>
  <w:style w:type="paragraph" w:styleId="FootnoteText">
    <w:name w:val="footnote text"/>
    <w:basedOn w:val="Normal"/>
    <w:link w:val="FootnoteTextChar"/>
    <w:uiPriority w:val="99"/>
    <w:unhideWhenUsed/>
    <w:rsid w:val="00827E52"/>
    <w:pPr>
      <w:spacing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827E52"/>
    <w:rPr>
      <w:rFonts w:asciiTheme="minorHAnsi" w:eastAsiaTheme="minorHAnsi" w:hAnsiTheme="minorHAnsi" w:cstheme="minorBidi"/>
      <w:lang w:eastAsia="en-US"/>
    </w:rPr>
  </w:style>
  <w:style w:type="character" w:styleId="FootnoteReference">
    <w:name w:val="footnote reference"/>
    <w:basedOn w:val="DefaultParagraphFont"/>
    <w:unhideWhenUsed/>
    <w:rsid w:val="00827E52"/>
    <w:rPr>
      <w:vertAlign w:val="superscript"/>
    </w:rPr>
  </w:style>
  <w:style w:type="table" w:styleId="TableGrid">
    <w:name w:val="Table Grid"/>
    <w:basedOn w:val="TableNormal"/>
    <w:uiPriority w:val="59"/>
    <w:rsid w:val="00827E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7E52"/>
    <w:pPr>
      <w:autoSpaceDE w:val="0"/>
      <w:autoSpaceDN w:val="0"/>
      <w:adjustRightInd w:val="0"/>
    </w:pPr>
    <w:rPr>
      <w:rFonts w:ascii="Gotham Medium" w:hAnsi="Gotham Medium" w:cs="Gotham Medium"/>
      <w:color w:val="000000"/>
      <w:sz w:val="24"/>
      <w:szCs w:val="24"/>
      <w:lang w:eastAsia="en-US"/>
    </w:rPr>
  </w:style>
  <w:style w:type="paragraph" w:customStyle="1" w:styleId="Pa4">
    <w:name w:val="Pa4"/>
    <w:basedOn w:val="Default"/>
    <w:next w:val="Default"/>
    <w:uiPriority w:val="99"/>
    <w:rsid w:val="00827E52"/>
    <w:pPr>
      <w:spacing w:line="221" w:lineRule="atLeast"/>
    </w:pPr>
    <w:rPr>
      <w:rFonts w:ascii="Gotham Narrow Light" w:hAnsi="Gotham Narrow Light" w:cs="Times New Roman"/>
      <w:color w:val="auto"/>
    </w:rPr>
  </w:style>
  <w:style w:type="character" w:customStyle="1" w:styleId="FooterChar">
    <w:name w:val="Footer Char"/>
    <w:basedOn w:val="DefaultParagraphFont"/>
    <w:link w:val="Footer"/>
    <w:uiPriority w:val="99"/>
    <w:rsid w:val="00827E52"/>
    <w:rPr>
      <w:rFonts w:ascii="Arial" w:hAnsi="Arial"/>
      <w:color w:val="333333"/>
      <w:sz w:val="18"/>
      <w:szCs w:val="24"/>
      <w:lang w:eastAsia="en-US"/>
    </w:rPr>
  </w:style>
  <w:style w:type="character" w:customStyle="1" w:styleId="HeaderChar">
    <w:name w:val="Header Char"/>
    <w:basedOn w:val="DefaultParagraphFont"/>
    <w:link w:val="Header"/>
    <w:uiPriority w:val="99"/>
    <w:rsid w:val="00827E52"/>
    <w:rPr>
      <w:rFonts w:ascii="Arial" w:hAnsi="Arial"/>
      <w:color w:val="333333"/>
      <w:sz w:val="18"/>
      <w:szCs w:val="24"/>
      <w:lang w:eastAsia="en-US"/>
    </w:rPr>
  </w:style>
  <w:style w:type="paragraph" w:styleId="Revision">
    <w:name w:val="Revision"/>
    <w:hidden/>
    <w:uiPriority w:val="99"/>
    <w:semiHidden/>
    <w:rsid w:val="00827E52"/>
    <w:rPr>
      <w:rFonts w:asciiTheme="minorHAnsi" w:eastAsiaTheme="minorHAnsi" w:hAnsiTheme="minorHAnsi" w:cstheme="minorBidi"/>
      <w:sz w:val="22"/>
      <w:szCs w:val="22"/>
      <w:lang w:eastAsia="en-US"/>
    </w:rPr>
  </w:style>
  <w:style w:type="paragraph" w:customStyle="1" w:styleId="Bodytext-a">
    <w:name w:val="Body text - a"/>
    <w:aliases w:val="b,c"/>
    <w:basedOn w:val="Normal"/>
    <w:qFormat/>
    <w:rsid w:val="00A85440"/>
    <w:pPr>
      <w:tabs>
        <w:tab w:val="left" w:pos="851"/>
      </w:tabs>
      <w:spacing w:before="120" w:after="120" w:line="240" w:lineRule="auto"/>
      <w:ind w:left="567"/>
    </w:pPr>
    <w:rPr>
      <w:rFonts w:eastAsiaTheme="minorHAnsi" w:cs="Arial"/>
      <w:i/>
      <w:color w:val="auto"/>
    </w:rPr>
  </w:style>
  <w:style w:type="paragraph" w:customStyle="1" w:styleId="Bodytext-alist">
    <w:name w:val="Body text - a) list"/>
    <w:basedOn w:val="Normal"/>
    <w:qFormat/>
    <w:rsid w:val="0039643B"/>
    <w:pPr>
      <w:numPr>
        <w:numId w:val="4"/>
      </w:numPr>
      <w:spacing w:after="120" w:line="240" w:lineRule="auto"/>
    </w:pPr>
    <w:rPr>
      <w:rFonts w:eastAsia="Arial" w:cs="Arial"/>
      <w:color w:val="3B3433"/>
      <w:szCs w:val="20"/>
    </w:rPr>
  </w:style>
  <w:style w:type="character" w:customStyle="1" w:styleId="Heading4Char">
    <w:name w:val="Heading 4 Char"/>
    <w:basedOn w:val="DefaultParagraphFont"/>
    <w:link w:val="Heading4"/>
    <w:rsid w:val="00986334"/>
    <w:rPr>
      <w:rFonts w:eastAsiaTheme="minorHAnsi"/>
      <w:b/>
      <w:bCs/>
      <w:color w:val="000000" w:themeColor="text1"/>
      <w:sz w:val="28"/>
      <w:szCs w:val="28"/>
      <w:lang w:eastAsia="en-US"/>
    </w:rPr>
  </w:style>
  <w:style w:type="numbering" w:customStyle="1" w:styleId="NoList2">
    <w:name w:val="No List2"/>
    <w:next w:val="NoList"/>
    <w:uiPriority w:val="99"/>
    <w:semiHidden/>
    <w:unhideWhenUsed/>
    <w:rsid w:val="00C959E1"/>
  </w:style>
  <w:style w:type="character" w:customStyle="1" w:styleId="Heading1Char">
    <w:name w:val="Heading 1 Char"/>
    <w:basedOn w:val="DefaultParagraphFont"/>
    <w:link w:val="Heading1"/>
    <w:rsid w:val="005E4F89"/>
    <w:rPr>
      <w:rFonts w:ascii="Arial" w:hAnsi="Arial" w:cs="Arial"/>
      <w:b/>
      <w:bCs/>
      <w:kern w:val="32"/>
      <w:sz w:val="48"/>
      <w:szCs w:val="44"/>
      <w:lang w:eastAsia="en-US"/>
    </w:rPr>
  </w:style>
  <w:style w:type="character" w:customStyle="1" w:styleId="Heading5Char">
    <w:name w:val="Heading 5 Char"/>
    <w:basedOn w:val="DefaultParagraphFont"/>
    <w:link w:val="Heading5"/>
    <w:rsid w:val="00986334"/>
    <w:rPr>
      <w:rFonts w:eastAsiaTheme="minorHAnsi"/>
      <w:b/>
      <w:bCs/>
      <w:sz w:val="24"/>
      <w:szCs w:val="24"/>
      <w:lang w:eastAsia="en-US"/>
    </w:rPr>
  </w:style>
  <w:style w:type="character" w:customStyle="1" w:styleId="Heading6Char">
    <w:name w:val="Heading 6 Char"/>
    <w:basedOn w:val="DefaultParagraphFont"/>
    <w:link w:val="Heading6"/>
    <w:rsid w:val="00C959E1"/>
    <w:rPr>
      <w:rFonts w:ascii="Arial" w:hAnsi="Arial"/>
      <w:color w:val="333333"/>
      <w:sz w:val="26"/>
      <w:lang w:eastAsia="en-US"/>
    </w:rPr>
  </w:style>
  <w:style w:type="table" w:customStyle="1" w:styleId="TableGrid1">
    <w:name w:val="Table Grid1"/>
    <w:basedOn w:val="TableNormal"/>
    <w:next w:val="TableGrid"/>
    <w:rsid w:val="00C95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5816A1"/>
    <w:rPr>
      <w:b/>
      <w:bCs/>
      <w:i/>
      <w:iCs/>
      <w:color w:val="4F81BD" w:themeColor="accent1"/>
    </w:rPr>
  </w:style>
  <w:style w:type="paragraph" w:customStyle="1" w:styleId="captions">
    <w:name w:val="captions"/>
    <w:basedOn w:val="Normal"/>
    <w:qFormat/>
    <w:rsid w:val="00C959E1"/>
    <w:pPr>
      <w:spacing w:line="240" w:lineRule="auto"/>
    </w:pPr>
    <w:rPr>
      <w:rFonts w:cs="Arial"/>
      <w:color w:val="auto"/>
      <w:sz w:val="20"/>
      <w:szCs w:val="20"/>
      <w:lang w:eastAsia="en-AU"/>
    </w:rPr>
  </w:style>
  <w:style w:type="character" w:customStyle="1" w:styleId="BodyTextIndentChar">
    <w:name w:val="Body Text Indent Char"/>
    <w:basedOn w:val="DefaultParagraphFont"/>
    <w:link w:val="BodyTextIndent"/>
    <w:rsid w:val="005816A1"/>
    <w:rPr>
      <w:rFonts w:ascii="Arial" w:hAnsi="Arial"/>
      <w:color w:val="333333"/>
      <w:sz w:val="24"/>
      <w:szCs w:val="24"/>
      <w:lang w:eastAsia="en-US"/>
    </w:rPr>
  </w:style>
  <w:style w:type="paragraph" w:styleId="ListBullet2">
    <w:name w:val="List Bullet 2"/>
    <w:basedOn w:val="Normal"/>
    <w:autoRedefine/>
    <w:rsid w:val="00401ADC"/>
    <w:pPr>
      <w:numPr>
        <w:numId w:val="20"/>
      </w:numPr>
      <w:spacing w:before="240" w:after="120" w:line="276" w:lineRule="auto"/>
    </w:pPr>
    <w:rPr>
      <w:rFonts w:cs="Arial"/>
      <w:b/>
      <w:color w:val="007FAA"/>
      <w:lang w:eastAsia="en-AU"/>
    </w:rPr>
  </w:style>
  <w:style w:type="paragraph" w:styleId="ListBullet3">
    <w:name w:val="List Bullet 3"/>
    <w:basedOn w:val="Normal"/>
    <w:rsid w:val="00401ADC"/>
    <w:pPr>
      <w:numPr>
        <w:numId w:val="19"/>
      </w:numPr>
      <w:spacing w:after="120" w:line="276" w:lineRule="auto"/>
    </w:pPr>
    <w:rPr>
      <w:rFonts w:cs="Arial"/>
      <w:b/>
      <w:color w:val="008000"/>
      <w:lang w:eastAsia="en-AU"/>
    </w:rPr>
  </w:style>
  <w:style w:type="numbering" w:customStyle="1" w:styleId="NoList3">
    <w:name w:val="No List3"/>
    <w:next w:val="NoList"/>
    <w:uiPriority w:val="99"/>
    <w:semiHidden/>
    <w:unhideWhenUsed/>
    <w:rsid w:val="00BE4F3F"/>
  </w:style>
  <w:style w:type="table" w:customStyle="1" w:styleId="TableGrid2">
    <w:name w:val="Table Grid2"/>
    <w:basedOn w:val="TableNormal"/>
    <w:next w:val="TableGrid"/>
    <w:rsid w:val="004E6EF0"/>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2">
    <w:name w:val="Title Page2"/>
    <w:basedOn w:val="TitlePage"/>
    <w:qFormat/>
    <w:rsid w:val="006A5147"/>
    <w:pPr>
      <w:ind w:left="432" w:hanging="432"/>
    </w:pPr>
    <w:rPr>
      <w:sz w:val="28"/>
      <w:szCs w:val="28"/>
    </w:rPr>
  </w:style>
  <w:style w:type="table" w:customStyle="1" w:styleId="TableGrid3">
    <w:name w:val="Table Grid3"/>
    <w:basedOn w:val="TableNormal"/>
    <w:next w:val="TableGrid"/>
    <w:uiPriority w:val="59"/>
    <w:rsid w:val="00BE4F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4F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ListBullet"/>
    <w:rsid w:val="004502D0"/>
    <w:rPr>
      <w:rFonts w:eastAsiaTheme="minorHAnsi"/>
    </w:rPr>
  </w:style>
  <w:style w:type="numbering" w:customStyle="1" w:styleId="NoList4">
    <w:name w:val="No List4"/>
    <w:next w:val="NoList"/>
    <w:uiPriority w:val="99"/>
    <w:semiHidden/>
    <w:unhideWhenUsed/>
    <w:rsid w:val="00422A90"/>
  </w:style>
  <w:style w:type="paragraph" w:customStyle="1" w:styleId="BodyText2">
    <w:name w:val="Body Text2"/>
    <w:basedOn w:val="BodyText"/>
    <w:qFormat/>
    <w:rsid w:val="00306DAD"/>
    <w:pPr>
      <w:spacing w:after="0"/>
    </w:p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color w:val="333333"/>
      <w:lang w:eastAsia="en-US"/>
    </w:rPr>
  </w:style>
  <w:style w:type="paragraph" w:styleId="BalloonText">
    <w:name w:val="Balloon Text"/>
    <w:basedOn w:val="Normal"/>
    <w:link w:val="BalloonTextChar"/>
    <w:uiPriority w:val="99"/>
    <w:rsid w:val="008B79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B79A4"/>
    <w:rPr>
      <w:rFonts w:ascii="Tahoma" w:hAnsi="Tahoma" w:cs="Tahoma"/>
      <w:color w:val="333333"/>
      <w:sz w:val="16"/>
      <w:szCs w:val="16"/>
      <w:lang w:eastAsia="en-US"/>
    </w:rPr>
  </w:style>
  <w:style w:type="paragraph" w:customStyle="1" w:styleId="Heading3Italic">
    <w:name w:val="Heading 3 Italic"/>
    <w:basedOn w:val="Normal"/>
    <w:qFormat/>
    <w:rsid w:val="00D53150"/>
    <w:pPr>
      <w:outlineLvl w:val="2"/>
    </w:pPr>
    <w:rPr>
      <w:b/>
      <w:i/>
      <w:color w:val="auto"/>
    </w:rPr>
  </w:style>
  <w:style w:type="paragraph" w:customStyle="1" w:styleId="Heading4Recommendation">
    <w:name w:val="Heading 4 Recommendation"/>
    <w:basedOn w:val="Normal"/>
    <w:qFormat/>
    <w:rsid w:val="00D53150"/>
    <w:pPr>
      <w:spacing w:before="240" w:after="120" w:line="240" w:lineRule="auto"/>
      <w:outlineLvl w:val="3"/>
    </w:pPr>
    <w:rPr>
      <w:b/>
      <w:color w:val="auto"/>
    </w:rPr>
  </w:style>
  <w:style w:type="paragraph" w:customStyle="1" w:styleId="Heading5alphabet">
    <w:name w:val="Heading 5 alphabet"/>
    <w:basedOn w:val="BodyText"/>
    <w:qFormat/>
    <w:rsid w:val="008A7192"/>
    <w:pPr>
      <w:outlineLvl w:val="4"/>
    </w:pPr>
  </w:style>
  <w:style w:type="paragraph" w:customStyle="1" w:styleId="Heading5allcaps">
    <w:name w:val="Heading 5 all caps"/>
    <w:basedOn w:val="BodyText"/>
    <w:qFormat/>
    <w:rsid w:val="00914F9F"/>
    <w:pPr>
      <w:outlineLvl w:val="4"/>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toc 1" w:uiPriority="39"/>
    <w:lsdException w:name="toc 2" w:uiPriority="39"/>
    <w:lsdException w:name="toc 3" w:uiPriority="39"/>
    <w:lsdException w:name="toc 4" w:uiPriority="39"/>
    <w:lsdException w:name="toc 5" w:uiPriority="39"/>
    <w:lsdException w:name="toc 6" w:locked="1" w:uiPriority="39"/>
    <w:lsdException w:name="footnote text" w:uiPriority="99"/>
    <w:lsdException w:name="annotation text" w:uiPriority="99"/>
    <w:lsdException w:name="header" w:uiPriority="99"/>
    <w:lsdException w:name="footer" w:locked="1" w:uiPriority="99"/>
    <w:lsdException w:name="caption" w:qFormat="1"/>
    <w:lsdException w:name="annotation reference" w:uiPriority="99"/>
    <w:lsdException w:name="List Bullet" w:uiPriority="99"/>
    <w:lsdException w:name="Title" w:qFormat="1"/>
    <w:lsdException w:name="Body Text" w:uiPriority="99" w:qFormat="1"/>
    <w:lsdException w:name="Subtitle" w:qFormat="1"/>
    <w:lsdException w:name="Hyperlink" w:uiPriority="99"/>
    <w:lsdException w:name="Strong" w:uiPriority="22" w:qFormat="1"/>
    <w:lsdException w:name="Emphasis" w:uiPriority="20" w:qFormat="1"/>
    <w:lsdException w:name="annotation subject" w:uiPriority="99"/>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99"/>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3D8"/>
    <w:pPr>
      <w:spacing w:line="300" w:lineRule="auto"/>
    </w:pPr>
    <w:rPr>
      <w:rFonts w:ascii="Arial" w:hAnsi="Arial"/>
      <w:color w:val="333333"/>
      <w:sz w:val="24"/>
      <w:szCs w:val="24"/>
      <w:lang w:eastAsia="en-US"/>
    </w:rPr>
  </w:style>
  <w:style w:type="paragraph" w:styleId="Heading1">
    <w:name w:val="heading 1"/>
    <w:basedOn w:val="Normal"/>
    <w:next w:val="Normal"/>
    <w:link w:val="Heading1Char"/>
    <w:autoRedefine/>
    <w:qFormat/>
    <w:rsid w:val="005E4F89"/>
    <w:pPr>
      <w:keepNext/>
      <w:numPr>
        <w:numId w:val="3"/>
      </w:numPr>
      <w:spacing w:before="6000" w:after="400" w:line="240" w:lineRule="auto"/>
      <w:ind w:left="431" w:hanging="431"/>
      <w:contextualSpacing/>
      <w:jc w:val="center"/>
      <w:outlineLvl w:val="0"/>
    </w:pPr>
    <w:rPr>
      <w:rFonts w:cs="Arial"/>
      <w:b/>
      <w:bCs/>
      <w:color w:val="auto"/>
      <w:kern w:val="32"/>
      <w:sz w:val="48"/>
      <w:szCs w:val="44"/>
    </w:rPr>
  </w:style>
  <w:style w:type="paragraph" w:styleId="Heading2">
    <w:name w:val="heading 2"/>
    <w:basedOn w:val="Normal"/>
    <w:next w:val="Normal"/>
    <w:link w:val="Heading2Char"/>
    <w:autoRedefine/>
    <w:uiPriority w:val="9"/>
    <w:qFormat/>
    <w:rsid w:val="005E4F89"/>
    <w:pPr>
      <w:keepNext/>
      <w:spacing w:after="200"/>
      <w:jc w:val="center"/>
      <w:outlineLvl w:val="1"/>
    </w:pPr>
    <w:rPr>
      <w:rFonts w:cs="Arial"/>
      <w:b/>
      <w:bCs/>
      <w:iCs/>
      <w:color w:val="auto"/>
      <w:sz w:val="32"/>
      <w:szCs w:val="28"/>
    </w:rPr>
  </w:style>
  <w:style w:type="paragraph" w:styleId="Heading3">
    <w:name w:val="heading 3"/>
    <w:basedOn w:val="Normal"/>
    <w:next w:val="Normal"/>
    <w:link w:val="Heading3Char"/>
    <w:autoRedefine/>
    <w:uiPriority w:val="9"/>
    <w:qFormat/>
    <w:rsid w:val="008664A6"/>
    <w:pPr>
      <w:keepNext/>
      <w:spacing w:after="200"/>
      <w:ind w:left="737" w:hanging="737"/>
      <w:outlineLvl w:val="2"/>
    </w:pPr>
    <w:rPr>
      <w:rFonts w:eastAsiaTheme="minorHAnsi" w:cs="Arial"/>
      <w:b/>
      <w:bCs/>
      <w:color w:val="auto"/>
      <w:sz w:val="32"/>
      <w:szCs w:val="26"/>
    </w:rPr>
  </w:style>
  <w:style w:type="paragraph" w:styleId="Heading4">
    <w:name w:val="heading 4"/>
    <w:basedOn w:val="Normal"/>
    <w:next w:val="Normal"/>
    <w:link w:val="Heading4Char"/>
    <w:autoRedefine/>
    <w:qFormat/>
    <w:rsid w:val="00986334"/>
    <w:pPr>
      <w:keepNext/>
      <w:spacing w:after="200"/>
      <w:ind w:left="992" w:hanging="992"/>
      <w:outlineLvl w:val="3"/>
    </w:pPr>
    <w:rPr>
      <w:rFonts w:ascii="Times New Roman" w:eastAsiaTheme="minorHAnsi" w:hAnsi="Times New Roman"/>
      <w:b/>
      <w:bCs/>
      <w:color w:val="000000" w:themeColor="text1"/>
      <w:sz w:val="28"/>
      <w:szCs w:val="28"/>
    </w:rPr>
  </w:style>
  <w:style w:type="paragraph" w:styleId="Heading5">
    <w:name w:val="heading 5"/>
    <w:basedOn w:val="Normal"/>
    <w:next w:val="Normal"/>
    <w:link w:val="Heading5Char"/>
    <w:autoRedefine/>
    <w:qFormat/>
    <w:rsid w:val="00986334"/>
    <w:pPr>
      <w:spacing w:after="200"/>
      <w:ind w:left="1106" w:hanging="1106"/>
      <w:outlineLvl w:val="4"/>
    </w:pPr>
    <w:rPr>
      <w:rFonts w:ascii="Times New Roman" w:eastAsiaTheme="minorHAnsi" w:hAnsi="Times New Roman"/>
      <w:b/>
      <w:bCs/>
      <w:color w:val="auto"/>
    </w:rPr>
  </w:style>
  <w:style w:type="paragraph" w:styleId="Heading6">
    <w:name w:val="heading 6"/>
    <w:basedOn w:val="Normal"/>
    <w:next w:val="Normal"/>
    <w:link w:val="Heading6Char"/>
    <w:autoRedefine/>
    <w:rsid w:val="007649D8"/>
    <w:pPr>
      <w:numPr>
        <w:ilvl w:val="5"/>
        <w:numId w:val="3"/>
      </w:numPr>
      <w:spacing w:after="200"/>
      <w:outlineLvl w:val="5"/>
    </w:pPr>
    <w:rPr>
      <w:sz w:val="26"/>
      <w:szCs w:val="20"/>
    </w:rPr>
  </w:style>
  <w:style w:type="paragraph" w:styleId="Heading7">
    <w:name w:val="heading 7"/>
    <w:basedOn w:val="Normal"/>
    <w:next w:val="Normal"/>
    <w:rsid w:val="007649D8"/>
    <w:pPr>
      <w:spacing w:before="240" w:after="60"/>
      <w:outlineLvl w:val="6"/>
    </w:pPr>
    <w:rPr>
      <w:rFonts w:ascii="Times New Roman" w:hAnsi="Times New Roman"/>
      <w:b/>
    </w:rPr>
  </w:style>
  <w:style w:type="paragraph" w:styleId="Heading8">
    <w:name w:val="heading 8"/>
    <w:basedOn w:val="Normal"/>
    <w:next w:val="Normal"/>
    <w:rsid w:val="001B74F2"/>
    <w:pPr>
      <w:numPr>
        <w:ilvl w:val="7"/>
        <w:numId w:val="2"/>
      </w:numPr>
      <w:spacing w:before="240" w:after="60"/>
      <w:outlineLvl w:val="7"/>
    </w:pPr>
    <w:rPr>
      <w:rFonts w:ascii="Times New Roman" w:hAnsi="Times New Roman"/>
      <w:i/>
      <w:iCs/>
    </w:rPr>
  </w:style>
  <w:style w:type="paragraph" w:styleId="Heading9">
    <w:name w:val="heading 9"/>
    <w:basedOn w:val="Normal"/>
    <w:next w:val="Normal"/>
    <w:rsid w:val="001B74F2"/>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ISRTEFOOTER">
    <w:name w:val="DIISRTE FOOTER"/>
    <w:basedOn w:val="Normal"/>
    <w:autoRedefine/>
    <w:locked/>
    <w:rsid w:val="005E18ED"/>
    <w:pPr>
      <w:tabs>
        <w:tab w:val="center" w:pos="4320"/>
        <w:tab w:val="right" w:pos="8640"/>
      </w:tabs>
      <w:spacing w:line="360" w:lineRule="auto"/>
      <w:ind w:right="360"/>
      <w:jc w:val="right"/>
    </w:pPr>
    <w:rPr>
      <w:sz w:val="16"/>
    </w:rPr>
  </w:style>
  <w:style w:type="paragraph" w:styleId="BodyTextIndent2">
    <w:name w:val="Body Text Indent 2"/>
    <w:basedOn w:val="Normal"/>
    <w:semiHidden/>
    <w:rsid w:val="00D317E1"/>
    <w:pPr>
      <w:spacing w:after="120" w:line="480" w:lineRule="auto"/>
      <w:ind w:left="283"/>
    </w:pPr>
  </w:style>
  <w:style w:type="paragraph" w:customStyle="1" w:styleId="CSMsubheadings">
    <w:name w:val="CSM sub headings"/>
    <w:basedOn w:val="Normal"/>
    <w:semiHidden/>
    <w:locked/>
    <w:rsid w:val="00D31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pPr>
    <w:rPr>
      <w:rFonts w:ascii="Helvetica" w:hAnsi="Helvetica"/>
      <w:b/>
      <w:color w:val="56678E"/>
      <w:lang w:val="en-US"/>
    </w:rPr>
  </w:style>
  <w:style w:type="paragraph" w:customStyle="1" w:styleId="TOC">
    <w:name w:val="TOC"/>
    <w:basedOn w:val="Heading2"/>
    <w:rsid w:val="001B74F2"/>
  </w:style>
  <w:style w:type="table" w:customStyle="1" w:styleId="DIISRTETableThree">
    <w:name w:val="DIISRTE Table Thre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tblStylePr w:type="lastRow">
      <w:rPr>
        <w:rFonts w:ascii="Arial" w:hAnsi="Arial"/>
        <w:b/>
        <w:sz w:val="20"/>
      </w:rPr>
    </w:tblStylePr>
    <w:tblStylePr w:type="firstCol">
      <w:rPr>
        <w:rFonts w:ascii="Arial" w:hAnsi="Arial"/>
        <w:b/>
        <w:sz w:val="20"/>
      </w:rPr>
    </w:tblStylePr>
  </w:style>
  <w:style w:type="table" w:customStyle="1" w:styleId="DIISRTETableTwo">
    <w:name w:val="DIISRTE Table Two"/>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Arial" w:hAnsi="Arial"/>
        <w:b/>
        <w:sz w:val="20"/>
      </w:rPr>
    </w:tblStylePr>
    <w:tblStylePr w:type="firstCol">
      <w:rPr>
        <w:rFonts w:ascii="Arial" w:hAnsi="Arial"/>
        <w:b/>
        <w:sz w:val="20"/>
      </w:rPr>
    </w:tblStylePr>
    <w:tblStylePr w:type="lastCol">
      <w:rPr>
        <w:b/>
      </w:rPr>
      <w:tblPr/>
      <w:tcPr>
        <w:tcBorders>
          <w:top w:val="nil"/>
          <w:left w:val="nil"/>
          <w:bottom w:val="nil"/>
          <w:right w:val="nil"/>
          <w:insideH w:val="nil"/>
          <w:insideV w:val="nil"/>
          <w:tl2br w:val="nil"/>
          <w:tr2bl w:val="nil"/>
        </w:tcBorders>
      </w:tcPr>
    </w:tblStylePr>
  </w:style>
  <w:style w:type="paragraph" w:customStyle="1" w:styleId="FMHeader">
    <w:name w:val="FM Header"/>
    <w:semiHidden/>
    <w:locked/>
    <w:rsid w:val="00D317E1"/>
    <w:pPr>
      <w:spacing w:before="120" w:after="120" w:line="360" w:lineRule="auto"/>
    </w:pPr>
    <w:rPr>
      <w:rFonts w:ascii="Arial" w:hAnsi="Arial"/>
      <w:b/>
      <w:color w:val="165387"/>
      <w:sz w:val="40"/>
      <w:szCs w:val="24"/>
      <w:lang w:eastAsia="en-US"/>
    </w:rPr>
  </w:style>
  <w:style w:type="paragraph" w:customStyle="1" w:styleId="PilbrowBodyText">
    <w:name w:val="Pilbrow Body Text"/>
    <w:semiHidden/>
    <w:locked/>
    <w:rsid w:val="00D317E1"/>
    <w:pPr>
      <w:spacing w:before="120" w:after="120" w:line="360" w:lineRule="auto"/>
      <w:ind w:left="-425" w:right="-204"/>
    </w:pPr>
    <w:rPr>
      <w:rFonts w:ascii="Arial" w:hAnsi="Arial"/>
      <w:b/>
      <w:color w:val="D35200"/>
      <w:sz w:val="28"/>
      <w:szCs w:val="24"/>
      <w:lang w:eastAsia="en-US"/>
    </w:rPr>
  </w:style>
  <w:style w:type="paragraph" w:customStyle="1" w:styleId="PilbrowHeaderCover">
    <w:name w:val="Pilbrow Header Cover"/>
    <w:semiHidden/>
    <w:locked/>
    <w:rsid w:val="00D317E1"/>
    <w:pPr>
      <w:spacing w:before="360" w:after="360"/>
      <w:ind w:left="-425" w:right="-204"/>
    </w:pPr>
    <w:rPr>
      <w:rFonts w:ascii="Arial" w:hAnsi="Arial"/>
      <w:b/>
      <w:color w:val="D1530B"/>
      <w:sz w:val="48"/>
      <w:szCs w:val="24"/>
      <w:lang w:eastAsia="en-US"/>
    </w:rPr>
  </w:style>
  <w:style w:type="paragraph" w:customStyle="1" w:styleId="PilbrowHeaderOne">
    <w:name w:val="Pilbrow Header One"/>
    <w:next w:val="PilbrowBodyText"/>
    <w:semiHidden/>
    <w:locked/>
    <w:rsid w:val="00D317E1"/>
    <w:rPr>
      <w:rFonts w:ascii="Arial" w:hAnsi="Arial"/>
      <w:b/>
      <w:color w:val="D35200"/>
      <w:sz w:val="32"/>
      <w:szCs w:val="24"/>
      <w:lang w:eastAsia="en-US"/>
    </w:rPr>
  </w:style>
  <w:style w:type="paragraph" w:customStyle="1" w:styleId="PilbrowHeaderOnenotab">
    <w:name w:val="Pilbrow Header One (no tab)"/>
    <w:semiHidden/>
    <w:locked/>
    <w:rsid w:val="00D317E1"/>
    <w:rPr>
      <w:rFonts w:ascii="Arial" w:hAnsi="Arial"/>
      <w:b/>
      <w:color w:val="D35200"/>
      <w:sz w:val="32"/>
      <w:szCs w:val="24"/>
      <w:lang w:eastAsia="en-US"/>
    </w:rPr>
  </w:style>
  <w:style w:type="paragraph" w:customStyle="1" w:styleId="PilbrowHeaderTwo">
    <w:name w:val="Pilbrow Header Two"/>
    <w:basedOn w:val="PilbrowBodyText"/>
    <w:semiHidden/>
    <w:locked/>
    <w:rsid w:val="00D317E1"/>
    <w:rPr>
      <w:color w:val="333333"/>
    </w:rPr>
  </w:style>
  <w:style w:type="paragraph" w:customStyle="1" w:styleId="PilbrowSubHeaderCover">
    <w:name w:val="Pilbrow Sub Header Cover"/>
    <w:basedOn w:val="PilbrowHeaderCover"/>
    <w:semiHidden/>
    <w:locked/>
    <w:rsid w:val="00D317E1"/>
    <w:rPr>
      <w:color w:val="333333"/>
      <w:sz w:val="36"/>
    </w:rPr>
  </w:style>
  <w:style w:type="paragraph" w:customStyle="1" w:styleId="PlibrowHeaderOnenotab">
    <w:name w:val="Plibrow Header One (no tab)"/>
    <w:basedOn w:val="PilbrowBodyText"/>
    <w:semiHidden/>
    <w:locked/>
    <w:rsid w:val="00D317E1"/>
    <w:pPr>
      <w:ind w:left="0"/>
    </w:pPr>
    <w:rPr>
      <w:sz w:val="32"/>
    </w:rPr>
  </w:style>
  <w:style w:type="paragraph" w:styleId="Header">
    <w:name w:val="header"/>
    <w:basedOn w:val="Normal"/>
    <w:link w:val="HeaderChar"/>
    <w:autoRedefine/>
    <w:uiPriority w:val="99"/>
    <w:rsid w:val="00226D9E"/>
    <w:pPr>
      <w:tabs>
        <w:tab w:val="center" w:pos="4320"/>
        <w:tab w:val="right" w:pos="8640"/>
      </w:tabs>
    </w:pPr>
    <w:rPr>
      <w:sz w:val="18"/>
    </w:rPr>
  </w:style>
  <w:style w:type="paragraph" w:styleId="TOC1">
    <w:name w:val="toc 1"/>
    <w:basedOn w:val="Normal"/>
    <w:next w:val="Normal"/>
    <w:autoRedefine/>
    <w:uiPriority w:val="39"/>
    <w:rsid w:val="00B8625F"/>
  </w:style>
  <w:style w:type="paragraph" w:styleId="ListBullet">
    <w:name w:val="List Bullet"/>
    <w:basedOn w:val="Normal"/>
    <w:autoRedefine/>
    <w:uiPriority w:val="99"/>
    <w:rsid w:val="006B3E4D"/>
    <w:pPr>
      <w:numPr>
        <w:numId w:val="1"/>
      </w:numPr>
      <w:tabs>
        <w:tab w:val="clear" w:pos="360"/>
      </w:tabs>
      <w:spacing w:after="200" w:line="240" w:lineRule="auto"/>
      <w:ind w:left="709"/>
    </w:pPr>
    <w:rPr>
      <w:color w:val="auto"/>
      <w:szCs w:val="20"/>
    </w:rPr>
  </w:style>
  <w:style w:type="paragraph" w:styleId="ListNumber">
    <w:name w:val="List Number"/>
    <w:basedOn w:val="Bodytext-a"/>
    <w:rsid w:val="00A85440"/>
    <w:pPr>
      <w:numPr>
        <w:numId w:val="8"/>
      </w:numPr>
    </w:pPr>
    <w:rPr>
      <w:i w:val="0"/>
    </w:rPr>
  </w:style>
  <w:style w:type="table" w:customStyle="1" w:styleId="DIISRTETableOne">
    <w:name w:val="DIISRTE Table On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Arial" w:hAnsi="Arial"/>
        <w:b/>
        <w:sz w:val="20"/>
      </w:rPr>
    </w:tblStylePr>
    <w:tblStylePr w:type="firstCol">
      <w:rPr>
        <w:rFonts w:ascii="Arial" w:hAnsi="Arial"/>
        <w:b/>
        <w:sz w:val="20"/>
      </w:rPr>
    </w:tblStylePr>
  </w:style>
  <w:style w:type="paragraph" w:styleId="TOC2">
    <w:name w:val="toc 2"/>
    <w:basedOn w:val="Normal"/>
    <w:next w:val="Normal"/>
    <w:autoRedefine/>
    <w:uiPriority w:val="39"/>
    <w:rsid w:val="00181C19"/>
    <w:pPr>
      <w:ind w:left="240"/>
    </w:pPr>
  </w:style>
  <w:style w:type="paragraph" w:styleId="TOC3">
    <w:name w:val="toc 3"/>
    <w:basedOn w:val="Normal"/>
    <w:next w:val="Normal"/>
    <w:autoRedefine/>
    <w:uiPriority w:val="39"/>
    <w:rsid w:val="00F33C63"/>
    <w:pPr>
      <w:tabs>
        <w:tab w:val="left" w:pos="1200"/>
        <w:tab w:val="right" w:leader="dot" w:pos="8296"/>
      </w:tabs>
      <w:ind w:left="1134" w:hanging="654"/>
    </w:pPr>
  </w:style>
  <w:style w:type="paragraph" w:styleId="TOC4">
    <w:name w:val="toc 4"/>
    <w:basedOn w:val="Normal"/>
    <w:next w:val="Normal"/>
    <w:autoRedefine/>
    <w:uiPriority w:val="39"/>
    <w:rsid w:val="00181C19"/>
    <w:pPr>
      <w:ind w:left="720"/>
    </w:pPr>
  </w:style>
  <w:style w:type="paragraph" w:styleId="TOC5">
    <w:name w:val="toc 5"/>
    <w:basedOn w:val="Normal"/>
    <w:next w:val="Normal"/>
    <w:autoRedefine/>
    <w:uiPriority w:val="39"/>
    <w:rsid w:val="00181C19"/>
    <w:pPr>
      <w:ind w:left="960"/>
    </w:pPr>
  </w:style>
  <w:style w:type="character" w:styleId="Hyperlink">
    <w:name w:val="Hyperlink"/>
    <w:uiPriority w:val="99"/>
    <w:rsid w:val="005975A8"/>
    <w:rPr>
      <w:color w:val="0000FF"/>
      <w:u w:val="single"/>
    </w:rPr>
  </w:style>
  <w:style w:type="character" w:styleId="PageNumber">
    <w:name w:val="page number"/>
    <w:rsid w:val="0094658C"/>
    <w:rPr>
      <w:rFonts w:ascii="Arial" w:hAnsi="Arial"/>
      <w:sz w:val="16"/>
    </w:rPr>
  </w:style>
  <w:style w:type="paragraph" w:styleId="HTMLAddress">
    <w:name w:val="HTML Address"/>
    <w:basedOn w:val="Normal"/>
    <w:rsid w:val="00924A08"/>
    <w:rPr>
      <w:i/>
      <w:iCs/>
    </w:rPr>
  </w:style>
  <w:style w:type="character" w:styleId="Strong">
    <w:name w:val="Strong"/>
    <w:uiPriority w:val="22"/>
    <w:qFormat/>
    <w:rsid w:val="006A3354"/>
    <w:rPr>
      <w:rFonts w:ascii="Arial" w:hAnsi="Arial" w:cs="Arial"/>
      <w:b/>
      <w:color w:val="auto"/>
      <w:sz w:val="24"/>
    </w:rPr>
  </w:style>
  <w:style w:type="character" w:styleId="Emphasis">
    <w:name w:val="Emphasis"/>
    <w:uiPriority w:val="20"/>
    <w:qFormat/>
    <w:rsid w:val="006B3E4D"/>
    <w:rPr>
      <w:rFonts w:ascii="Arial" w:eastAsiaTheme="minorHAnsi" w:hAnsi="Arial"/>
      <w:i/>
      <w:sz w:val="24"/>
      <w:szCs w:val="20"/>
    </w:rPr>
  </w:style>
  <w:style w:type="paragraph" w:styleId="BodyTextIndent">
    <w:name w:val="Body Text Indent"/>
    <w:basedOn w:val="Normal"/>
    <w:next w:val="Normal"/>
    <w:link w:val="BodyTextIndentChar"/>
    <w:autoRedefine/>
    <w:rsid w:val="009866F9"/>
    <w:pPr>
      <w:spacing w:after="120"/>
      <w:ind w:left="360"/>
    </w:pPr>
  </w:style>
  <w:style w:type="paragraph" w:styleId="Footer">
    <w:name w:val="footer"/>
    <w:basedOn w:val="Normal"/>
    <w:link w:val="FooterChar"/>
    <w:uiPriority w:val="99"/>
    <w:rsid w:val="00226D9E"/>
    <w:pPr>
      <w:tabs>
        <w:tab w:val="center" w:pos="4320"/>
        <w:tab w:val="right" w:pos="8640"/>
      </w:tabs>
    </w:pPr>
    <w:rPr>
      <w:sz w:val="18"/>
    </w:rPr>
  </w:style>
  <w:style w:type="paragraph" w:styleId="TOC6">
    <w:name w:val="toc 6"/>
    <w:basedOn w:val="Normal"/>
    <w:next w:val="Normal"/>
    <w:autoRedefine/>
    <w:uiPriority w:val="39"/>
    <w:rsid w:val="00946954"/>
    <w:pPr>
      <w:ind w:left="1200"/>
    </w:pPr>
  </w:style>
  <w:style w:type="paragraph" w:customStyle="1" w:styleId="ListAlphabet">
    <w:name w:val="List Alphabet"/>
    <w:basedOn w:val="ListNumber"/>
    <w:qFormat/>
    <w:rsid w:val="00A85440"/>
    <w:pPr>
      <w:numPr>
        <w:numId w:val="9"/>
      </w:numPr>
    </w:pPr>
  </w:style>
  <w:style w:type="paragraph" w:styleId="BodyText">
    <w:name w:val="Body Text"/>
    <w:basedOn w:val="Normal"/>
    <w:link w:val="BodyTextChar"/>
    <w:autoRedefine/>
    <w:uiPriority w:val="99"/>
    <w:qFormat/>
    <w:rsid w:val="002D34D5"/>
    <w:pPr>
      <w:spacing w:after="200"/>
    </w:pPr>
    <w:rPr>
      <w:rFonts w:eastAsiaTheme="minorHAnsi"/>
      <w:color w:val="auto"/>
      <w:szCs w:val="20"/>
    </w:rPr>
  </w:style>
  <w:style w:type="paragraph" w:styleId="Caption">
    <w:name w:val="caption"/>
    <w:basedOn w:val="Normal"/>
    <w:next w:val="Normal"/>
    <w:qFormat/>
    <w:rsid w:val="00226D9E"/>
    <w:pPr>
      <w:spacing w:after="120"/>
    </w:pPr>
    <w:rPr>
      <w:rFonts w:eastAsia="MS Mincho"/>
      <w:b/>
      <w:color w:val="auto"/>
      <w:sz w:val="18"/>
      <w:lang w:val="en-US"/>
    </w:rPr>
  </w:style>
  <w:style w:type="paragraph" w:customStyle="1" w:styleId="TitlePage">
    <w:name w:val="TitlePage"/>
    <w:basedOn w:val="Heading1"/>
    <w:rsid w:val="006A5147"/>
    <w:pPr>
      <w:numPr>
        <w:numId w:val="0"/>
      </w:numPr>
      <w:spacing w:after="0"/>
    </w:pPr>
    <w:rPr>
      <w:szCs w:val="48"/>
    </w:rPr>
  </w:style>
  <w:style w:type="character" w:styleId="CommentReference">
    <w:name w:val="annotation reference"/>
    <w:basedOn w:val="DefaultParagraphFont"/>
    <w:uiPriority w:val="99"/>
    <w:rsid w:val="00D73BDC"/>
    <w:rPr>
      <w:sz w:val="16"/>
      <w:szCs w:val="16"/>
    </w:rPr>
  </w:style>
  <w:style w:type="paragraph" w:styleId="CommentSubject">
    <w:name w:val="annotation subject"/>
    <w:basedOn w:val="Normal"/>
    <w:link w:val="CommentSubjectChar"/>
    <w:uiPriority w:val="99"/>
    <w:rsid w:val="004E6EF0"/>
    <w:pPr>
      <w:spacing w:line="240" w:lineRule="auto"/>
    </w:pPr>
    <w:rPr>
      <w:b/>
      <w:bCs/>
      <w:sz w:val="20"/>
      <w:szCs w:val="20"/>
    </w:rPr>
  </w:style>
  <w:style w:type="character" w:customStyle="1" w:styleId="CommentSubjectChar">
    <w:name w:val="Comment Subject Char"/>
    <w:basedOn w:val="DefaultParagraphFont"/>
    <w:link w:val="CommentSubject"/>
    <w:uiPriority w:val="99"/>
    <w:rsid w:val="004E6EF0"/>
    <w:rPr>
      <w:rFonts w:ascii="Arial" w:hAnsi="Arial"/>
      <w:b/>
      <w:bCs/>
      <w:color w:val="333333"/>
      <w:lang w:eastAsia="en-US"/>
    </w:rPr>
  </w:style>
  <w:style w:type="character" w:customStyle="1" w:styleId="Heading2Char">
    <w:name w:val="Heading 2 Char"/>
    <w:basedOn w:val="DefaultParagraphFont"/>
    <w:link w:val="Heading2"/>
    <w:uiPriority w:val="9"/>
    <w:rsid w:val="005E4F89"/>
    <w:rPr>
      <w:rFonts w:ascii="Arial" w:hAnsi="Arial" w:cs="Arial"/>
      <w:b/>
      <w:bCs/>
      <w:iCs/>
      <w:sz w:val="32"/>
      <w:szCs w:val="28"/>
      <w:lang w:eastAsia="en-US"/>
    </w:rPr>
  </w:style>
  <w:style w:type="character" w:customStyle="1" w:styleId="Heading3Char">
    <w:name w:val="Heading 3 Char"/>
    <w:basedOn w:val="DefaultParagraphFont"/>
    <w:link w:val="Heading3"/>
    <w:uiPriority w:val="9"/>
    <w:rsid w:val="008664A6"/>
    <w:rPr>
      <w:rFonts w:ascii="Arial" w:eastAsiaTheme="minorHAnsi" w:hAnsi="Arial" w:cs="Arial"/>
      <w:b/>
      <w:bCs/>
      <w:sz w:val="32"/>
      <w:szCs w:val="26"/>
      <w:lang w:eastAsia="en-US"/>
    </w:rPr>
  </w:style>
  <w:style w:type="numbering" w:customStyle="1" w:styleId="NoList1">
    <w:name w:val="No List1"/>
    <w:next w:val="NoList"/>
    <w:uiPriority w:val="99"/>
    <w:semiHidden/>
    <w:unhideWhenUsed/>
    <w:rsid w:val="00827E52"/>
  </w:style>
  <w:style w:type="character" w:customStyle="1" w:styleId="BodyTextChar">
    <w:name w:val="Body Text Char"/>
    <w:basedOn w:val="DefaultParagraphFont"/>
    <w:link w:val="BodyText"/>
    <w:uiPriority w:val="99"/>
    <w:rsid w:val="002D34D5"/>
    <w:rPr>
      <w:rFonts w:ascii="Arial" w:eastAsiaTheme="minorHAnsi" w:hAnsi="Arial"/>
      <w:sz w:val="24"/>
      <w:lang w:eastAsia="en-US"/>
    </w:rPr>
  </w:style>
  <w:style w:type="paragraph" w:styleId="FootnoteText">
    <w:name w:val="footnote text"/>
    <w:basedOn w:val="Normal"/>
    <w:link w:val="FootnoteTextChar"/>
    <w:uiPriority w:val="99"/>
    <w:unhideWhenUsed/>
    <w:rsid w:val="00827E52"/>
    <w:pPr>
      <w:spacing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827E52"/>
    <w:rPr>
      <w:rFonts w:asciiTheme="minorHAnsi" w:eastAsiaTheme="minorHAnsi" w:hAnsiTheme="minorHAnsi" w:cstheme="minorBidi"/>
      <w:lang w:eastAsia="en-US"/>
    </w:rPr>
  </w:style>
  <w:style w:type="character" w:styleId="FootnoteReference">
    <w:name w:val="footnote reference"/>
    <w:basedOn w:val="DefaultParagraphFont"/>
    <w:unhideWhenUsed/>
    <w:rsid w:val="00827E52"/>
    <w:rPr>
      <w:vertAlign w:val="superscript"/>
    </w:rPr>
  </w:style>
  <w:style w:type="table" w:styleId="TableGrid">
    <w:name w:val="Table Grid"/>
    <w:basedOn w:val="TableNormal"/>
    <w:uiPriority w:val="59"/>
    <w:rsid w:val="00827E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7E52"/>
    <w:pPr>
      <w:autoSpaceDE w:val="0"/>
      <w:autoSpaceDN w:val="0"/>
      <w:adjustRightInd w:val="0"/>
    </w:pPr>
    <w:rPr>
      <w:rFonts w:ascii="Gotham Medium" w:hAnsi="Gotham Medium" w:cs="Gotham Medium"/>
      <w:color w:val="000000"/>
      <w:sz w:val="24"/>
      <w:szCs w:val="24"/>
      <w:lang w:eastAsia="en-US"/>
    </w:rPr>
  </w:style>
  <w:style w:type="paragraph" w:customStyle="1" w:styleId="Pa4">
    <w:name w:val="Pa4"/>
    <w:basedOn w:val="Default"/>
    <w:next w:val="Default"/>
    <w:uiPriority w:val="99"/>
    <w:rsid w:val="00827E52"/>
    <w:pPr>
      <w:spacing w:line="221" w:lineRule="atLeast"/>
    </w:pPr>
    <w:rPr>
      <w:rFonts w:ascii="Gotham Narrow Light" w:hAnsi="Gotham Narrow Light" w:cs="Times New Roman"/>
      <w:color w:val="auto"/>
    </w:rPr>
  </w:style>
  <w:style w:type="character" w:customStyle="1" w:styleId="FooterChar">
    <w:name w:val="Footer Char"/>
    <w:basedOn w:val="DefaultParagraphFont"/>
    <w:link w:val="Footer"/>
    <w:uiPriority w:val="99"/>
    <w:rsid w:val="00827E52"/>
    <w:rPr>
      <w:rFonts w:ascii="Arial" w:hAnsi="Arial"/>
      <w:color w:val="333333"/>
      <w:sz w:val="18"/>
      <w:szCs w:val="24"/>
      <w:lang w:eastAsia="en-US"/>
    </w:rPr>
  </w:style>
  <w:style w:type="character" w:customStyle="1" w:styleId="HeaderChar">
    <w:name w:val="Header Char"/>
    <w:basedOn w:val="DefaultParagraphFont"/>
    <w:link w:val="Header"/>
    <w:uiPriority w:val="99"/>
    <w:rsid w:val="00827E52"/>
    <w:rPr>
      <w:rFonts w:ascii="Arial" w:hAnsi="Arial"/>
      <w:color w:val="333333"/>
      <w:sz w:val="18"/>
      <w:szCs w:val="24"/>
      <w:lang w:eastAsia="en-US"/>
    </w:rPr>
  </w:style>
  <w:style w:type="paragraph" w:styleId="Revision">
    <w:name w:val="Revision"/>
    <w:hidden/>
    <w:uiPriority w:val="99"/>
    <w:semiHidden/>
    <w:rsid w:val="00827E52"/>
    <w:rPr>
      <w:rFonts w:asciiTheme="minorHAnsi" w:eastAsiaTheme="minorHAnsi" w:hAnsiTheme="minorHAnsi" w:cstheme="minorBidi"/>
      <w:sz w:val="22"/>
      <w:szCs w:val="22"/>
      <w:lang w:eastAsia="en-US"/>
    </w:rPr>
  </w:style>
  <w:style w:type="paragraph" w:customStyle="1" w:styleId="Bodytext-a">
    <w:name w:val="Body text - a"/>
    <w:aliases w:val="b,c"/>
    <w:basedOn w:val="Normal"/>
    <w:qFormat/>
    <w:rsid w:val="00A85440"/>
    <w:pPr>
      <w:tabs>
        <w:tab w:val="left" w:pos="851"/>
      </w:tabs>
      <w:spacing w:before="120" w:after="120" w:line="240" w:lineRule="auto"/>
      <w:ind w:left="567"/>
    </w:pPr>
    <w:rPr>
      <w:rFonts w:eastAsiaTheme="minorHAnsi" w:cs="Arial"/>
      <w:i/>
      <w:color w:val="auto"/>
    </w:rPr>
  </w:style>
  <w:style w:type="paragraph" w:customStyle="1" w:styleId="Bodytext-alist">
    <w:name w:val="Body text - a) list"/>
    <w:basedOn w:val="Normal"/>
    <w:qFormat/>
    <w:rsid w:val="0039643B"/>
    <w:pPr>
      <w:numPr>
        <w:numId w:val="4"/>
      </w:numPr>
      <w:spacing w:after="120" w:line="240" w:lineRule="auto"/>
    </w:pPr>
    <w:rPr>
      <w:rFonts w:eastAsia="Arial" w:cs="Arial"/>
      <w:color w:val="3B3433"/>
      <w:szCs w:val="20"/>
    </w:rPr>
  </w:style>
  <w:style w:type="character" w:customStyle="1" w:styleId="Heading4Char">
    <w:name w:val="Heading 4 Char"/>
    <w:basedOn w:val="DefaultParagraphFont"/>
    <w:link w:val="Heading4"/>
    <w:rsid w:val="00986334"/>
    <w:rPr>
      <w:rFonts w:eastAsiaTheme="minorHAnsi"/>
      <w:b/>
      <w:bCs/>
      <w:color w:val="000000" w:themeColor="text1"/>
      <w:sz w:val="28"/>
      <w:szCs w:val="28"/>
      <w:lang w:eastAsia="en-US"/>
    </w:rPr>
  </w:style>
  <w:style w:type="numbering" w:customStyle="1" w:styleId="NoList2">
    <w:name w:val="No List2"/>
    <w:next w:val="NoList"/>
    <w:uiPriority w:val="99"/>
    <w:semiHidden/>
    <w:unhideWhenUsed/>
    <w:rsid w:val="00C959E1"/>
  </w:style>
  <w:style w:type="character" w:customStyle="1" w:styleId="Heading1Char">
    <w:name w:val="Heading 1 Char"/>
    <w:basedOn w:val="DefaultParagraphFont"/>
    <w:link w:val="Heading1"/>
    <w:rsid w:val="005E4F89"/>
    <w:rPr>
      <w:rFonts w:ascii="Arial" w:hAnsi="Arial" w:cs="Arial"/>
      <w:b/>
      <w:bCs/>
      <w:kern w:val="32"/>
      <w:sz w:val="48"/>
      <w:szCs w:val="44"/>
      <w:lang w:eastAsia="en-US"/>
    </w:rPr>
  </w:style>
  <w:style w:type="character" w:customStyle="1" w:styleId="Heading5Char">
    <w:name w:val="Heading 5 Char"/>
    <w:basedOn w:val="DefaultParagraphFont"/>
    <w:link w:val="Heading5"/>
    <w:rsid w:val="00986334"/>
    <w:rPr>
      <w:rFonts w:eastAsiaTheme="minorHAnsi"/>
      <w:b/>
      <w:bCs/>
      <w:sz w:val="24"/>
      <w:szCs w:val="24"/>
      <w:lang w:eastAsia="en-US"/>
    </w:rPr>
  </w:style>
  <w:style w:type="character" w:customStyle="1" w:styleId="Heading6Char">
    <w:name w:val="Heading 6 Char"/>
    <w:basedOn w:val="DefaultParagraphFont"/>
    <w:link w:val="Heading6"/>
    <w:rsid w:val="00C959E1"/>
    <w:rPr>
      <w:rFonts w:ascii="Arial" w:hAnsi="Arial"/>
      <w:color w:val="333333"/>
      <w:sz w:val="26"/>
      <w:lang w:eastAsia="en-US"/>
    </w:rPr>
  </w:style>
  <w:style w:type="table" w:customStyle="1" w:styleId="TableGrid1">
    <w:name w:val="Table Grid1"/>
    <w:basedOn w:val="TableNormal"/>
    <w:next w:val="TableGrid"/>
    <w:rsid w:val="00C95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5816A1"/>
    <w:rPr>
      <w:b/>
      <w:bCs/>
      <w:i/>
      <w:iCs/>
      <w:color w:val="4F81BD" w:themeColor="accent1"/>
    </w:rPr>
  </w:style>
  <w:style w:type="paragraph" w:customStyle="1" w:styleId="captions">
    <w:name w:val="captions"/>
    <w:basedOn w:val="Normal"/>
    <w:qFormat/>
    <w:rsid w:val="00C959E1"/>
    <w:pPr>
      <w:spacing w:line="240" w:lineRule="auto"/>
    </w:pPr>
    <w:rPr>
      <w:rFonts w:cs="Arial"/>
      <w:color w:val="auto"/>
      <w:sz w:val="20"/>
      <w:szCs w:val="20"/>
      <w:lang w:eastAsia="en-AU"/>
    </w:rPr>
  </w:style>
  <w:style w:type="character" w:customStyle="1" w:styleId="BodyTextIndentChar">
    <w:name w:val="Body Text Indent Char"/>
    <w:basedOn w:val="DefaultParagraphFont"/>
    <w:link w:val="BodyTextIndent"/>
    <w:rsid w:val="005816A1"/>
    <w:rPr>
      <w:rFonts w:ascii="Arial" w:hAnsi="Arial"/>
      <w:color w:val="333333"/>
      <w:sz w:val="24"/>
      <w:szCs w:val="24"/>
      <w:lang w:eastAsia="en-US"/>
    </w:rPr>
  </w:style>
  <w:style w:type="paragraph" w:styleId="ListBullet2">
    <w:name w:val="List Bullet 2"/>
    <w:basedOn w:val="Normal"/>
    <w:autoRedefine/>
    <w:rsid w:val="00401ADC"/>
    <w:pPr>
      <w:numPr>
        <w:numId w:val="20"/>
      </w:numPr>
      <w:spacing w:before="240" w:after="120" w:line="276" w:lineRule="auto"/>
    </w:pPr>
    <w:rPr>
      <w:rFonts w:cs="Arial"/>
      <w:b/>
      <w:color w:val="007FAA"/>
      <w:lang w:eastAsia="en-AU"/>
    </w:rPr>
  </w:style>
  <w:style w:type="paragraph" w:styleId="ListBullet3">
    <w:name w:val="List Bullet 3"/>
    <w:basedOn w:val="Normal"/>
    <w:rsid w:val="00401ADC"/>
    <w:pPr>
      <w:numPr>
        <w:numId w:val="19"/>
      </w:numPr>
      <w:spacing w:after="120" w:line="276" w:lineRule="auto"/>
    </w:pPr>
    <w:rPr>
      <w:rFonts w:cs="Arial"/>
      <w:b/>
      <w:color w:val="008000"/>
      <w:lang w:eastAsia="en-AU"/>
    </w:rPr>
  </w:style>
  <w:style w:type="numbering" w:customStyle="1" w:styleId="NoList3">
    <w:name w:val="No List3"/>
    <w:next w:val="NoList"/>
    <w:uiPriority w:val="99"/>
    <w:semiHidden/>
    <w:unhideWhenUsed/>
    <w:rsid w:val="00BE4F3F"/>
  </w:style>
  <w:style w:type="table" w:customStyle="1" w:styleId="TableGrid2">
    <w:name w:val="Table Grid2"/>
    <w:basedOn w:val="TableNormal"/>
    <w:next w:val="TableGrid"/>
    <w:rsid w:val="004E6EF0"/>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2">
    <w:name w:val="Title Page2"/>
    <w:basedOn w:val="TitlePage"/>
    <w:qFormat/>
    <w:rsid w:val="006A5147"/>
    <w:pPr>
      <w:ind w:left="432" w:hanging="432"/>
    </w:pPr>
    <w:rPr>
      <w:sz w:val="28"/>
      <w:szCs w:val="28"/>
    </w:rPr>
  </w:style>
  <w:style w:type="table" w:customStyle="1" w:styleId="TableGrid3">
    <w:name w:val="Table Grid3"/>
    <w:basedOn w:val="TableNormal"/>
    <w:next w:val="TableGrid"/>
    <w:uiPriority w:val="59"/>
    <w:rsid w:val="00BE4F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4F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ListBullet"/>
    <w:rsid w:val="004502D0"/>
    <w:rPr>
      <w:rFonts w:eastAsiaTheme="minorHAnsi"/>
    </w:rPr>
  </w:style>
  <w:style w:type="numbering" w:customStyle="1" w:styleId="NoList4">
    <w:name w:val="No List4"/>
    <w:next w:val="NoList"/>
    <w:uiPriority w:val="99"/>
    <w:semiHidden/>
    <w:unhideWhenUsed/>
    <w:rsid w:val="00422A90"/>
  </w:style>
  <w:style w:type="paragraph" w:customStyle="1" w:styleId="BodyText2">
    <w:name w:val="Body Text2"/>
    <w:basedOn w:val="BodyText"/>
    <w:qFormat/>
    <w:rsid w:val="00306DAD"/>
    <w:pPr>
      <w:spacing w:after="0"/>
    </w:p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color w:val="333333"/>
      <w:lang w:eastAsia="en-US"/>
    </w:rPr>
  </w:style>
  <w:style w:type="paragraph" w:styleId="BalloonText">
    <w:name w:val="Balloon Text"/>
    <w:basedOn w:val="Normal"/>
    <w:link w:val="BalloonTextChar"/>
    <w:uiPriority w:val="99"/>
    <w:rsid w:val="008B79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B79A4"/>
    <w:rPr>
      <w:rFonts w:ascii="Tahoma" w:hAnsi="Tahoma" w:cs="Tahoma"/>
      <w:color w:val="333333"/>
      <w:sz w:val="16"/>
      <w:szCs w:val="16"/>
      <w:lang w:eastAsia="en-US"/>
    </w:rPr>
  </w:style>
  <w:style w:type="paragraph" w:customStyle="1" w:styleId="Heading3Italic">
    <w:name w:val="Heading 3 Italic"/>
    <w:basedOn w:val="Normal"/>
    <w:qFormat/>
    <w:rsid w:val="00D53150"/>
    <w:pPr>
      <w:outlineLvl w:val="2"/>
    </w:pPr>
    <w:rPr>
      <w:b/>
      <w:i/>
      <w:color w:val="auto"/>
    </w:rPr>
  </w:style>
  <w:style w:type="paragraph" w:customStyle="1" w:styleId="Heading4Recommendation">
    <w:name w:val="Heading 4 Recommendation"/>
    <w:basedOn w:val="Normal"/>
    <w:qFormat/>
    <w:rsid w:val="00D53150"/>
    <w:pPr>
      <w:spacing w:before="240" w:after="120" w:line="240" w:lineRule="auto"/>
      <w:outlineLvl w:val="3"/>
    </w:pPr>
    <w:rPr>
      <w:b/>
      <w:color w:val="auto"/>
    </w:rPr>
  </w:style>
  <w:style w:type="paragraph" w:customStyle="1" w:styleId="Heading5alphabet">
    <w:name w:val="Heading 5 alphabet"/>
    <w:basedOn w:val="BodyText"/>
    <w:qFormat/>
    <w:rsid w:val="008A7192"/>
    <w:pPr>
      <w:outlineLvl w:val="4"/>
    </w:pPr>
  </w:style>
  <w:style w:type="paragraph" w:customStyle="1" w:styleId="Heading5allcaps">
    <w:name w:val="Heading 5 all caps"/>
    <w:basedOn w:val="BodyText"/>
    <w:qFormat/>
    <w:rsid w:val="00914F9F"/>
    <w:pPr>
      <w:outlineLvl w:val="4"/>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196641">
      <w:bodyDiv w:val="1"/>
      <w:marLeft w:val="0"/>
      <w:marRight w:val="0"/>
      <w:marTop w:val="0"/>
      <w:marBottom w:val="0"/>
      <w:divBdr>
        <w:top w:val="none" w:sz="0" w:space="0" w:color="auto"/>
        <w:left w:val="none" w:sz="0" w:space="0" w:color="auto"/>
        <w:bottom w:val="none" w:sz="0" w:space="0" w:color="auto"/>
        <w:right w:val="none" w:sz="0" w:space="0" w:color="auto"/>
      </w:divBdr>
    </w:div>
    <w:div w:id="1997294385">
      <w:bodyDiv w:val="1"/>
      <w:marLeft w:val="0"/>
      <w:marRight w:val="0"/>
      <w:marTop w:val="0"/>
      <w:marBottom w:val="0"/>
      <w:divBdr>
        <w:top w:val="none" w:sz="0" w:space="0" w:color="auto"/>
        <w:left w:val="none" w:sz="0" w:space="0" w:color="auto"/>
        <w:bottom w:val="none" w:sz="0" w:space="0" w:color="auto"/>
        <w:right w:val="none" w:sz="0" w:space="0" w:color="auto"/>
      </w:divBdr>
    </w:div>
    <w:div w:id="2113209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mailto:crcreview@industry.gov.au" TargetMode="External"/><Relationship Id="rId39" Type="http://schemas.openxmlformats.org/officeDocument/2006/relationships/hyperlink" Target="http://www.rirdc.gov.au/for-researchers" TargetMode="External"/><Relationship Id="rId21" Type="http://schemas.openxmlformats.org/officeDocument/2006/relationships/chart" Target="charts/chart2.xml"/><Relationship Id="rId34" Type="http://schemas.openxmlformats.org/officeDocument/2006/relationships/hyperlink" Target="http://www.nhmrc.gov.au/grants/apply-funding/centres-research-excellence-cre" TargetMode="External"/><Relationship Id="rId42" Type="http://schemas.openxmlformats.org/officeDocument/2006/relationships/hyperlink" Target="http://www.csiro.au/Portals/Partner/SME-Engagement.aspx" TargetMode="External"/><Relationship Id="rId47" Type="http://schemas.openxmlformats.org/officeDocument/2006/relationships/hyperlink" Target="http://www.trade.nsw.gov.au/business-and-industry-in-nsw/innovation-and-research/innovate-nsw" TargetMode="External"/><Relationship Id="rId50" Type="http://schemas.openxmlformats.org/officeDocument/2006/relationships/hyperlink" Target="http://www.trade.nsw.gov.au/business-and-industry-in-nsw/innovation-and-research/innovate-nsw/collaborative-solutions" TargetMode="External"/><Relationship Id="rId55" Type="http://schemas.openxmlformats.org/officeDocument/2006/relationships/hyperlink" Target="http://www.business.vic.gov.au/support-for-your-business/grants-and-assistance/the-victoria-israel-science-innovation-and-technology-scheme-visits/victoria-israel-science-and-technology-research-and-development-fund-vistech" TargetMode="External"/><Relationship Id="rId63" Type="http://schemas.openxmlformats.org/officeDocument/2006/relationships/hyperlink" Target="http://www.ausicom.com/" TargetMode="External"/><Relationship Id="rId68" Type="http://schemas.openxmlformats.org/officeDocument/2006/relationships/hyperlink" Target="http://mriwa.wa.gov.au/about/objective" TargetMode="External"/><Relationship Id="rId76" Type="http://schemas.openxmlformats.org/officeDocument/2006/relationships/hyperlink" Target="http://www.mega.org.au/" TargetMode="External"/><Relationship Id="rId84" Type="http://schemas.openxmlformats.org/officeDocument/2006/relationships/hyperlink" Target="http://www.pir.sa.gov.au/regions/innovation_clusters" TargetMode="External"/><Relationship Id="rId89" Type="http://schemas.openxmlformats.org/officeDocument/2006/relationships/fontTable" Target="fontTable.xml"/><Relationship Id="rId7" Type="http://schemas.microsoft.com/office/2007/relationships/stylesWithEffects" Target="stylesWithEffects.xml"/><Relationship Id="rId71" Type="http://schemas.openxmlformats.org/officeDocument/2006/relationships/hyperlink" Target="http://www.dpc.wa.gov.au/science/BuildingCapacity/Pages/WAFellowshipsProgram.aspx" TargetMode="Externa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hyperlink" Target="http://www.arc.gov.au/ncgp/lief/lief_default.htm" TargetMode="External"/><Relationship Id="rId11" Type="http://schemas.openxmlformats.org/officeDocument/2006/relationships/endnotes" Target="endnotes.xml"/><Relationship Id="rId24" Type="http://schemas.openxmlformats.org/officeDocument/2006/relationships/hyperlink" Target="http://www.finance.gov.au/budget/budget-process/expenditure-review-principles.html" TargetMode="External"/><Relationship Id="rId32" Type="http://schemas.openxmlformats.org/officeDocument/2006/relationships/hyperlink" Target="http://www.dsto.defence.gov.au/collaboration/5189/" TargetMode="External"/><Relationship Id="rId37" Type="http://schemas.openxmlformats.org/officeDocument/2006/relationships/hyperlink" Target="http://www.nhmrc.gov.au/grants/apply-funding/partnerships-better-health/partnerships-projects" TargetMode="External"/><Relationship Id="rId40" Type="http://schemas.openxmlformats.org/officeDocument/2006/relationships/hyperlink" Target="http://www.agriculture.gov.au/ag-farm-food/innovation/rural-research-development-for-profit" TargetMode="External"/><Relationship Id="rId45" Type="http://schemas.openxmlformats.org/officeDocument/2006/relationships/hyperlink" Target="http://www.business.gov.au/advice-and-support/EIP/Research-Connections/Pages/default.aspx" TargetMode="External"/><Relationship Id="rId53" Type="http://schemas.openxmlformats.org/officeDocument/2006/relationships/hyperlink" Target="http://www.agribio.com.au/" TargetMode="External"/><Relationship Id="rId58" Type="http://schemas.openxmlformats.org/officeDocument/2006/relationships/hyperlink" Target="http://www.business.vic.gov.au/support-for-your-business/grants-and-assistance/smart-smes-innovation-commercialisation-program/practical-drug-development-program-pddp" TargetMode="External"/><Relationship Id="rId66" Type="http://schemas.openxmlformats.org/officeDocument/2006/relationships/hyperlink" Target="http://www.health.qld.gov.au/ohmr/html/funding/funding.asp" TargetMode="External"/><Relationship Id="rId74" Type="http://schemas.openxmlformats.org/officeDocument/2006/relationships/hyperlink" Target="http://www.dpc.wa.gov.au/science/BuildingCapacity/Pages/CentresofExcellence.aspx" TargetMode="External"/><Relationship Id="rId79" Type="http://schemas.openxmlformats.org/officeDocument/2006/relationships/hyperlink" Target="http://www.statedevelopment.sa.gov.au/industry/manufacturing/manufacturing-programs-and-initiatives/innovation-voucher-program" TargetMode="External"/><Relationship Id="rId87" Type="http://schemas.openxmlformats.org/officeDocument/2006/relationships/hyperlink" Target="http://www.dob.nt.gov.au/industry-development/research-innovation/grants/Pages/default.aspx" TargetMode="External"/><Relationship Id="rId5" Type="http://schemas.openxmlformats.org/officeDocument/2006/relationships/numbering" Target="numbering.xml"/><Relationship Id="rId61" Type="http://schemas.openxmlformats.org/officeDocument/2006/relationships/hyperlink" Target="http://www.business.vic.gov.au/support-for-your-business/grants-and-assistance/manufacturing-productivity-network" TargetMode="External"/><Relationship Id="rId82" Type="http://schemas.openxmlformats.org/officeDocument/2006/relationships/hyperlink" Target="http://www.statedevelopment.sa.gov.au/science/premiers-research-and-industry-fund/international-research-grant-program" TargetMode="External"/><Relationship Id="rId90" Type="http://schemas.openxmlformats.org/officeDocument/2006/relationships/theme" Target="theme/theme1.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chart" Target="charts/chart3.xml"/><Relationship Id="rId27" Type="http://schemas.openxmlformats.org/officeDocument/2006/relationships/hyperlink" Target="http://www.arc.gov.au/ncgp/ce/ce_default.htm" TargetMode="External"/><Relationship Id="rId30" Type="http://schemas.openxmlformats.org/officeDocument/2006/relationships/hyperlink" Target="http://www.arc.gov.au/ncgp/itrp/hubs_default.htm" TargetMode="External"/><Relationship Id="rId35" Type="http://schemas.openxmlformats.org/officeDocument/2006/relationships/hyperlink" Target="http://www.nhmrc.gov.au/grants/apply-funding/career-development-fellowships" TargetMode="External"/><Relationship Id="rId43" Type="http://schemas.openxmlformats.org/officeDocument/2006/relationships/hyperlink" Target="http://www.csiro.au/Portals/Partner/Collaborate/AGP.aspx" TargetMode="External"/><Relationship Id="rId48" Type="http://schemas.openxmlformats.org/officeDocument/2006/relationships/hyperlink" Target="http://www.trade.nsw.gov.au/business-and-industry-in-nsw/innovation-and-research/innovate-nsw/minimum-viable-product-program" TargetMode="External"/><Relationship Id="rId56" Type="http://schemas.openxmlformats.org/officeDocument/2006/relationships/hyperlink" Target="http://www.business.vic.gov.au/support-for-your-business/grants-and-assistance/driving-business-innovation" TargetMode="External"/><Relationship Id="rId64" Type="http://schemas.openxmlformats.org/officeDocument/2006/relationships/hyperlink" Target="http://www.qwin.com.au/" TargetMode="External"/><Relationship Id="rId69" Type="http://schemas.openxmlformats.org/officeDocument/2006/relationships/hyperlink" Target="http://www.icrar.org/" TargetMode="External"/><Relationship Id="rId77" Type="http://schemas.openxmlformats.org/officeDocument/2006/relationships/hyperlink" Target="http://www.statedevelopment.sa.gov.au/science/premiers-research-and-industry-fund" TargetMode="External"/><Relationship Id="rId8" Type="http://schemas.openxmlformats.org/officeDocument/2006/relationships/settings" Target="settings.xml"/><Relationship Id="rId51" Type="http://schemas.openxmlformats.org/officeDocument/2006/relationships/hyperlink" Target="http://www.innovations.unsw.edu.au/easy-access-ip" TargetMode="External"/><Relationship Id="rId72" Type="http://schemas.openxmlformats.org/officeDocument/2006/relationships/hyperlink" Target="http://business.curtin.edu.au/courses/centre-for-entrepreneurship/programs/ignition/index.cfm" TargetMode="External"/><Relationship Id="rId80" Type="http://schemas.openxmlformats.org/officeDocument/2006/relationships/hyperlink" Target="http://www.statedevelopment.sa.gov.au/science/premiers-research-and-industry-fund/south-australian-research-fellowship-program" TargetMode="External"/><Relationship Id="rId85" Type="http://schemas.openxmlformats.org/officeDocument/2006/relationships/hyperlink" Target="http://lighthouseinnovation.com.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http://www.business.gov.au/grants-and-assistance/Collaboration/CRC/CRC-Programme-Review/Pages/default.aspx" TargetMode="External"/><Relationship Id="rId33" Type="http://schemas.openxmlformats.org/officeDocument/2006/relationships/hyperlink" Target="http://www.business.gov.au/advice-and-support/other-industry-support/Pages/NACC-ISP.aspx" TargetMode="External"/><Relationship Id="rId38" Type="http://schemas.openxmlformats.org/officeDocument/2006/relationships/hyperlink" Target="http://www.nhmrc.gov.au/grants/apply-funding/development-grants" TargetMode="External"/><Relationship Id="rId46" Type="http://schemas.openxmlformats.org/officeDocument/2006/relationships/hyperlink" Target="http://www.business.gov.au/advice-and-support/EIP/Accelerating-Commercialisation/Pages/default.aspx" TargetMode="External"/><Relationship Id="rId59" Type="http://schemas.openxmlformats.org/officeDocument/2006/relationships/hyperlink" Target="http://www.business.vic.gov.au/support-for-your-business/grants-and-assistance/innovation-technology-vouchers" TargetMode="External"/><Relationship Id="rId67" Type="http://schemas.openxmlformats.org/officeDocument/2006/relationships/hyperlink" Target="http://qmisolutions.com.au/" TargetMode="External"/><Relationship Id="rId20" Type="http://schemas.openxmlformats.org/officeDocument/2006/relationships/chart" Target="charts/chart1.xml"/><Relationship Id="rId41" Type="http://schemas.openxmlformats.org/officeDocument/2006/relationships/hyperlink" Target="http://www.csiro.au/org/AboutNationalResearchFlagships" TargetMode="External"/><Relationship Id="rId54" Type="http://schemas.openxmlformats.org/officeDocument/2006/relationships/hyperlink" Target="http://www.business.vic.gov.au/support-for-your-business/grants-and-assistance/biotechnology-trade" TargetMode="External"/><Relationship Id="rId62" Type="http://schemas.openxmlformats.org/officeDocument/2006/relationships/hyperlink" Target="http://www.veski.org/" TargetMode="External"/><Relationship Id="rId70" Type="http://schemas.openxmlformats.org/officeDocument/2006/relationships/hyperlink" Target="http://www.wamsi.org.au/" TargetMode="External"/><Relationship Id="rId75" Type="http://schemas.openxmlformats.org/officeDocument/2006/relationships/hyperlink" Target="http://www.dpc.wa.gov.au/science/BuildingCapacity/Pages/SharkHazardMitigation.aspx" TargetMode="External"/><Relationship Id="rId83" Type="http://schemas.openxmlformats.org/officeDocument/2006/relationships/hyperlink" Target="http://www.statedevelopment.sa.gov.au/industry/manufacturing/manufacturing-programs-and-initiatives/medical-technologies-program" TargetMode="External"/><Relationship Id="rId88" Type="http://schemas.openxmlformats.org/officeDocument/2006/relationships/hyperlink" Target="http://www.dob.nt.gov.au/industry-development/research-innovation/grants/Pages/default.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reativecommons.org/licenses/%20by/3.0/au/legalcode" TargetMode="External"/><Relationship Id="rId23" Type="http://schemas.openxmlformats.org/officeDocument/2006/relationships/chart" Target="charts/chart4.xml"/><Relationship Id="rId28" Type="http://schemas.openxmlformats.org/officeDocument/2006/relationships/hyperlink" Target="http://www.arc.gov.au/ncgp/lp/lp_default.htm" TargetMode="External"/><Relationship Id="rId36" Type="http://schemas.openxmlformats.org/officeDocument/2006/relationships/hyperlink" Target="http://www.nhmrc.gov.au/grants/apply-funding/program-grants" TargetMode="External"/><Relationship Id="rId49" Type="http://schemas.openxmlformats.org/officeDocument/2006/relationships/hyperlink" Target="http://www.trade.nsw.gov.au/business-and-industry-in-nsw/innovation-and-research/innovate-nsw/tech-vouchers" TargetMode="External"/><Relationship Id="rId57" Type="http://schemas.openxmlformats.org/officeDocument/2006/relationships/hyperlink" Target="http://www.business.vic.gov.au/support-for-your-business/grants-and-assistance/smart-smes-innovation-commercialisation-program" TargetMode="External"/><Relationship Id="rId10" Type="http://schemas.openxmlformats.org/officeDocument/2006/relationships/footnotes" Target="footnotes.xml"/><Relationship Id="rId31" Type="http://schemas.openxmlformats.org/officeDocument/2006/relationships/hyperlink" Target="http://www.arc.gov.au/ncgp/itrp/centres_default.htm" TargetMode="External"/><Relationship Id="rId44" Type="http://schemas.openxmlformats.org/officeDocument/2006/relationships/hyperlink" Target="http://arena.gov.au/initiatives-and-programs/research-and-development-program/" TargetMode="External"/><Relationship Id="rId52" Type="http://schemas.openxmlformats.org/officeDocument/2006/relationships/hyperlink" Target="http://www.chiefscientist.nsw.gov.au/investing-in-science/research-attraction-and-acceleration-program-raap" TargetMode="External"/><Relationship Id="rId60" Type="http://schemas.openxmlformats.org/officeDocument/2006/relationships/hyperlink" Target="http://www.business.vic.gov.au/support-for-your-business/grants-and-assistance/future-designers-program" TargetMode="External"/><Relationship Id="rId65" Type="http://schemas.openxmlformats.org/officeDocument/2006/relationships/hyperlink" Target="http://www.lsq.com.au/" TargetMode="External"/><Relationship Id="rId73" Type="http://schemas.openxmlformats.org/officeDocument/2006/relationships/hyperlink" Target="http://innovation.wa.gov.au/about-us/the-innovation-centre-of-wa/" TargetMode="External"/><Relationship Id="rId78" Type="http://schemas.openxmlformats.org/officeDocument/2006/relationships/hyperlink" Target="http://www.statedevelopment.sa.gov.au/science/premiers-research-and-industry-fund/catalyst-research-grants" TargetMode="External"/><Relationship Id="rId81" Type="http://schemas.openxmlformats.org/officeDocument/2006/relationships/hyperlink" Target="http://www.statedevelopment.sa.gov.au/science/premiers-research-and-industry-fund/collaboration-pathways-program" TargetMode="External"/><Relationship Id="rId86" Type="http://schemas.openxmlformats.org/officeDocument/2006/relationships/hyperlink" Target="http://www.dob.nt.gov.au/industry-development/research-innovation/grants/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ndustry.gov.au/innovation/reportsandstudies/Pages/NationalSurveyofResearchCommercialisation.asp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SMEs </a:t>
            </a:r>
          </a:p>
        </c:rich>
      </c:tx>
      <c:overlay val="1"/>
    </c:title>
    <c:autoTitleDeleted val="0"/>
    <c:plotArea>
      <c:layout>
        <c:manualLayout>
          <c:layoutTarget val="inner"/>
          <c:xMode val="edge"/>
          <c:yMode val="edge"/>
          <c:x val="9.3085739282589675E-2"/>
          <c:y val="0.16251166520851559"/>
          <c:w val="0.87645538057742767"/>
          <c:h val="0.72150845727617385"/>
        </c:manualLayout>
      </c:layout>
      <c:lineChart>
        <c:grouping val="standard"/>
        <c:varyColors val="0"/>
        <c:ser>
          <c:idx val="0"/>
          <c:order val="0"/>
          <c:tx>
            <c:strRef>
              <c:f>'2004-06'!$J$3</c:f>
              <c:strCache>
                <c:ptCount val="1"/>
                <c:pt idx="0">
                  <c:v>Australia</c:v>
                </c:pt>
              </c:strCache>
            </c:strRef>
          </c:tx>
          <c:marker>
            <c:symbol val="none"/>
          </c:marker>
          <c:cat>
            <c:strRef>
              <c:f>'2004-06'!$K$2:$N$2</c:f>
              <c:strCache>
                <c:ptCount val="4"/>
                <c:pt idx="0">
                  <c:v>2002-04</c:v>
                </c:pt>
                <c:pt idx="1">
                  <c:v>2004-06</c:v>
                </c:pt>
                <c:pt idx="2">
                  <c:v>2006-08</c:v>
                </c:pt>
                <c:pt idx="3">
                  <c:v>2008-10</c:v>
                </c:pt>
              </c:strCache>
            </c:strRef>
          </c:cat>
          <c:val>
            <c:numRef>
              <c:f>'2004-06'!$K$3:$N$3</c:f>
              <c:numCache>
                <c:formatCode>0</c:formatCode>
                <c:ptCount val="4"/>
                <c:pt idx="0">
                  <c:v>1</c:v>
                </c:pt>
                <c:pt idx="1">
                  <c:v>3.1</c:v>
                </c:pt>
                <c:pt idx="2">
                  <c:v>3.5999999999999996</c:v>
                </c:pt>
                <c:pt idx="3">
                  <c:v>4.0999999999999996</c:v>
                </c:pt>
              </c:numCache>
            </c:numRef>
          </c:val>
          <c:smooth val="0"/>
        </c:ser>
        <c:ser>
          <c:idx val="1"/>
          <c:order val="1"/>
          <c:tx>
            <c:strRef>
              <c:f>'2004-06'!$J$4</c:f>
              <c:strCache>
                <c:ptCount val="1"/>
                <c:pt idx="0">
                  <c:v>OECD average</c:v>
                </c:pt>
              </c:strCache>
            </c:strRef>
          </c:tx>
          <c:marker>
            <c:symbol val="none"/>
          </c:marker>
          <c:cat>
            <c:strRef>
              <c:f>'2004-06'!$K$2:$N$2</c:f>
              <c:strCache>
                <c:ptCount val="4"/>
                <c:pt idx="0">
                  <c:v>2002-04</c:v>
                </c:pt>
                <c:pt idx="1">
                  <c:v>2004-06</c:v>
                </c:pt>
                <c:pt idx="2">
                  <c:v>2006-08</c:v>
                </c:pt>
                <c:pt idx="3">
                  <c:v>2008-10</c:v>
                </c:pt>
              </c:strCache>
            </c:strRef>
          </c:cat>
          <c:val>
            <c:numRef>
              <c:f>'2004-06'!$K$4:$N$4</c:f>
              <c:numCache>
                <c:formatCode>0</c:formatCode>
                <c:ptCount val="4"/>
                <c:pt idx="0">
                  <c:v>3.7371775279646591</c:v>
                </c:pt>
                <c:pt idx="1">
                  <c:v>4.0060256681873687</c:v>
                </c:pt>
                <c:pt idx="2">
                  <c:v>12.319685634151545</c:v>
                </c:pt>
                <c:pt idx="3">
                  <c:v>13.767818608749492</c:v>
                </c:pt>
              </c:numCache>
            </c:numRef>
          </c:val>
          <c:smooth val="0"/>
        </c:ser>
        <c:ser>
          <c:idx val="2"/>
          <c:order val="2"/>
          <c:tx>
            <c:strRef>
              <c:f>'2004-06'!$J$5</c:f>
              <c:strCache>
                <c:ptCount val="1"/>
                <c:pt idx="0">
                  <c:v>OECD top ten average</c:v>
                </c:pt>
              </c:strCache>
            </c:strRef>
          </c:tx>
          <c:marker>
            <c:symbol val="none"/>
          </c:marker>
          <c:cat>
            <c:strRef>
              <c:f>'2004-06'!$K$2:$N$2</c:f>
              <c:strCache>
                <c:ptCount val="4"/>
                <c:pt idx="0">
                  <c:v>2002-04</c:v>
                </c:pt>
                <c:pt idx="1">
                  <c:v>2004-06</c:v>
                </c:pt>
                <c:pt idx="2">
                  <c:v>2006-08</c:v>
                </c:pt>
                <c:pt idx="3">
                  <c:v>2008-10</c:v>
                </c:pt>
              </c:strCache>
            </c:strRef>
          </c:cat>
          <c:val>
            <c:numRef>
              <c:f>'2004-06'!$K$5:$N$5</c:f>
              <c:numCache>
                <c:formatCode>0</c:formatCode>
                <c:ptCount val="4"/>
                <c:pt idx="0">
                  <c:v>5.7</c:v>
                </c:pt>
                <c:pt idx="1">
                  <c:v>6</c:v>
                </c:pt>
                <c:pt idx="2">
                  <c:v>18.2</c:v>
                </c:pt>
                <c:pt idx="3">
                  <c:v>22.4</c:v>
                </c:pt>
              </c:numCache>
            </c:numRef>
          </c:val>
          <c:smooth val="0"/>
        </c:ser>
        <c:dLbls>
          <c:showLegendKey val="0"/>
          <c:showVal val="0"/>
          <c:showCatName val="0"/>
          <c:showSerName val="0"/>
          <c:showPercent val="0"/>
          <c:showBubbleSize val="0"/>
        </c:dLbls>
        <c:marker val="1"/>
        <c:smooth val="0"/>
        <c:axId val="183379072"/>
        <c:axId val="183380608"/>
      </c:lineChart>
      <c:catAx>
        <c:axId val="183379072"/>
        <c:scaling>
          <c:orientation val="minMax"/>
        </c:scaling>
        <c:delete val="0"/>
        <c:axPos val="b"/>
        <c:majorTickMark val="out"/>
        <c:minorTickMark val="none"/>
        <c:tickLblPos val="nextTo"/>
        <c:crossAx val="183380608"/>
        <c:crossesAt val="0"/>
        <c:auto val="1"/>
        <c:lblAlgn val="ctr"/>
        <c:lblOffset val="100"/>
        <c:noMultiLvlLbl val="0"/>
      </c:catAx>
      <c:valAx>
        <c:axId val="183380608"/>
        <c:scaling>
          <c:orientation val="minMax"/>
        </c:scaling>
        <c:delete val="0"/>
        <c:axPos val="l"/>
        <c:majorGridlines/>
        <c:title>
          <c:tx>
            <c:rich>
              <a:bodyPr rot="-5400000" vert="horz"/>
              <a:lstStyle/>
              <a:p>
                <a:pPr>
                  <a:defRPr/>
                </a:pPr>
                <a:r>
                  <a:rPr lang="en-US"/>
                  <a:t>Percentage of all firms</a:t>
                </a:r>
              </a:p>
            </c:rich>
          </c:tx>
          <c:overlay val="0"/>
        </c:title>
        <c:numFmt formatCode="0" sourceLinked="1"/>
        <c:majorTickMark val="out"/>
        <c:minorTickMark val="none"/>
        <c:tickLblPos val="nextTo"/>
        <c:crossAx val="183379072"/>
        <c:crosses val="autoZero"/>
        <c:crossBetween val="between"/>
      </c:valAx>
    </c:plotArea>
    <c:legend>
      <c:legendPos val="r"/>
      <c:layout>
        <c:manualLayout>
          <c:xMode val="edge"/>
          <c:yMode val="edge"/>
          <c:x val="0.15009667541557306"/>
          <c:y val="0.23090551181102362"/>
          <c:w val="0.3554588801399825"/>
          <c:h val="0.18633675998833479"/>
        </c:manualLayout>
      </c:layout>
      <c:overlay val="0"/>
      <c:spPr>
        <a:solidFill>
          <a:schemeClr val="bg1"/>
        </a:solidFill>
        <a:ln>
          <a:solidFill>
            <a:schemeClr val="bg1">
              <a:lumMod val="65000"/>
            </a:schemeClr>
          </a:solidFill>
        </a:ln>
      </c:sp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Large firms</a:t>
            </a:r>
          </a:p>
        </c:rich>
      </c:tx>
      <c:overlay val="0"/>
    </c:title>
    <c:autoTitleDeleted val="0"/>
    <c:plotArea>
      <c:layout>
        <c:manualLayout>
          <c:layoutTarget val="inner"/>
          <c:xMode val="edge"/>
          <c:yMode val="edge"/>
          <c:x val="9.3085739282589675E-2"/>
          <c:y val="0.19480351414406533"/>
          <c:w val="0.88478871391076108"/>
          <c:h val="0.68921660834062404"/>
        </c:manualLayout>
      </c:layout>
      <c:lineChart>
        <c:grouping val="standard"/>
        <c:varyColors val="0"/>
        <c:ser>
          <c:idx val="0"/>
          <c:order val="0"/>
          <c:tx>
            <c:strRef>
              <c:f>'2004-06'!$P$3</c:f>
              <c:strCache>
                <c:ptCount val="1"/>
                <c:pt idx="0">
                  <c:v>Australia</c:v>
                </c:pt>
              </c:strCache>
            </c:strRef>
          </c:tx>
          <c:marker>
            <c:symbol val="none"/>
          </c:marker>
          <c:cat>
            <c:strRef>
              <c:f>'2004-06'!$Q$2:$T$2</c:f>
              <c:strCache>
                <c:ptCount val="4"/>
                <c:pt idx="0">
                  <c:v>2002-04</c:v>
                </c:pt>
                <c:pt idx="1">
                  <c:v>2004-06</c:v>
                </c:pt>
                <c:pt idx="2">
                  <c:v>2006-08</c:v>
                </c:pt>
                <c:pt idx="3">
                  <c:v>2008-10</c:v>
                </c:pt>
              </c:strCache>
            </c:strRef>
          </c:cat>
          <c:val>
            <c:numRef>
              <c:f>'2004-06'!$Q$3:$T$3</c:f>
              <c:numCache>
                <c:formatCode>0</c:formatCode>
                <c:ptCount val="4"/>
                <c:pt idx="0">
                  <c:v>4</c:v>
                </c:pt>
                <c:pt idx="1">
                  <c:v>10</c:v>
                </c:pt>
                <c:pt idx="2">
                  <c:v>6.75</c:v>
                </c:pt>
                <c:pt idx="3">
                  <c:v>3.5</c:v>
                </c:pt>
              </c:numCache>
            </c:numRef>
          </c:val>
          <c:smooth val="0"/>
        </c:ser>
        <c:ser>
          <c:idx val="1"/>
          <c:order val="1"/>
          <c:tx>
            <c:strRef>
              <c:f>'2004-06'!$P$4</c:f>
              <c:strCache>
                <c:ptCount val="1"/>
                <c:pt idx="0">
                  <c:v>OECD average</c:v>
                </c:pt>
              </c:strCache>
            </c:strRef>
          </c:tx>
          <c:marker>
            <c:symbol val="none"/>
          </c:marker>
          <c:cat>
            <c:strRef>
              <c:f>'2004-06'!$Q$2:$T$2</c:f>
              <c:strCache>
                <c:ptCount val="4"/>
                <c:pt idx="0">
                  <c:v>2002-04</c:v>
                </c:pt>
                <c:pt idx="1">
                  <c:v>2004-06</c:v>
                </c:pt>
                <c:pt idx="2">
                  <c:v>2006-08</c:v>
                </c:pt>
                <c:pt idx="3">
                  <c:v>2008-10</c:v>
                </c:pt>
              </c:strCache>
            </c:strRef>
          </c:cat>
          <c:val>
            <c:numRef>
              <c:f>'2004-06'!$Q$4:$T$4</c:f>
              <c:numCache>
                <c:formatCode>0</c:formatCode>
                <c:ptCount val="4"/>
                <c:pt idx="0">
                  <c:v>20.31278376457815</c:v>
                </c:pt>
                <c:pt idx="1">
                  <c:v>22.740724397333324</c:v>
                </c:pt>
                <c:pt idx="2">
                  <c:v>31.41347861704882</c:v>
                </c:pt>
                <c:pt idx="3">
                  <c:v>34.382366828775361</c:v>
                </c:pt>
              </c:numCache>
            </c:numRef>
          </c:val>
          <c:smooth val="0"/>
        </c:ser>
        <c:ser>
          <c:idx val="2"/>
          <c:order val="2"/>
          <c:tx>
            <c:strRef>
              <c:f>'2004-06'!$P$5</c:f>
              <c:strCache>
                <c:ptCount val="1"/>
                <c:pt idx="0">
                  <c:v>OECD top ten average</c:v>
                </c:pt>
              </c:strCache>
            </c:strRef>
          </c:tx>
          <c:marker>
            <c:symbol val="none"/>
          </c:marker>
          <c:cat>
            <c:strRef>
              <c:f>'2004-06'!$Q$2:$T$2</c:f>
              <c:strCache>
                <c:ptCount val="4"/>
                <c:pt idx="0">
                  <c:v>2002-04</c:v>
                </c:pt>
                <c:pt idx="1">
                  <c:v>2004-06</c:v>
                </c:pt>
                <c:pt idx="2">
                  <c:v>2006-08</c:v>
                </c:pt>
                <c:pt idx="3">
                  <c:v>2008-10</c:v>
                </c:pt>
              </c:strCache>
            </c:strRef>
          </c:cat>
          <c:val>
            <c:numRef>
              <c:f>'2004-06'!$Q$5:$T$5</c:f>
              <c:numCache>
                <c:formatCode>0</c:formatCode>
                <c:ptCount val="4"/>
                <c:pt idx="0">
                  <c:v>29.7</c:v>
                </c:pt>
                <c:pt idx="1">
                  <c:v>33.6</c:v>
                </c:pt>
                <c:pt idx="2">
                  <c:v>47.2</c:v>
                </c:pt>
                <c:pt idx="3">
                  <c:v>51.5</c:v>
                </c:pt>
              </c:numCache>
            </c:numRef>
          </c:val>
          <c:smooth val="0"/>
        </c:ser>
        <c:dLbls>
          <c:showLegendKey val="0"/>
          <c:showVal val="0"/>
          <c:showCatName val="0"/>
          <c:showSerName val="0"/>
          <c:showPercent val="0"/>
          <c:showBubbleSize val="0"/>
        </c:dLbls>
        <c:marker val="1"/>
        <c:smooth val="0"/>
        <c:axId val="192142720"/>
        <c:axId val="200149248"/>
      </c:lineChart>
      <c:catAx>
        <c:axId val="192142720"/>
        <c:scaling>
          <c:orientation val="minMax"/>
        </c:scaling>
        <c:delete val="0"/>
        <c:axPos val="b"/>
        <c:majorTickMark val="out"/>
        <c:minorTickMark val="none"/>
        <c:tickLblPos val="nextTo"/>
        <c:crossAx val="200149248"/>
        <c:crosses val="autoZero"/>
        <c:auto val="1"/>
        <c:lblAlgn val="ctr"/>
        <c:lblOffset val="100"/>
        <c:noMultiLvlLbl val="0"/>
      </c:catAx>
      <c:valAx>
        <c:axId val="200149248"/>
        <c:scaling>
          <c:orientation val="minMax"/>
        </c:scaling>
        <c:delete val="0"/>
        <c:axPos val="l"/>
        <c:majorGridlines/>
        <c:title>
          <c:tx>
            <c:rich>
              <a:bodyPr rot="-5400000" vert="horz"/>
              <a:lstStyle/>
              <a:p>
                <a:pPr>
                  <a:defRPr/>
                </a:pPr>
                <a:r>
                  <a:rPr lang="en-US"/>
                  <a:t>Percentage of all firms</a:t>
                </a:r>
              </a:p>
            </c:rich>
          </c:tx>
          <c:overlay val="0"/>
        </c:title>
        <c:numFmt formatCode="0" sourceLinked="1"/>
        <c:majorTickMark val="out"/>
        <c:minorTickMark val="none"/>
        <c:tickLblPos val="nextTo"/>
        <c:crossAx val="192142720"/>
        <c:crosses val="autoZero"/>
        <c:crossBetween val="between"/>
      </c:valAx>
    </c:plotArea>
    <c:legend>
      <c:legendPos val="r"/>
      <c:layout>
        <c:manualLayout>
          <c:xMode val="edge"/>
          <c:yMode val="edge"/>
          <c:x val="0.11120778652668417"/>
          <c:y val="0.21927384076990375"/>
          <c:w val="0.33601443569553807"/>
          <c:h val="0.18170713035870517"/>
        </c:manualLayout>
      </c:layout>
      <c:overlay val="0"/>
      <c:spPr>
        <a:solidFill>
          <a:schemeClr val="bg1"/>
        </a:solidFill>
        <a:ln>
          <a:solidFill>
            <a:schemeClr val="bg1">
              <a:lumMod val="65000"/>
            </a:schemeClr>
          </a:solidFill>
        </a:ln>
      </c:sp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dLbl>
              <c:idx val="0"/>
              <c:layout>
                <c:manualLayout>
                  <c:x val="7.9204631505099002E-2"/>
                  <c:y val="8.4897408549942141E-2"/>
                </c:manualLayout>
              </c:layout>
              <c:tx>
                <c:rich>
                  <a:bodyPr/>
                  <a:lstStyle/>
                  <a:p>
                    <a:r>
                      <a:rPr lang="en-US"/>
                      <a:t>Business</a:t>
                    </a:r>
                  </a:p>
                  <a:p>
                    <a:r>
                      <a:rPr lang="en-US"/>
                      <a:t>39.18%</a:t>
                    </a:r>
                  </a:p>
                </c:rich>
              </c:tx>
              <c:showLegendKey val="0"/>
              <c:showVal val="1"/>
              <c:showCatName val="0"/>
              <c:showSerName val="0"/>
              <c:showPercent val="0"/>
              <c:showBubbleSize val="0"/>
            </c:dLbl>
            <c:dLbl>
              <c:idx val="1"/>
              <c:layout>
                <c:manualLayout>
                  <c:x val="0.13251709483137769"/>
                  <c:y val="-3.1792623567479575E-3"/>
                </c:manualLayout>
              </c:layout>
              <c:tx>
                <c:rich>
                  <a:bodyPr/>
                  <a:lstStyle/>
                  <a:p>
                    <a:r>
                      <a:rPr lang="en-US"/>
                      <a:t>Government Intramural</a:t>
                    </a:r>
                  </a:p>
                  <a:p>
                    <a:r>
                      <a:rPr lang="en-US"/>
                      <a:t>12.47%</a:t>
                    </a:r>
                  </a:p>
                </c:rich>
              </c:tx>
              <c:showLegendKey val="0"/>
              <c:showVal val="1"/>
              <c:showCatName val="0"/>
              <c:showSerName val="0"/>
              <c:showPercent val="0"/>
              <c:showBubbleSize val="0"/>
            </c:dLbl>
            <c:dLbl>
              <c:idx val="2"/>
              <c:layout>
                <c:manualLayout>
                  <c:x val="1.4432731161403013E-2"/>
                  <c:y val="-0.31093019672299554"/>
                </c:manualLayout>
              </c:layout>
              <c:tx>
                <c:rich>
                  <a:bodyPr/>
                  <a:lstStyle/>
                  <a:p>
                    <a:r>
                      <a:rPr lang="en-US"/>
                      <a:t>Higher Education 44.85%</a:t>
                    </a:r>
                  </a:p>
                </c:rich>
              </c:tx>
              <c:showLegendKey val="0"/>
              <c:showVal val="1"/>
              <c:showCatName val="0"/>
              <c:showSerName val="0"/>
              <c:showPercent val="0"/>
              <c:showBubbleSize val="0"/>
            </c:dLbl>
            <c:dLbl>
              <c:idx val="3"/>
              <c:layout>
                <c:manualLayout>
                  <c:x val="0.18976462991306822"/>
                  <c:y val="-6.275481560492667E-2"/>
                </c:manualLayout>
              </c:layout>
              <c:tx>
                <c:rich>
                  <a:bodyPr/>
                  <a:lstStyle/>
                  <a:p>
                    <a:r>
                      <a:rPr lang="en-US"/>
                      <a:t>Private non-profit</a:t>
                    </a:r>
                  </a:p>
                  <a:p>
                    <a:r>
                      <a:rPr lang="en-US"/>
                      <a:t>3.50%</a:t>
                    </a:r>
                  </a:p>
                </c:rich>
              </c:tx>
              <c:showLegendKey val="0"/>
              <c:showVal val="1"/>
              <c:showCatName val="0"/>
              <c:showSerName val="0"/>
              <c:showPercent val="0"/>
              <c:showBubbleSize val="0"/>
            </c:dLbl>
            <c:showLegendKey val="0"/>
            <c:showVal val="1"/>
            <c:showCatName val="0"/>
            <c:showSerName val="0"/>
            <c:showPercent val="0"/>
            <c:showBubbleSize val="0"/>
            <c:showLeaderLines val="1"/>
          </c:dLbls>
          <c:val>
            <c:numRef>
              <c:f>('\\prod.protected.ind\group\S&amp;R\ROP Branch\Research Outcomes &amp; Strategy\CRC policy\Review\Report\Master version of report\files for diagrams and tables\[Copy of SAE Workbook ROC.xlsx]HR'!$B$14,'\\prod.protected.ind\group\S&amp;R\ROP Branch\Research Outcomes &amp; Strategy\CRC policy\Review\Report\Master version of report\files for diagrams and tables\[Copy of SAE Workbook ROC.xlsx]HR'!$E$14,'\\prod.protected.ind\group\S&amp;R\ROP Branch\Research Outcomes &amp; Strategy\CRC policy\Review\Report\Master version of report\files for diagrams and tables\[Copy of SAE Workbook ROC.xlsx]HR'!$F$14,'\\prod.protected.ind\group\S&amp;R\ROP Branch\Research Outcomes &amp; Strategy\CRC policy\Review\Report\Master version of report\files for diagrams and tables\[Copy of SAE Workbook ROC.xlsx]HR'!$G$14)</c:f>
              <c:numCache>
                <c:formatCode>General</c:formatCode>
                <c:ptCount val="4"/>
                <c:pt idx="0">
                  <c:v>0.39178907941710073</c:v>
                </c:pt>
                <c:pt idx="1">
                  <c:v>0.12467080236437057</c:v>
                </c:pt>
                <c:pt idx="2">
                  <c:v>0.44851348978755778</c:v>
                </c:pt>
                <c:pt idx="3">
                  <c:v>3.5026628430970916E-2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80"/>
      <c:rAngAx val="0"/>
      <c:perspective val="30"/>
    </c:view3D>
    <c:floor>
      <c:thickness val="0"/>
    </c:floor>
    <c:sideWall>
      <c:thickness val="0"/>
    </c:sideWall>
    <c:backWall>
      <c:thickness val="0"/>
    </c:backWall>
    <c:plotArea>
      <c:layout/>
      <c:pie3DChart>
        <c:varyColors val="1"/>
        <c:ser>
          <c:idx val="0"/>
          <c:order val="0"/>
          <c:dLbls>
            <c:dLbl>
              <c:idx val="0"/>
              <c:layout>
                <c:manualLayout>
                  <c:x val="-0.15193823589184796"/>
                  <c:y val="-0.13426916041089271"/>
                </c:manualLayout>
              </c:layout>
              <c:tx>
                <c:rich>
                  <a:bodyPr/>
                  <a:lstStyle/>
                  <a:p>
                    <a:r>
                      <a:rPr lang="en-US"/>
                      <a:t>Business</a:t>
                    </a:r>
                  </a:p>
                  <a:p>
                    <a:r>
                      <a:rPr lang="en-US"/>
                      <a:t>60.77%</a:t>
                    </a:r>
                  </a:p>
                </c:rich>
              </c:tx>
              <c:showLegendKey val="0"/>
              <c:showVal val="1"/>
              <c:showCatName val="0"/>
              <c:showSerName val="0"/>
              <c:showPercent val="0"/>
              <c:showBubbleSize val="0"/>
            </c:dLbl>
            <c:dLbl>
              <c:idx val="1"/>
              <c:layout>
                <c:manualLayout>
                  <c:x val="1.2058149132918635E-2"/>
                  <c:y val="-0.11609691306995171"/>
                </c:manualLayout>
              </c:layout>
              <c:tx>
                <c:rich>
                  <a:bodyPr/>
                  <a:lstStyle/>
                  <a:p>
                    <a:r>
                      <a:rPr lang="en-US"/>
                      <a:t>Government Intramural</a:t>
                    </a:r>
                    <a:r>
                      <a:rPr lang="en-US" baseline="0"/>
                      <a:t> </a:t>
                    </a:r>
                  </a:p>
                  <a:p>
                    <a:r>
                      <a:rPr lang="en-US"/>
                      <a:t>12.33%</a:t>
                    </a:r>
                  </a:p>
                </c:rich>
              </c:tx>
              <c:showLegendKey val="0"/>
              <c:showVal val="1"/>
              <c:showCatName val="0"/>
              <c:showSerName val="0"/>
              <c:showPercent val="0"/>
              <c:showBubbleSize val="0"/>
            </c:dLbl>
            <c:dLbl>
              <c:idx val="2"/>
              <c:layout>
                <c:manualLayout>
                  <c:x val="0"/>
                  <c:y val="7.8027383141592035E-2"/>
                </c:manualLayout>
              </c:layout>
              <c:tx>
                <c:rich>
                  <a:bodyPr/>
                  <a:lstStyle/>
                  <a:p>
                    <a:r>
                      <a:rPr lang="en-US"/>
                      <a:t>Higher Education 24.21%</a:t>
                    </a:r>
                  </a:p>
                </c:rich>
              </c:tx>
              <c:showLegendKey val="0"/>
              <c:showVal val="1"/>
              <c:showCatName val="0"/>
              <c:showSerName val="0"/>
              <c:showPercent val="0"/>
              <c:showBubbleSize val="0"/>
            </c:dLbl>
            <c:dLbl>
              <c:idx val="3"/>
              <c:layout>
                <c:manualLayout>
                  <c:x val="0.14945017355264509"/>
                  <c:y val="-1.1428098164590257E-2"/>
                </c:manualLayout>
              </c:layout>
              <c:tx>
                <c:rich>
                  <a:bodyPr/>
                  <a:lstStyle/>
                  <a:p>
                    <a:r>
                      <a:rPr lang="en-US"/>
                      <a:t>Private non-profit</a:t>
                    </a:r>
                    <a:r>
                      <a:rPr lang="en-US" baseline="0"/>
                      <a:t> </a:t>
                    </a:r>
                    <a:r>
                      <a:rPr lang="en-US"/>
                      <a:t>2.68%</a:t>
                    </a:r>
                  </a:p>
                </c:rich>
              </c:tx>
              <c:showLegendKey val="0"/>
              <c:showVal val="1"/>
              <c:showCatName val="0"/>
              <c:showSerName val="0"/>
              <c:showPercent val="0"/>
              <c:showBubbleSize val="0"/>
            </c:dLbl>
            <c:showLegendKey val="0"/>
            <c:showVal val="1"/>
            <c:showCatName val="0"/>
            <c:showSerName val="0"/>
            <c:showPercent val="0"/>
            <c:showBubbleSize val="0"/>
            <c:showLeaderLines val="1"/>
          </c:dLbls>
          <c:val>
            <c:numRef>
              <c:f>('ABS Source - Expenditure'!$B$15,'ABS Source - Expenditure'!$E$15:$G$15)</c:f>
              <c:numCache>
                <c:formatCode>0.00%</c:formatCode>
                <c:ptCount val="4"/>
                <c:pt idx="0">
                  <c:v>0.60773245388016894</c:v>
                </c:pt>
                <c:pt idx="1">
                  <c:v>0.12330469775286307</c:v>
                </c:pt>
                <c:pt idx="2">
                  <c:v>0.24214569124366234</c:v>
                </c:pt>
                <c:pt idx="3">
                  <c:v>2.6817157123305672E-2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6F84E57F55B14188E9900741FD8BE0" ma:contentTypeVersion="2" ma:contentTypeDescription="Create a new document." ma:contentTypeScope="" ma:versionID="d5a2681145cde97c11355754cb3d104f">
  <xsd:schema xmlns:xsd="http://www.w3.org/2001/XMLSchema" xmlns:xs="http://www.w3.org/2001/XMLSchema" xmlns:p="http://schemas.microsoft.com/office/2006/metadata/properties" xmlns:ns2="http://schemas.microsoft.com/sharepoint/v4" targetNamespace="http://schemas.microsoft.com/office/2006/metadata/properties" ma:root="true" ma:fieldsID="c9e6142b4b239441363828343aa4e4b3"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F7002-FB78-47E5-B0BF-8F9828382180}">
  <ds:schemaRef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schemas.microsoft.com/sharepoint/v4"/>
    <ds:schemaRef ds:uri="http://purl.org/dc/elements/1.1/"/>
  </ds:schemaRefs>
</ds:datastoreItem>
</file>

<file path=customXml/itemProps2.xml><?xml version="1.0" encoding="utf-8"?>
<ds:datastoreItem xmlns:ds="http://schemas.openxmlformats.org/officeDocument/2006/customXml" ds:itemID="{FAABFFE7-5BAB-48DA-B556-F510E75577C4}">
  <ds:schemaRefs>
    <ds:schemaRef ds:uri="http://schemas.microsoft.com/sharepoint/v3/contenttype/forms"/>
  </ds:schemaRefs>
</ds:datastoreItem>
</file>

<file path=customXml/itemProps3.xml><?xml version="1.0" encoding="utf-8"?>
<ds:datastoreItem xmlns:ds="http://schemas.openxmlformats.org/officeDocument/2006/customXml" ds:itemID="{FB56A369-A59A-41D1-9F5D-F4D04067B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DF1250-E9C2-4EBD-810A-978CFF92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22363</Words>
  <Characters>127470</Characters>
  <Application>Microsoft Office Word</Application>
  <DocSecurity>4</DocSecurity>
  <Lines>1062</Lines>
  <Paragraphs>299</Paragraphs>
  <ScaleCrop>false</ScaleCrop>
  <HeadingPairs>
    <vt:vector size="2" baseType="variant">
      <vt:variant>
        <vt:lpstr>Title</vt:lpstr>
      </vt:variant>
      <vt:variant>
        <vt:i4>1</vt:i4>
      </vt:variant>
    </vt:vector>
  </HeadingPairs>
  <TitlesOfParts>
    <vt:vector size="1" baseType="lpstr">
      <vt:lpstr>Growth through Innovation and Collaboration: A Review of the Cooperative Research Centres Programme</vt:lpstr>
    </vt:vector>
  </TitlesOfParts>
  <LinksUpToDate>false</LinksUpToDate>
  <CharactersWithSpaces>149534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Growth through Innovation and Collaboration: A Review of the Cooperative Research Centres Programme</dc:title>
  <dc:creator/>
  <cp:lastModifiedBy/>
  <cp:revision>1</cp:revision>
  <dcterms:created xsi:type="dcterms:W3CDTF">2016-05-27T00:47:00Z</dcterms:created>
  <dcterms:modified xsi:type="dcterms:W3CDTF">2016-05-27T00:47:00Z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0x010100456F84E57F55B14188E9900741FD8BE0</vt:lpwstr>
  </property>
</Properties>
</file>