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ABBA7" w14:textId="7603ACB1" w:rsidR="00697C27" w:rsidRPr="000F694C" w:rsidRDefault="008865AE" w:rsidP="0035292F">
      <w:pPr>
        <w:pStyle w:val="Heading1"/>
      </w:pPr>
      <w:r>
        <w:t xml:space="preserve">Building Better Regions Fund </w:t>
      </w:r>
      <w:r w:rsidR="00F373B4">
        <w:t>Roun</w:t>
      </w:r>
      <w:bookmarkStart w:id="0" w:name="_GoBack"/>
      <w:bookmarkEnd w:id="0"/>
      <w:r w:rsidR="00F373B4">
        <w:t>d Five</w:t>
      </w:r>
      <w:r w:rsidR="00707AFE">
        <w:t xml:space="preserve"> – Cost-</w:t>
      </w:r>
      <w:r w:rsidR="00790AFF">
        <w:t>Benefit Analysis</w:t>
      </w:r>
    </w:p>
    <w:p w14:paraId="2DFF9122" w14:textId="239B628B" w:rsidR="00E555FF" w:rsidRDefault="00790AFF" w:rsidP="00045512">
      <w:pPr>
        <w:pStyle w:val="Normalintroduction"/>
        <w:sectPr w:rsidR="00E555FF" w:rsidSect="00CB5C9B">
          <w:headerReference w:type="default" r:id="rId12"/>
          <w:footerReference w:type="even" r:id="rId13"/>
          <w:footerReference w:type="default" r:id="rId14"/>
          <w:type w:val="continuous"/>
          <w:pgSz w:w="11906" w:h="16838" w:code="9"/>
          <w:pgMar w:top="1418" w:right="1418" w:bottom="1418" w:left="1418" w:header="709" w:footer="709" w:gutter="0"/>
          <w:cols w:space="706"/>
          <w:formProt w:val="0"/>
          <w:docGrid w:linePitch="360"/>
        </w:sectPr>
      </w:pPr>
      <w:r>
        <w:t xml:space="preserve">This document provides guidance and information on </w:t>
      </w:r>
      <w:r w:rsidR="00045512">
        <w:t xml:space="preserve">preparing a </w:t>
      </w:r>
      <w:r>
        <w:t>cost</w:t>
      </w:r>
      <w:r w:rsidR="00707AFE">
        <w:t>-</w:t>
      </w:r>
      <w:r>
        <w:t xml:space="preserve">benefit </w:t>
      </w:r>
      <w:r w:rsidR="00045512">
        <w:t>analysis.</w:t>
      </w:r>
    </w:p>
    <w:p w14:paraId="449C8C4B" w14:textId="77777777" w:rsidR="00045512" w:rsidRDefault="00045512" w:rsidP="00045512">
      <w:r>
        <w:t xml:space="preserve">A cost-benefit analysis (CBA) is an evidence-based process to understand the various impacts of a project. The scope of the CBA will be dependent on the scale and complexity of the project. </w:t>
      </w:r>
      <w:r w:rsidRPr="00E8718B">
        <w:t>The starting point for a CBA is to define the problem and specify the intended objectives and outcomes of the proposal.</w:t>
      </w:r>
    </w:p>
    <w:p w14:paraId="44BEE633" w14:textId="77777777" w:rsidR="00045512" w:rsidRDefault="00045512" w:rsidP="00045512">
      <w:r>
        <w:t>The</w:t>
      </w:r>
      <w:r w:rsidRPr="00B90AAA">
        <w:t xml:space="preserve"> Building Better Regions Fund program is focused on regional </w:t>
      </w:r>
      <w:r>
        <w:t>and remote communities. T</w:t>
      </w:r>
      <w:r w:rsidRPr="00B90AAA">
        <w:t>he CBA should focus on impacts (costs and benefits) to the region or community (households, businesses, workers and/or governments) as the primary referent group.</w:t>
      </w:r>
    </w:p>
    <w:p w14:paraId="6A91FAE8" w14:textId="77777777" w:rsidR="00045512" w:rsidRDefault="00045512" w:rsidP="00045512">
      <w:r>
        <w:t>A CBA report should include the following key information:</w:t>
      </w:r>
    </w:p>
    <w:p w14:paraId="177045E2" w14:textId="3794995C" w:rsidR="00EE38EB" w:rsidRPr="00DA5344" w:rsidRDefault="00045512" w:rsidP="007E41EC">
      <w:pPr>
        <w:pStyle w:val="ListParagraph"/>
        <w:numPr>
          <w:ilvl w:val="0"/>
          <w:numId w:val="18"/>
        </w:numPr>
        <w:spacing w:after="160" w:line="259" w:lineRule="auto"/>
        <w:rPr>
          <w:rFonts w:ascii="Arial" w:eastAsia="Times New Roman" w:hAnsi="Arial" w:cs="Times New Roman"/>
          <w:sz w:val="20"/>
        </w:rPr>
      </w:pPr>
      <w:r w:rsidRPr="00DA5344">
        <w:rPr>
          <w:rFonts w:ascii="Arial" w:eastAsia="Times New Roman" w:hAnsi="Arial" w:cs="Times New Roman"/>
          <w:sz w:val="20"/>
        </w:rPr>
        <w:t>A clear and concise summary of the base case, the options assessed and the main r</w:t>
      </w:r>
      <w:r w:rsidR="00EE38EB" w:rsidRPr="00DA5344">
        <w:rPr>
          <w:rFonts w:ascii="Arial" w:eastAsia="Times New Roman" w:hAnsi="Arial" w:cs="Times New Roman"/>
          <w:sz w:val="20"/>
        </w:rPr>
        <w:t>esults of the sensitivity tests</w:t>
      </w:r>
    </w:p>
    <w:p w14:paraId="352734CF" w14:textId="28D6CD47" w:rsidR="00EE38EB" w:rsidRPr="00DA5344" w:rsidRDefault="00045512" w:rsidP="007E41EC">
      <w:pPr>
        <w:pStyle w:val="ListParagraph"/>
        <w:numPr>
          <w:ilvl w:val="0"/>
          <w:numId w:val="18"/>
        </w:numPr>
        <w:spacing w:after="160" w:line="259" w:lineRule="auto"/>
        <w:rPr>
          <w:rFonts w:ascii="Arial" w:eastAsia="Times New Roman" w:hAnsi="Arial" w:cs="Times New Roman"/>
          <w:sz w:val="20"/>
        </w:rPr>
      </w:pPr>
      <w:r w:rsidRPr="00DA5344">
        <w:rPr>
          <w:rFonts w:ascii="Arial" w:eastAsia="Times New Roman" w:hAnsi="Arial" w:cs="Times New Roman"/>
          <w:sz w:val="20"/>
        </w:rPr>
        <w:t xml:space="preserve">All critical assumptions should </w:t>
      </w:r>
      <w:r w:rsidR="00EE38EB" w:rsidRPr="00DA5344">
        <w:rPr>
          <w:rFonts w:ascii="Arial" w:eastAsia="Times New Roman" w:hAnsi="Arial" w:cs="Times New Roman"/>
          <w:sz w:val="20"/>
        </w:rPr>
        <w:t>be made explicit and supported by evidence</w:t>
      </w:r>
    </w:p>
    <w:p w14:paraId="6BF483F6" w14:textId="77777777" w:rsidR="00EE38EB" w:rsidRPr="00DA5344" w:rsidRDefault="00045512" w:rsidP="007E41EC">
      <w:pPr>
        <w:pStyle w:val="ListParagraph"/>
        <w:numPr>
          <w:ilvl w:val="0"/>
          <w:numId w:val="18"/>
        </w:numPr>
        <w:spacing w:after="160" w:line="259" w:lineRule="auto"/>
        <w:rPr>
          <w:rFonts w:ascii="Arial" w:eastAsia="Times New Roman" w:hAnsi="Arial" w:cs="Times New Roman"/>
          <w:sz w:val="20"/>
        </w:rPr>
      </w:pPr>
      <w:r w:rsidRPr="00DA5344">
        <w:rPr>
          <w:rFonts w:ascii="Arial" w:eastAsia="Times New Roman" w:hAnsi="Arial" w:cs="Times New Roman"/>
          <w:sz w:val="20"/>
        </w:rPr>
        <w:t xml:space="preserve">Net Present Value </w:t>
      </w:r>
    </w:p>
    <w:p w14:paraId="66E63476" w14:textId="6DB7E267" w:rsidR="00045512" w:rsidRPr="00DA5344" w:rsidRDefault="008A33CF" w:rsidP="007E41EC">
      <w:pPr>
        <w:pStyle w:val="ListParagraph"/>
        <w:numPr>
          <w:ilvl w:val="0"/>
          <w:numId w:val="18"/>
        </w:numPr>
        <w:spacing w:after="160" w:line="259" w:lineRule="auto"/>
        <w:rPr>
          <w:rFonts w:ascii="Arial" w:eastAsia="Times New Roman" w:hAnsi="Arial" w:cs="Times New Roman"/>
          <w:sz w:val="20"/>
        </w:rPr>
      </w:pPr>
      <w:r>
        <w:rPr>
          <w:rFonts w:ascii="Arial" w:eastAsia="Times New Roman" w:hAnsi="Arial" w:cs="Times New Roman"/>
          <w:sz w:val="20"/>
        </w:rPr>
        <w:t>Cost</w:t>
      </w:r>
      <w:r w:rsidR="00045512" w:rsidRPr="00DA5344">
        <w:rPr>
          <w:rFonts w:ascii="Arial" w:eastAsia="Times New Roman" w:hAnsi="Arial" w:cs="Times New Roman"/>
          <w:sz w:val="20"/>
        </w:rPr>
        <w:t>-</w:t>
      </w:r>
      <w:r>
        <w:rPr>
          <w:rFonts w:ascii="Arial" w:eastAsia="Times New Roman" w:hAnsi="Arial" w:cs="Times New Roman"/>
          <w:sz w:val="20"/>
        </w:rPr>
        <w:t>benefit</w:t>
      </w:r>
      <w:r w:rsidR="00045512" w:rsidRPr="00DA5344">
        <w:rPr>
          <w:rFonts w:ascii="Arial" w:eastAsia="Times New Roman" w:hAnsi="Arial" w:cs="Times New Roman"/>
          <w:sz w:val="20"/>
        </w:rPr>
        <w:t xml:space="preserve"> Ratio</w:t>
      </w:r>
      <w:r w:rsidR="00EE38EB" w:rsidRPr="00DA5344">
        <w:rPr>
          <w:rFonts w:ascii="Arial" w:eastAsia="Times New Roman" w:hAnsi="Arial" w:cs="Times New Roman"/>
          <w:sz w:val="20"/>
        </w:rPr>
        <w:t>.</w:t>
      </w:r>
    </w:p>
    <w:p w14:paraId="2B7F9A95" w14:textId="6FE87184" w:rsidR="00EE38EB" w:rsidRPr="00EE38EB" w:rsidRDefault="00045512" w:rsidP="00EE38EB">
      <w:pPr>
        <w:pStyle w:val="BodyText"/>
        <w:rPr>
          <w:rFonts w:ascii="Arial" w:hAnsi="Arial"/>
          <w:b/>
          <w:bCs/>
          <w:color w:val="264F90"/>
          <w:sz w:val="22"/>
          <w:szCs w:val="22"/>
          <w:lang w:eastAsia="en-US"/>
        </w:rPr>
      </w:pPr>
      <w:r w:rsidRPr="00045512">
        <w:rPr>
          <w:rFonts w:ascii="Arial" w:hAnsi="Arial"/>
          <w:b/>
          <w:bCs/>
          <w:color w:val="264F90"/>
          <w:sz w:val="22"/>
          <w:szCs w:val="22"/>
          <w:lang w:eastAsia="en-US"/>
        </w:rPr>
        <w:t>Define the</w:t>
      </w:r>
      <w:r w:rsidR="00EE38EB">
        <w:rPr>
          <w:rFonts w:ascii="Arial" w:hAnsi="Arial"/>
          <w:b/>
          <w:bCs/>
          <w:color w:val="264F90"/>
          <w:sz w:val="22"/>
          <w:szCs w:val="22"/>
          <w:lang w:eastAsia="en-US"/>
        </w:rPr>
        <w:t xml:space="preserve"> base case and develop options </w:t>
      </w:r>
    </w:p>
    <w:p w14:paraId="105B94F7" w14:textId="77777777" w:rsidR="00045512" w:rsidRPr="00A35CD8" w:rsidRDefault="00045512" w:rsidP="009A2646">
      <w:r w:rsidRPr="009A2646">
        <w:t xml:space="preserve">A CBA should provide a comparison of alternative scenarios forecasting likely future </w:t>
      </w:r>
      <w:r w:rsidRPr="00A35CD8">
        <w:t xml:space="preserve">scenarios. </w:t>
      </w:r>
    </w:p>
    <w:p w14:paraId="246E7404" w14:textId="3E19044C"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A CBA should compare the state of the world with the proposed project against the state of the world without the proposal. The base case provides the benchmark against which the proposed project or investm</w:t>
      </w:r>
      <w:r w:rsidR="00EE38EB">
        <w:rPr>
          <w:rFonts w:ascii="Arial" w:eastAsia="Times New Roman" w:hAnsi="Arial" w:cs="Times New Roman"/>
          <w:sz w:val="20"/>
        </w:rPr>
        <w:t xml:space="preserve">ent can be measured. It is the ‘do-nothing’ or </w:t>
      </w:r>
      <w:r w:rsidR="00EE38EB">
        <w:rPr>
          <w:rFonts w:ascii="Arial" w:eastAsia="Times New Roman" w:hAnsi="Arial" w:cs="Times New Roman"/>
          <w:sz w:val="20"/>
        </w:rPr>
        <w:t>‘maintain status quo’</w:t>
      </w:r>
      <w:r w:rsidRPr="00EE38EB">
        <w:rPr>
          <w:rFonts w:ascii="Arial" w:eastAsia="Times New Roman" w:hAnsi="Arial" w:cs="Times New Roman"/>
          <w:sz w:val="20"/>
        </w:rPr>
        <w:t xml:space="preserve"> option, describing what is likely to occur in the absence of the project being evaluated. Organisations should select a realistic base case and document the assumptions used.</w:t>
      </w:r>
    </w:p>
    <w:p w14:paraId="3C657E57" w14:textId="434FE66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 xml:space="preserve">Options for infrastructure projects </w:t>
      </w:r>
      <w:r w:rsidR="00EE38EB">
        <w:rPr>
          <w:rFonts w:ascii="Arial" w:eastAsia="Times New Roman" w:hAnsi="Arial" w:cs="Times New Roman"/>
          <w:sz w:val="20"/>
        </w:rPr>
        <w:t xml:space="preserve">could include construction of </w:t>
      </w:r>
      <w:r w:rsidRPr="00EE38EB">
        <w:rPr>
          <w:rFonts w:ascii="Arial" w:eastAsia="Times New Roman" w:hAnsi="Arial" w:cs="Times New Roman"/>
          <w:sz w:val="20"/>
        </w:rPr>
        <w:t>new infrastructure, refurbishing existing infrastructure, changing the timing of an investment, or demand management.</w:t>
      </w:r>
    </w:p>
    <w:p w14:paraId="1CDDEBE5" w14:textId="6B46E438" w:rsidR="008865AE" w:rsidRPr="00A35CD8" w:rsidRDefault="00045512" w:rsidP="00045512">
      <w:pPr>
        <w:pStyle w:val="BodyText"/>
        <w:rPr>
          <w:rFonts w:ascii="Arial" w:hAnsi="Arial"/>
          <w:b/>
          <w:bCs/>
          <w:color w:val="264F90"/>
          <w:sz w:val="22"/>
          <w:szCs w:val="22"/>
          <w:lang w:eastAsia="en-US"/>
        </w:rPr>
      </w:pPr>
      <w:r w:rsidRPr="00045512">
        <w:rPr>
          <w:rFonts w:ascii="Arial" w:hAnsi="Arial"/>
          <w:b/>
          <w:bCs/>
          <w:color w:val="264F90"/>
          <w:sz w:val="22"/>
          <w:szCs w:val="22"/>
          <w:lang w:eastAsia="en-US"/>
        </w:rPr>
        <w:t>Value costs and benefits</w:t>
      </w:r>
      <w:r w:rsidRPr="00A35CD8">
        <w:rPr>
          <w:rFonts w:ascii="Arial" w:hAnsi="Arial"/>
          <w:b/>
          <w:bCs/>
          <w:color w:val="264F90"/>
          <w:sz w:val="22"/>
          <w:szCs w:val="22"/>
          <w:lang w:eastAsia="en-US"/>
        </w:rPr>
        <w:t xml:space="preserve"> </w:t>
      </w:r>
    </w:p>
    <w:p w14:paraId="4BFA2607" w14:textId="324D0929" w:rsidR="00045512" w:rsidRDefault="00045512" w:rsidP="00180E9D">
      <w:r w:rsidRPr="00A35CD8">
        <w:t>The CBA compares costs and benefits by using a common measure of</w:t>
      </w:r>
      <w:r>
        <w:t xml:space="preserve"> monetary value to quantify the value. Costs and benefits can cover econom</w:t>
      </w:r>
      <w:r w:rsidR="00EE38EB">
        <w:t xml:space="preserve">ic </w:t>
      </w:r>
      <w:r>
        <w:t xml:space="preserve">and social (including environmental) </w:t>
      </w:r>
      <w:r w:rsidR="008A33CF">
        <w:t xml:space="preserve">impacts </w:t>
      </w:r>
      <w:r>
        <w:t xml:space="preserve">and </w:t>
      </w:r>
      <w:r w:rsidR="008A33CF">
        <w:t>benefits</w:t>
      </w:r>
      <w:r>
        <w:t xml:space="preserve">. </w:t>
      </w:r>
    </w:p>
    <w:p w14:paraId="44E6CF7D" w14:textId="77777777" w:rsidR="00926E00" w:rsidRPr="00926E00" w:rsidRDefault="00926E00" w:rsidP="00926E00">
      <w:r w:rsidRPr="00926E00">
        <w:t>Examples of common costs includes:</w:t>
      </w:r>
    </w:p>
    <w:p w14:paraId="65B2D655" w14:textId="77777777" w:rsidR="00926E00" w:rsidRPr="00926E00" w:rsidRDefault="00926E00" w:rsidP="00926E00">
      <w:pPr>
        <w:pStyle w:val="ListParagraph"/>
        <w:numPr>
          <w:ilvl w:val="0"/>
          <w:numId w:val="18"/>
        </w:numPr>
        <w:spacing w:after="160" w:line="259" w:lineRule="auto"/>
        <w:rPr>
          <w:rFonts w:ascii="Arial" w:eastAsia="Times New Roman" w:hAnsi="Arial" w:cs="Times New Roman"/>
          <w:sz w:val="20"/>
        </w:rPr>
      </w:pPr>
      <w:r w:rsidRPr="00926E00">
        <w:rPr>
          <w:rFonts w:ascii="Arial" w:eastAsia="Times New Roman" w:hAnsi="Arial" w:cs="Times New Roman"/>
          <w:sz w:val="20"/>
        </w:rPr>
        <w:t>Capital costs on new assets</w:t>
      </w:r>
    </w:p>
    <w:p w14:paraId="18D5789C" w14:textId="77777777" w:rsidR="00926E00" w:rsidRPr="00926E00" w:rsidRDefault="00926E00" w:rsidP="00926E00">
      <w:pPr>
        <w:pStyle w:val="ListParagraph"/>
        <w:numPr>
          <w:ilvl w:val="0"/>
          <w:numId w:val="18"/>
        </w:numPr>
        <w:spacing w:after="160" w:line="259" w:lineRule="auto"/>
        <w:rPr>
          <w:rFonts w:ascii="Arial" w:eastAsia="Times New Roman" w:hAnsi="Arial" w:cs="Times New Roman"/>
          <w:sz w:val="20"/>
        </w:rPr>
      </w:pPr>
      <w:r w:rsidRPr="00926E00">
        <w:rPr>
          <w:rFonts w:ascii="Arial" w:eastAsia="Times New Roman" w:hAnsi="Arial" w:cs="Times New Roman"/>
          <w:sz w:val="20"/>
        </w:rPr>
        <w:t>Operating and maintenance costs</w:t>
      </w:r>
    </w:p>
    <w:p w14:paraId="79ADEB6B" w14:textId="5BB5C2DB" w:rsidR="00926E00" w:rsidRPr="00926E00" w:rsidRDefault="00926E00" w:rsidP="00926E00">
      <w:pPr>
        <w:pStyle w:val="ListParagraph"/>
        <w:numPr>
          <w:ilvl w:val="0"/>
          <w:numId w:val="18"/>
        </w:numPr>
        <w:spacing w:after="160" w:line="259" w:lineRule="auto"/>
        <w:rPr>
          <w:rFonts w:ascii="Arial" w:eastAsia="Times New Roman" w:hAnsi="Arial" w:cs="Times New Roman"/>
          <w:sz w:val="20"/>
        </w:rPr>
      </w:pPr>
      <w:r w:rsidRPr="00926E00">
        <w:rPr>
          <w:rFonts w:ascii="Arial" w:eastAsia="Times New Roman" w:hAnsi="Arial" w:cs="Times New Roman"/>
          <w:sz w:val="20"/>
        </w:rPr>
        <w:t>Negative externalities - Examples of third party (externality) costs include noise, congestion, pollution, and reduction in visual amenity.</w:t>
      </w:r>
    </w:p>
    <w:p w14:paraId="5691C863" w14:textId="7B940C6F" w:rsidR="00045512" w:rsidRDefault="00045512" w:rsidP="00045512">
      <w:r>
        <w:t>Examples of common benefits includes:</w:t>
      </w:r>
    </w:p>
    <w:p w14:paraId="31C162BF" w14:textId="7777777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Savings or avoided costs</w:t>
      </w:r>
    </w:p>
    <w:p w14:paraId="62F5F8A0" w14:textId="55945FC8"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Revenues</w:t>
      </w:r>
      <w:r w:rsidR="00EE38EB">
        <w:rPr>
          <w:rFonts w:ascii="Arial" w:eastAsia="Times New Roman" w:hAnsi="Arial" w:cs="Times New Roman"/>
          <w:sz w:val="20"/>
        </w:rPr>
        <w:t xml:space="preserve">, </w:t>
      </w:r>
      <w:r w:rsidRPr="00EE38EB">
        <w:rPr>
          <w:rFonts w:ascii="Arial" w:eastAsia="Times New Roman" w:hAnsi="Arial" w:cs="Times New Roman"/>
          <w:sz w:val="20"/>
        </w:rPr>
        <w:t>e.g. increased tourism spend</w:t>
      </w:r>
    </w:p>
    <w:p w14:paraId="114FF7A8" w14:textId="7777777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Additional jobs created</w:t>
      </w:r>
    </w:p>
    <w:p w14:paraId="43DCA03A" w14:textId="2E4546C5"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Bene</w:t>
      </w:r>
      <w:r w:rsidR="00EE38EB">
        <w:rPr>
          <w:rFonts w:ascii="Arial" w:eastAsia="Times New Roman" w:hAnsi="Arial" w:cs="Times New Roman"/>
          <w:sz w:val="20"/>
        </w:rPr>
        <w:t>fits to the broader community, e.g. i</w:t>
      </w:r>
      <w:r w:rsidRPr="00EE38EB">
        <w:rPr>
          <w:rFonts w:ascii="Arial" w:eastAsia="Times New Roman" w:hAnsi="Arial" w:cs="Times New Roman"/>
          <w:sz w:val="20"/>
        </w:rPr>
        <w:t xml:space="preserve">mprovements in public health and worker safety, reduction in </w:t>
      </w:r>
      <w:r w:rsidRPr="00EE38EB">
        <w:rPr>
          <w:rFonts w:ascii="Arial" w:eastAsia="Times New Roman" w:hAnsi="Arial" w:cs="Times New Roman"/>
          <w:sz w:val="20"/>
        </w:rPr>
        <w:lastRenderedPageBreak/>
        <w:t>injuries/fatalities, reduction in travel time, improved equity of access</w:t>
      </w:r>
    </w:p>
    <w:p w14:paraId="01FBB3C1" w14:textId="448A734C"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Improvements in environmental amenity</w:t>
      </w:r>
      <w:r w:rsidR="00A35CD8">
        <w:rPr>
          <w:rFonts w:ascii="Arial" w:eastAsia="Times New Roman" w:hAnsi="Arial" w:cs="Times New Roman"/>
          <w:sz w:val="20"/>
        </w:rPr>
        <w:t>.</w:t>
      </w:r>
    </w:p>
    <w:p w14:paraId="75CE1E1A" w14:textId="3448C9FB" w:rsidR="00045512" w:rsidRDefault="00045512" w:rsidP="00045512">
      <w:r>
        <w:t>In</w:t>
      </w:r>
      <w:r w:rsidRPr="00B90AAA">
        <w:t xml:space="preserve"> some cases</w:t>
      </w:r>
      <w:r w:rsidR="00130543">
        <w:t>,</w:t>
      </w:r>
      <w:r w:rsidRPr="00B90AAA">
        <w:t xml:space="preserve"> quantification may not be practical</w:t>
      </w:r>
      <w:r>
        <w:t>, particularly for social benefits</w:t>
      </w:r>
      <w:r w:rsidRPr="00B90AAA">
        <w:t>. In these cases it is important that the CBA is clear about what can and cannot be reliably quantified and valued</w:t>
      </w:r>
      <w:r>
        <w:t>. T</w:t>
      </w:r>
      <w:r w:rsidRPr="00B90AAA">
        <w:t xml:space="preserve">he CBA should draw on the available information, describe and discuss the impacts, </w:t>
      </w:r>
      <w:r>
        <w:t>outline</w:t>
      </w:r>
      <w:r w:rsidRPr="00B90AAA">
        <w:t xml:space="preserve"> data limitations and all assumptions made.</w:t>
      </w:r>
    </w:p>
    <w:p w14:paraId="7F65C979" w14:textId="2178B30B" w:rsidR="00045512" w:rsidRDefault="00045512" w:rsidP="00045512">
      <w:r>
        <w:t xml:space="preserve">The </w:t>
      </w:r>
      <w:r w:rsidR="008A33CF" w:rsidRPr="00652CB2">
        <w:t xml:space="preserve">costs and </w:t>
      </w:r>
      <w:r w:rsidRPr="00652CB2">
        <w:t>benefits should cover the life of the project</w:t>
      </w:r>
      <w:r>
        <w:t xml:space="preserve"> or</w:t>
      </w:r>
      <w:r w:rsidRPr="00652CB2">
        <w:t xml:space="preserve"> asset.</w:t>
      </w:r>
      <w:r w:rsidR="00EE38EB">
        <w:t xml:space="preserve"> The Australian Taxation Office</w:t>
      </w:r>
      <w:r>
        <w:t xml:space="preserve"> provide</w:t>
      </w:r>
      <w:r w:rsidR="00EE38EB">
        <w:t>s</w:t>
      </w:r>
      <w:r>
        <w:t xml:space="preserve"> guidance on the effective life of assets. In many cases the infrastructure projects will use 20 or 30 years. </w:t>
      </w:r>
    </w:p>
    <w:p w14:paraId="7EEF14E0" w14:textId="4DBFA7AD" w:rsidR="00045512" w:rsidRDefault="00045512" w:rsidP="00045512">
      <w:r w:rsidRPr="00652CB2">
        <w:t>To compare costs and benefits over time</w:t>
      </w:r>
      <w:r>
        <w:t>,</w:t>
      </w:r>
      <w:r w:rsidRPr="00652CB2">
        <w:t xml:space="preserve"> these are generally weighted by use of a discount rate and the concept of present value – where future costs and benefits are discounted. Typically this is calculated using a re</w:t>
      </w:r>
      <w:r>
        <w:t>al discount rate of 7 per cent</w:t>
      </w:r>
      <w:r w:rsidRPr="00B90AAA">
        <w:t>.</w:t>
      </w:r>
      <w:r>
        <w:rPr>
          <w:rStyle w:val="FootnoteReference"/>
        </w:rPr>
        <w:footnoteReference w:id="2"/>
      </w:r>
      <w:r w:rsidRPr="00652CB2">
        <w:rPr>
          <w:szCs w:val="20"/>
        </w:rPr>
        <w:t xml:space="preserve"> </w:t>
      </w:r>
      <w:r w:rsidR="00EE38EB">
        <w:rPr>
          <w:szCs w:val="20"/>
        </w:rPr>
        <w:t>A m</w:t>
      </w:r>
      <w:r w:rsidRPr="00652CB2">
        <w:rPr>
          <w:szCs w:val="20"/>
        </w:rPr>
        <w:t>ore detailed CBA will provide three discount rates, typically 3 per cent, 7 per cent and 10 per cent</w:t>
      </w:r>
      <w:r w:rsidR="00EE38EB">
        <w:rPr>
          <w:szCs w:val="20"/>
        </w:rPr>
        <w:t>.</w:t>
      </w:r>
      <w:r>
        <w:rPr>
          <w:rStyle w:val="FootnoteReference"/>
          <w:szCs w:val="20"/>
        </w:rPr>
        <w:footnoteReference w:id="3"/>
      </w:r>
    </w:p>
    <w:p w14:paraId="4EE8748B" w14:textId="4992AD4B" w:rsidR="00045512" w:rsidRPr="00045512" w:rsidRDefault="00045512" w:rsidP="00045512">
      <w:pPr>
        <w:pStyle w:val="BodyText"/>
        <w:rPr>
          <w:rFonts w:ascii="Arial" w:hAnsi="Arial"/>
          <w:b/>
          <w:bCs/>
          <w:color w:val="264F90"/>
          <w:sz w:val="22"/>
          <w:szCs w:val="22"/>
          <w:lang w:eastAsia="en-US"/>
        </w:rPr>
      </w:pPr>
      <w:r w:rsidRPr="00045512">
        <w:rPr>
          <w:rFonts w:ascii="Arial" w:hAnsi="Arial"/>
          <w:b/>
          <w:bCs/>
          <w:color w:val="264F90"/>
          <w:sz w:val="22"/>
          <w:szCs w:val="22"/>
          <w:lang w:eastAsia="en-US"/>
        </w:rPr>
        <w:t>Evidence</w:t>
      </w:r>
    </w:p>
    <w:p w14:paraId="3011F3CF" w14:textId="5A9A534D" w:rsidR="00045512" w:rsidRDefault="00045512" w:rsidP="00CB5B3F">
      <w:r w:rsidRPr="00A35CD8">
        <w:t>Reasonable effort</w:t>
      </w:r>
      <w:r w:rsidRPr="00B37F87">
        <w:t xml:space="preserve"> should be made to collect the best available evidence to</w:t>
      </w:r>
      <w:r w:rsidR="00EE38EB">
        <w:t xml:space="preserve"> input into the CBA. </w:t>
      </w:r>
      <w:r>
        <w:t xml:space="preserve">The effort should be commensurate with the size of the project. </w:t>
      </w:r>
      <w:r w:rsidRPr="00B37F87">
        <w:t>As a general rule, projects that are high-cost or high-risk will warrant more extensive analysis than smaller projects.</w:t>
      </w:r>
    </w:p>
    <w:p w14:paraId="3BC30BBE" w14:textId="77777777" w:rsidR="00045512" w:rsidRDefault="00045512" w:rsidP="00045512">
      <w:r>
        <w:t>Some possible information sources to help with the assessment task include:</w:t>
      </w:r>
    </w:p>
    <w:p w14:paraId="44A643B3" w14:textId="7777777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Consultation with those likely to be affected</w:t>
      </w:r>
    </w:p>
    <w:p w14:paraId="39801566" w14:textId="7777777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Surveys – existing or commissioned</w:t>
      </w:r>
    </w:p>
    <w:p w14:paraId="01C1CF10" w14:textId="7777777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Experience in similar projects of other jurisdictions</w:t>
      </w:r>
    </w:p>
    <w:p w14:paraId="03314699" w14:textId="7777777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Experience and data held by government departments</w:t>
      </w:r>
    </w:p>
    <w:p w14:paraId="146E0E64" w14:textId="7777777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Consultants and peer reviewers</w:t>
      </w:r>
    </w:p>
    <w:p w14:paraId="5D2ABC48" w14:textId="7777777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Academic literature</w:t>
      </w:r>
    </w:p>
    <w:p w14:paraId="4B8603F2" w14:textId="77777777" w:rsidR="00045512" w:rsidRPr="00EE38EB" w:rsidRDefault="00045512" w:rsidP="007E41EC">
      <w:pPr>
        <w:pStyle w:val="ListParagraph"/>
        <w:numPr>
          <w:ilvl w:val="0"/>
          <w:numId w:val="18"/>
        </w:numPr>
        <w:spacing w:after="160" w:line="259" w:lineRule="auto"/>
        <w:rPr>
          <w:rFonts w:ascii="Arial" w:eastAsia="Times New Roman" w:hAnsi="Arial" w:cs="Times New Roman"/>
          <w:sz w:val="20"/>
        </w:rPr>
      </w:pPr>
      <w:r w:rsidRPr="00EE38EB">
        <w:rPr>
          <w:rFonts w:ascii="Arial" w:eastAsia="Times New Roman" w:hAnsi="Arial" w:cs="Times New Roman"/>
          <w:sz w:val="20"/>
        </w:rPr>
        <w:t>National statistics on economic indicators.</w:t>
      </w:r>
    </w:p>
    <w:p w14:paraId="07103CA8" w14:textId="77777777" w:rsidR="00355B1A" w:rsidRDefault="00355B1A" w:rsidP="00045512">
      <w:pPr>
        <w:pStyle w:val="BodyText"/>
        <w:rPr>
          <w:rFonts w:ascii="Arial" w:hAnsi="Arial"/>
          <w:b/>
          <w:bCs/>
          <w:color w:val="264F90"/>
          <w:sz w:val="22"/>
          <w:szCs w:val="22"/>
          <w:lang w:eastAsia="en-US"/>
        </w:rPr>
      </w:pPr>
    </w:p>
    <w:p w14:paraId="0F0B8FA7" w14:textId="17978092" w:rsidR="00045512" w:rsidRPr="00A35CD8" w:rsidRDefault="00045512" w:rsidP="00045512">
      <w:pPr>
        <w:pStyle w:val="BodyText"/>
        <w:rPr>
          <w:rFonts w:ascii="Arial" w:hAnsi="Arial"/>
          <w:b/>
          <w:bCs/>
          <w:color w:val="264F90"/>
          <w:sz w:val="22"/>
          <w:szCs w:val="22"/>
          <w:lang w:eastAsia="en-US"/>
        </w:rPr>
      </w:pPr>
      <w:r w:rsidRPr="00045512">
        <w:rPr>
          <w:rFonts w:ascii="Arial" w:hAnsi="Arial"/>
          <w:b/>
          <w:bCs/>
          <w:color w:val="264F90"/>
          <w:sz w:val="22"/>
          <w:szCs w:val="22"/>
          <w:lang w:eastAsia="en-US"/>
        </w:rPr>
        <w:t>Conclusions</w:t>
      </w:r>
    </w:p>
    <w:p w14:paraId="14A3E838" w14:textId="326A7C65" w:rsidR="00045512" w:rsidRDefault="00A35CD8" w:rsidP="00CB5B3F">
      <w:r w:rsidRPr="00A35CD8">
        <w:t>A</w:t>
      </w:r>
      <w:r w:rsidR="00045512" w:rsidRPr="00A35CD8">
        <w:t xml:space="preserve"> CBA reports whether</w:t>
      </w:r>
      <w:r w:rsidR="00045512" w:rsidRPr="00B90AAA">
        <w:t xml:space="preserve"> the benefits of a proposal are likely to exceed the costs, and which option</w:t>
      </w:r>
      <w:r>
        <w:t>,</w:t>
      </w:r>
      <w:r w:rsidR="00045512" w:rsidRPr="00B90AAA">
        <w:t xml:space="preserve"> among</w:t>
      </w:r>
      <w:r>
        <w:t>st</w:t>
      </w:r>
      <w:r w:rsidR="00045512" w:rsidRPr="00B90AAA">
        <w:t xml:space="preserve"> a range of options</w:t>
      </w:r>
      <w:r>
        <w:t>,</w:t>
      </w:r>
      <w:r w:rsidR="00045512" w:rsidRPr="00B90AAA">
        <w:t xml:space="preserve"> will result in the highest net benefit</w:t>
      </w:r>
      <w:r w:rsidR="00045512">
        <w:t>.</w:t>
      </w:r>
    </w:p>
    <w:p w14:paraId="6F1075D9" w14:textId="77777777" w:rsidR="00045512" w:rsidRDefault="00045512" w:rsidP="00045512">
      <w:r>
        <w:t>The preferred measures of the net benefit of a project include:</w:t>
      </w:r>
    </w:p>
    <w:p w14:paraId="6585E6F0" w14:textId="77777777" w:rsidR="00045512" w:rsidRPr="00A35CD8" w:rsidRDefault="00045512" w:rsidP="007E41EC">
      <w:pPr>
        <w:pStyle w:val="ListParagraph"/>
        <w:numPr>
          <w:ilvl w:val="0"/>
          <w:numId w:val="18"/>
        </w:numPr>
        <w:spacing w:after="160" w:line="259" w:lineRule="auto"/>
        <w:rPr>
          <w:rFonts w:ascii="Arial" w:eastAsia="Times New Roman" w:hAnsi="Arial" w:cs="Times New Roman"/>
          <w:sz w:val="20"/>
        </w:rPr>
      </w:pPr>
      <w:r w:rsidRPr="00A35CD8">
        <w:rPr>
          <w:rFonts w:ascii="Arial" w:eastAsia="Times New Roman" w:hAnsi="Arial" w:cs="Times New Roman"/>
          <w:sz w:val="20"/>
        </w:rPr>
        <w:t>Net Present Value (NPV) – The difference between the present value of benefits and the present value of costs.</w:t>
      </w:r>
    </w:p>
    <w:p w14:paraId="5CF96E9C" w14:textId="77777777" w:rsidR="00045512" w:rsidRPr="00A35CD8" w:rsidRDefault="00045512" w:rsidP="007E41EC">
      <w:pPr>
        <w:pStyle w:val="ListParagraph"/>
        <w:numPr>
          <w:ilvl w:val="0"/>
          <w:numId w:val="18"/>
        </w:numPr>
        <w:spacing w:after="160" w:line="259" w:lineRule="auto"/>
        <w:rPr>
          <w:rFonts w:ascii="Arial" w:eastAsia="Times New Roman" w:hAnsi="Arial" w:cs="Times New Roman"/>
          <w:sz w:val="20"/>
        </w:rPr>
      </w:pPr>
      <w:r w:rsidRPr="00A35CD8">
        <w:rPr>
          <w:rFonts w:ascii="Arial" w:eastAsia="Times New Roman" w:hAnsi="Arial" w:cs="Times New Roman"/>
          <w:sz w:val="20"/>
        </w:rPr>
        <w:t>Benefit Cost Ratio (BCR) – The ratio of the present value of total benefits to the present value of total costs.</w:t>
      </w:r>
    </w:p>
    <w:p w14:paraId="2903F33F" w14:textId="4C35B12A" w:rsidR="00045512" w:rsidRDefault="00045512" w:rsidP="00045512">
      <w:r>
        <w:t>A s</w:t>
      </w:r>
      <w:r w:rsidRPr="0070529C">
        <w:t>ensitivity analysis examines how the NPV, total cost or other outcomes vary as individual assumptions or variables are changed.</w:t>
      </w:r>
    </w:p>
    <w:p w14:paraId="130C05A1" w14:textId="11B69F50" w:rsidR="009307CA" w:rsidRDefault="002A2B1B" w:rsidP="00045512">
      <w:r>
        <w:t>The applicant</w:t>
      </w:r>
      <w:r w:rsidR="009307CA">
        <w:t xml:space="preserve"> should </w:t>
      </w:r>
      <w:r w:rsidR="00B22AC0">
        <w:t>consider engaging</w:t>
      </w:r>
      <w:r w:rsidR="009307CA">
        <w:t xml:space="preserve"> a consultant/expert to prepa</w:t>
      </w:r>
      <w:r>
        <w:t>re the CBA if it is outside the organisation’s</w:t>
      </w:r>
      <w:r w:rsidR="009307CA">
        <w:t xml:space="preserve"> expertise. </w:t>
      </w:r>
    </w:p>
    <w:p w14:paraId="27BF8293" w14:textId="3D30A6E1" w:rsidR="008865AE" w:rsidRPr="008865AE" w:rsidRDefault="008865AE" w:rsidP="008865AE">
      <w:pPr>
        <w:pStyle w:val="BodyText"/>
        <w:rPr>
          <w:rFonts w:ascii="Arial" w:hAnsi="Arial"/>
          <w:b/>
          <w:bCs/>
          <w:color w:val="264F90"/>
          <w:sz w:val="22"/>
          <w:szCs w:val="22"/>
          <w:lang w:eastAsia="en-US"/>
        </w:rPr>
      </w:pPr>
      <w:r w:rsidRPr="008865AE">
        <w:rPr>
          <w:rFonts w:ascii="Arial" w:hAnsi="Arial"/>
          <w:b/>
          <w:bCs/>
          <w:color w:val="264F90"/>
          <w:sz w:val="22"/>
          <w:szCs w:val="22"/>
          <w:lang w:eastAsia="en-US"/>
        </w:rPr>
        <w:t>Contact us</w:t>
      </w:r>
    </w:p>
    <w:p w14:paraId="04FB7127" w14:textId="5E21DCC5" w:rsidR="008865AE" w:rsidRPr="00CB5B3F" w:rsidRDefault="008865AE" w:rsidP="008865AE">
      <w:pPr>
        <w:pStyle w:val="BodyText"/>
        <w:rPr>
          <w:rFonts w:ascii="Arial" w:hAnsi="Arial" w:cs="Arial"/>
          <w:sz w:val="20"/>
          <w:szCs w:val="20"/>
        </w:rPr>
      </w:pPr>
      <w:r w:rsidRPr="00CB5B3F">
        <w:rPr>
          <w:rFonts w:ascii="Arial" w:hAnsi="Arial" w:cs="Arial"/>
          <w:sz w:val="20"/>
          <w:szCs w:val="20"/>
        </w:rPr>
        <w:t xml:space="preserve">For more information, visit </w:t>
      </w:r>
      <w:hyperlink r:id="rId15" w:tooltip="www.business.gov.au" w:history="1">
        <w:r w:rsidRPr="00CB5B3F">
          <w:rPr>
            <w:rStyle w:val="Hyperlink"/>
            <w:rFonts w:ascii="Arial" w:hAnsi="Arial" w:cs="Arial"/>
            <w:sz w:val="20"/>
            <w:szCs w:val="20"/>
          </w:rPr>
          <w:t>www.business.gov.au</w:t>
        </w:r>
      </w:hyperlink>
      <w:r w:rsidRPr="00CB5B3F">
        <w:rPr>
          <w:rFonts w:ascii="Arial" w:hAnsi="Arial" w:cs="Arial"/>
          <w:sz w:val="20"/>
          <w:szCs w:val="20"/>
        </w:rPr>
        <w:t xml:space="preserve"> or call 13 28 46. </w:t>
      </w:r>
    </w:p>
    <w:p w14:paraId="3F9A276A" w14:textId="77777777" w:rsidR="008865AE" w:rsidRPr="008865AE" w:rsidRDefault="008865AE" w:rsidP="008865AE"/>
    <w:p w14:paraId="488F0B2D" w14:textId="17E6E10E" w:rsidR="00135D2D" w:rsidRDefault="00135D2D" w:rsidP="008733E5">
      <w:pPr>
        <w:spacing w:line="276" w:lineRule="auto"/>
      </w:pPr>
    </w:p>
    <w:sectPr w:rsidR="00135D2D" w:rsidSect="00E555FF">
      <w:type w:val="continuous"/>
      <w:pgSz w:w="11906" w:h="16838" w:code="9"/>
      <w:pgMar w:top="1418" w:right="1418" w:bottom="1418" w:left="1418" w:header="709" w:footer="709"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0E62F" w14:textId="77777777" w:rsidR="00815170" w:rsidRDefault="00815170" w:rsidP="00383366">
      <w:pPr>
        <w:spacing w:before="0" w:after="0" w:line="240" w:lineRule="auto"/>
      </w:pPr>
      <w:r>
        <w:separator/>
      </w:r>
    </w:p>
  </w:endnote>
  <w:endnote w:type="continuationSeparator" w:id="0">
    <w:p w14:paraId="2C6FAB0E" w14:textId="77777777" w:rsidR="00815170" w:rsidRDefault="00815170" w:rsidP="00383366">
      <w:pPr>
        <w:spacing w:before="0" w:after="0" w:line="240" w:lineRule="auto"/>
      </w:pPr>
      <w:r>
        <w:continuationSeparator/>
      </w:r>
    </w:p>
  </w:endnote>
  <w:endnote w:type="continuationNotice" w:id="1">
    <w:p w14:paraId="0C6B158D" w14:textId="77777777" w:rsidR="00FA37F7" w:rsidRDefault="00FA37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71579" w14:textId="0C02B500" w:rsidR="00815170" w:rsidRPr="000D2952" w:rsidRDefault="002A3006" w:rsidP="000D2952">
    <w:pPr>
      <w:pStyle w:val="Footer"/>
    </w:pPr>
    <w:sdt>
      <w:sdtPr>
        <w:alias w:val="Title"/>
        <w:tag w:val=""/>
        <w:id w:val="-365605025"/>
        <w:placeholder>
          <w:docPart w:val="8BE1A995A7E146569F2BB9C88E4B58E0"/>
        </w:placeholder>
        <w:dataBinding w:prefixMappings="xmlns:ns0='http://purl.org/dc/elements/1.1/' xmlns:ns1='http://schemas.openxmlformats.org/package/2006/metadata/core-properties' " w:xpath="/ns1:coreProperties[1]/ns0:title[1]" w:storeItemID="{6C3C8BC8-F283-45AE-878A-BAB7291924A1}"/>
        <w:text/>
      </w:sdtPr>
      <w:sdtEndPr/>
      <w:sdtContent>
        <w:r w:rsidR="00130543">
          <w:t xml:space="preserve">Fact Sheet – Cost Benefit Analysis – BBRF Round </w:t>
        </w:r>
        <w:r w:rsidR="00A505E2">
          <w:t>Five</w:t>
        </w:r>
      </w:sdtContent>
    </w:sdt>
    <w:r w:rsidR="000A3518">
      <w:tab/>
      <w:t>Decem</w:t>
    </w:r>
    <w:r w:rsidR="008865AE">
      <w:t>ber</w:t>
    </w:r>
    <w:r w:rsidR="000A3518">
      <w:t xml:space="preserve"> 2020</w:t>
    </w:r>
    <w:r w:rsidR="00815170" w:rsidRPr="000D2952">
      <w:tab/>
    </w:r>
    <w:r w:rsidR="00815170" w:rsidRPr="000D2952">
      <w:fldChar w:fldCharType="begin"/>
    </w:r>
    <w:r w:rsidR="00815170" w:rsidRPr="000D2952">
      <w:instrText xml:space="preserve"> PAGE  \* Arabic  \* MERGEFORMAT </w:instrText>
    </w:r>
    <w:r w:rsidR="00815170" w:rsidRPr="000D2952">
      <w:fldChar w:fldCharType="separate"/>
    </w:r>
    <w:r>
      <w:rPr>
        <w:noProof/>
      </w:rPr>
      <w:t>2</w:t>
    </w:r>
    <w:r w:rsidR="00815170" w:rsidRPr="000D2952">
      <w:fldChar w:fldCharType="end"/>
    </w:r>
    <w:r w:rsidR="00815170" w:rsidRPr="000D2952">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Pr>
        <w:noProof/>
      </w:rPr>
      <w:t>2</w:t>
    </w:r>
    <w:r w:rsidR="00815170">
      <w:rPr>
        <w:noProof/>
      </w:rPr>
      <w:fldChar w:fldCharType="end"/>
    </w:r>
  </w:p>
  <w:p w14:paraId="0A71E831" w14:textId="37EF5EF7" w:rsidR="00815170" w:rsidRPr="000D2952" w:rsidRDefault="00815170" w:rsidP="000D2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364A" w14:textId="3BB5C907" w:rsidR="00815170" w:rsidRDefault="002A3006">
    <w:pPr>
      <w:pStyle w:val="Footer"/>
    </w:pPr>
    <w:sdt>
      <w:sdtPr>
        <w:alias w:val="Title"/>
        <w:tag w:val=""/>
        <w:id w:val="-1079822228"/>
        <w:placeholder>
          <w:docPart w:val="5E8D358FEBAE477FA8C70BF7EC06155F"/>
        </w:placeholder>
        <w:dataBinding w:prefixMappings="xmlns:ns0='http://purl.org/dc/elements/1.1/' xmlns:ns1='http://schemas.openxmlformats.org/package/2006/metadata/core-properties' " w:xpath="/ns1:coreProperties[1]/ns0:title[1]" w:storeItemID="{6C3C8BC8-F283-45AE-878A-BAB7291924A1}"/>
        <w:text/>
      </w:sdtPr>
      <w:sdtEndPr/>
      <w:sdtContent>
        <w:r w:rsidR="00A505E2">
          <w:t>Fact Sheet – Cost Benefit Analysis – BBRF Round Five</w:t>
        </w:r>
      </w:sdtContent>
    </w:sdt>
    <w:r w:rsidR="00130543">
      <w:tab/>
      <w:t>Decem</w:t>
    </w:r>
    <w:r w:rsidR="008865AE">
      <w:t>ber</w:t>
    </w:r>
    <w:r w:rsidR="00130543">
      <w:t xml:space="preserve"> 2020</w:t>
    </w:r>
    <w:r w:rsidR="00815170">
      <w:tab/>
    </w:r>
    <w:r w:rsidR="00815170">
      <w:fldChar w:fldCharType="begin"/>
    </w:r>
    <w:r w:rsidR="00815170">
      <w:instrText xml:space="preserve"> PAGE  \* Arabic  \* MERGEFORMAT </w:instrText>
    </w:r>
    <w:r w:rsidR="00815170">
      <w:fldChar w:fldCharType="separate"/>
    </w:r>
    <w:r>
      <w:rPr>
        <w:noProof/>
      </w:rPr>
      <w:t>1</w:t>
    </w:r>
    <w:r w:rsidR="00815170">
      <w:fldChar w:fldCharType="end"/>
    </w:r>
    <w:r w:rsidR="00815170">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Pr>
        <w:noProof/>
      </w:rPr>
      <w:t>2</w:t>
    </w:r>
    <w:r w:rsidR="0081517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90F57" w14:textId="77777777" w:rsidR="00815170" w:rsidRDefault="00815170" w:rsidP="00383366">
      <w:pPr>
        <w:spacing w:before="0" w:after="0" w:line="240" w:lineRule="auto"/>
      </w:pPr>
      <w:r>
        <w:separator/>
      </w:r>
    </w:p>
  </w:footnote>
  <w:footnote w:type="continuationSeparator" w:id="0">
    <w:p w14:paraId="09735D04" w14:textId="77777777" w:rsidR="00815170" w:rsidRDefault="00815170" w:rsidP="00383366">
      <w:pPr>
        <w:spacing w:before="0" w:after="0" w:line="240" w:lineRule="auto"/>
      </w:pPr>
      <w:r>
        <w:continuationSeparator/>
      </w:r>
    </w:p>
  </w:footnote>
  <w:footnote w:type="continuationNotice" w:id="1">
    <w:p w14:paraId="58D133DD" w14:textId="77777777" w:rsidR="00FA37F7" w:rsidRDefault="00FA37F7">
      <w:pPr>
        <w:spacing w:before="0" w:after="0" w:line="240" w:lineRule="auto"/>
      </w:pPr>
    </w:p>
  </w:footnote>
  <w:footnote w:id="2">
    <w:p w14:paraId="3500C133" w14:textId="77777777" w:rsidR="00045512" w:rsidRDefault="00045512" w:rsidP="00045512">
      <w:pPr>
        <w:pStyle w:val="FootnoteText"/>
      </w:pPr>
      <w:r>
        <w:rPr>
          <w:rStyle w:val="FootnoteReference"/>
        </w:rPr>
        <w:footnoteRef/>
      </w:r>
      <w:r>
        <w:t xml:space="preserve"> </w:t>
      </w:r>
      <w:r w:rsidRPr="004743B1">
        <w:rPr>
          <w:lang w:val="en"/>
        </w:rPr>
        <w:t xml:space="preserve">In 2010, the Productivity Commission published </w:t>
      </w:r>
      <w:hyperlink r:id="rId1" w:history="1">
        <w:r w:rsidRPr="004743B1">
          <w:rPr>
            <w:rStyle w:val="Emphasis"/>
            <w:color w:val="0000FF"/>
            <w:u w:val="single"/>
            <w:lang w:val="en"/>
          </w:rPr>
          <w:t>Valuing the Future</w:t>
        </w:r>
      </w:hyperlink>
      <w:r w:rsidRPr="004743B1">
        <w:rPr>
          <w:lang w:val="en"/>
        </w:rPr>
        <w:t>, a research paper on discount rates.</w:t>
      </w:r>
    </w:p>
  </w:footnote>
  <w:footnote w:id="3">
    <w:p w14:paraId="790083B0" w14:textId="22E81F44" w:rsidR="00045512" w:rsidRDefault="00045512" w:rsidP="00045512">
      <w:pPr>
        <w:pStyle w:val="FootnoteText"/>
      </w:pPr>
      <w:r>
        <w:rPr>
          <w:rStyle w:val="FootnoteReference"/>
        </w:rPr>
        <w:footnoteRef/>
      </w:r>
      <w:r>
        <w:t xml:space="preserve"> </w:t>
      </w:r>
      <w:r>
        <w:rPr>
          <w:lang w:val="en"/>
        </w:rPr>
        <w:t>In 2014, the Office of Best Practice Regulation (OBPR) recommended the use of a 7% discount rate with sensitivity analysis using discount rates of 3% and 10%</w:t>
      </w:r>
      <w:r w:rsidR="00A35CD8">
        <w:rPr>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DB5F" w14:textId="577FF855" w:rsidR="00815170" w:rsidRDefault="00802042">
    <w:pPr>
      <w:pStyle w:val="Header"/>
    </w:pPr>
    <w:r>
      <w:rPr>
        <w:noProof/>
        <w:lang w:eastAsia="en-AU"/>
      </w:rPr>
      <w:drawing>
        <wp:inline distT="0" distB="0" distL="0" distR="0" wp14:anchorId="55114E55" wp14:editId="03A19ED3">
          <wp:extent cx="5577840" cy="975360"/>
          <wp:effectExtent l="0" t="0" r="3810" b="0"/>
          <wp:docPr id="2" name="Picture 2" descr="Department logos:&#10;DISER | Dep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0731B9E0" w14:textId="19B46F23" w:rsidR="00802042" w:rsidRDefault="00802042">
    <w:pPr>
      <w:pStyle w:val="Header"/>
    </w:pPr>
    <w:r>
      <w:rPr>
        <w:rFonts w:ascii="Segoe UI" w:hAnsi="Segoe UI" w:cs="Segoe UI"/>
        <w:noProof/>
        <w:color w:val="444444"/>
        <w:szCs w:val="20"/>
        <w:lang w:eastAsia="en-AU"/>
      </w:rPr>
      <w:drawing>
        <wp:inline distT="0" distB="0" distL="0" distR="0" wp14:anchorId="3A18645D" wp14:editId="54CF04AC">
          <wp:extent cx="5758730" cy="872490"/>
          <wp:effectExtent l="0" t="0" r="0" b="3810"/>
          <wp:docPr id="1" name="Picture 1" descr="DIIS DITCRD Factshee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IS DITCRD Factsheet bann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7904"/>
                  <a:stretch/>
                </pic:blipFill>
                <pic:spPr bwMode="auto">
                  <a:xfrm>
                    <a:off x="0" y="0"/>
                    <a:ext cx="5759450" cy="87259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A951DFC"/>
    <w:multiLevelType w:val="hybridMultilevel"/>
    <w:tmpl w:val="09B0ED04"/>
    <w:lvl w:ilvl="0" w:tplc="73D07BA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DC455F"/>
    <w:multiLevelType w:val="hybridMultilevel"/>
    <w:tmpl w:val="6F8E3A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0E6010"/>
    <w:multiLevelType w:val="hybridMultilevel"/>
    <w:tmpl w:val="1AA480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693A539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CB7F43"/>
    <w:multiLevelType w:val="hybridMultilevel"/>
    <w:tmpl w:val="7B68B43C"/>
    <w:lvl w:ilvl="0" w:tplc="DF22B94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271039"/>
    <w:multiLevelType w:val="hybridMultilevel"/>
    <w:tmpl w:val="04408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AB7133"/>
    <w:multiLevelType w:val="multilevel"/>
    <w:tmpl w:val="FFF272E6"/>
    <w:lvl w:ilvl="0">
      <w:start w:val="1"/>
      <w:numFmt w:val="upperLetter"/>
      <w:pStyle w:val="Heading2Appendix"/>
      <w:lvlText w:val="Appendix %1."/>
      <w:lvlJc w:val="left"/>
      <w:pPr>
        <w:ind w:left="2771"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3C6E33"/>
    <w:multiLevelType w:val="hybridMultilevel"/>
    <w:tmpl w:val="E9F26A6A"/>
    <w:lvl w:ilvl="0" w:tplc="73D07B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165094"/>
    <w:multiLevelType w:val="hybridMultilevel"/>
    <w:tmpl w:val="E6608DDC"/>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163125"/>
    <w:multiLevelType w:val="hybridMultilevel"/>
    <w:tmpl w:val="90627AB4"/>
    <w:lvl w:ilvl="0" w:tplc="73D07BA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A27BE2"/>
    <w:multiLevelType w:val="hybridMultilevel"/>
    <w:tmpl w:val="9B9E7D82"/>
    <w:lvl w:ilvl="0" w:tplc="73D07BAA">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B76DA"/>
    <w:multiLevelType w:val="hybridMultilevel"/>
    <w:tmpl w:val="B2FE2B50"/>
    <w:lvl w:ilvl="0" w:tplc="0C090005">
      <w:start w:val="1"/>
      <w:numFmt w:val="bullet"/>
      <w:lvlText w:val=""/>
      <w:lvlJc w:val="left"/>
      <w:pPr>
        <w:ind w:left="1080" w:hanging="72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66367A2C"/>
    <w:multiLevelType w:val="hybridMultilevel"/>
    <w:tmpl w:val="9EBE7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6" w15:restartNumberingAfterBreak="0">
    <w:nsid w:val="6EC435CE"/>
    <w:multiLevelType w:val="hybridMultilevel"/>
    <w:tmpl w:val="2AF416A6"/>
    <w:lvl w:ilvl="0" w:tplc="73D07BA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531331"/>
    <w:multiLevelType w:val="hybridMultilevel"/>
    <w:tmpl w:val="C67872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0"/>
  </w:num>
  <w:num w:numId="4">
    <w:abstractNumId w:val="4"/>
  </w:num>
  <w:num w:numId="5">
    <w:abstractNumId w:val="7"/>
  </w:num>
  <w:num w:numId="6">
    <w:abstractNumId w:val="5"/>
  </w:num>
  <w:num w:numId="7">
    <w:abstractNumId w:val="2"/>
  </w:num>
  <w:num w:numId="8">
    <w:abstractNumId w:val="3"/>
  </w:num>
  <w:num w:numId="9">
    <w:abstractNumId w:val="14"/>
  </w:num>
  <w:num w:numId="10">
    <w:abstractNumId w:val="11"/>
  </w:num>
  <w:num w:numId="11">
    <w:abstractNumId w:val="6"/>
  </w:num>
  <w:num w:numId="12">
    <w:abstractNumId w:val="10"/>
  </w:num>
  <w:num w:numId="13">
    <w:abstractNumId w:val="16"/>
  </w:num>
  <w:num w:numId="14">
    <w:abstractNumId w:val="1"/>
  </w:num>
  <w:num w:numId="15">
    <w:abstractNumId w:val="9"/>
  </w:num>
  <w:num w:numId="16">
    <w:abstractNumId w:val="12"/>
  </w:num>
  <w:num w:numId="17">
    <w:abstractNumId w:val="8"/>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AU"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displayVerticalDrawingGridEvery w:val="2"/>
  <w:characterSpacingControl w:val="doNotCompress"/>
  <w:hdrShapeDefaults>
    <o:shapedefaults v:ext="edit" spidmax="154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32CE"/>
    <w:rsid w:val="00006F56"/>
    <w:rsid w:val="000154DF"/>
    <w:rsid w:val="00016270"/>
    <w:rsid w:val="00022BFC"/>
    <w:rsid w:val="00045512"/>
    <w:rsid w:val="000459B3"/>
    <w:rsid w:val="00054146"/>
    <w:rsid w:val="00054521"/>
    <w:rsid w:val="0005693F"/>
    <w:rsid w:val="0006585D"/>
    <w:rsid w:val="000665DF"/>
    <w:rsid w:val="00067126"/>
    <w:rsid w:val="00070266"/>
    <w:rsid w:val="000745A8"/>
    <w:rsid w:val="0008161B"/>
    <w:rsid w:val="00081BDF"/>
    <w:rsid w:val="000917A7"/>
    <w:rsid w:val="000919BD"/>
    <w:rsid w:val="00092EA0"/>
    <w:rsid w:val="0009747E"/>
    <w:rsid w:val="00097B42"/>
    <w:rsid w:val="000A06AD"/>
    <w:rsid w:val="000A3518"/>
    <w:rsid w:val="000A508C"/>
    <w:rsid w:val="000B7A08"/>
    <w:rsid w:val="000C2E35"/>
    <w:rsid w:val="000D0D25"/>
    <w:rsid w:val="000D2952"/>
    <w:rsid w:val="000E0AC7"/>
    <w:rsid w:val="000E41BC"/>
    <w:rsid w:val="000F1D13"/>
    <w:rsid w:val="000F694C"/>
    <w:rsid w:val="00120960"/>
    <w:rsid w:val="0012652B"/>
    <w:rsid w:val="00126B7F"/>
    <w:rsid w:val="00130543"/>
    <w:rsid w:val="00135D2D"/>
    <w:rsid w:val="001373D9"/>
    <w:rsid w:val="001456F8"/>
    <w:rsid w:val="00146C54"/>
    <w:rsid w:val="00151437"/>
    <w:rsid w:val="00160E85"/>
    <w:rsid w:val="001709E2"/>
    <w:rsid w:val="00173F8E"/>
    <w:rsid w:val="001803A1"/>
    <w:rsid w:val="00180E9D"/>
    <w:rsid w:val="00187112"/>
    <w:rsid w:val="001A21F2"/>
    <w:rsid w:val="001B6FE2"/>
    <w:rsid w:val="001C02F7"/>
    <w:rsid w:val="001C1026"/>
    <w:rsid w:val="001C15EF"/>
    <w:rsid w:val="001C1E12"/>
    <w:rsid w:val="001C585B"/>
    <w:rsid w:val="001D0F18"/>
    <w:rsid w:val="001D303C"/>
    <w:rsid w:val="001D5483"/>
    <w:rsid w:val="001D686A"/>
    <w:rsid w:val="001E0D3B"/>
    <w:rsid w:val="001E34B4"/>
    <w:rsid w:val="001E5692"/>
    <w:rsid w:val="001E78D2"/>
    <w:rsid w:val="00200493"/>
    <w:rsid w:val="002151B7"/>
    <w:rsid w:val="002206E1"/>
    <w:rsid w:val="00222516"/>
    <w:rsid w:val="002244A8"/>
    <w:rsid w:val="00225687"/>
    <w:rsid w:val="00231A03"/>
    <w:rsid w:val="00240F15"/>
    <w:rsid w:val="002435AC"/>
    <w:rsid w:val="00250E46"/>
    <w:rsid w:val="00251A0D"/>
    <w:rsid w:val="00252B3C"/>
    <w:rsid w:val="002547B7"/>
    <w:rsid w:val="00260052"/>
    <w:rsid w:val="0027033C"/>
    <w:rsid w:val="002718E9"/>
    <w:rsid w:val="002727BB"/>
    <w:rsid w:val="0027794D"/>
    <w:rsid w:val="0029140A"/>
    <w:rsid w:val="00293F24"/>
    <w:rsid w:val="002A2B1B"/>
    <w:rsid w:val="002A3006"/>
    <w:rsid w:val="002A50A0"/>
    <w:rsid w:val="002A6E73"/>
    <w:rsid w:val="002B701D"/>
    <w:rsid w:val="002C1125"/>
    <w:rsid w:val="002C36C8"/>
    <w:rsid w:val="002C4315"/>
    <w:rsid w:val="002C62E6"/>
    <w:rsid w:val="002C73F3"/>
    <w:rsid w:val="002C75B9"/>
    <w:rsid w:val="002D10C3"/>
    <w:rsid w:val="002D3941"/>
    <w:rsid w:val="002E7AD3"/>
    <w:rsid w:val="002F26D5"/>
    <w:rsid w:val="002F2971"/>
    <w:rsid w:val="002F517E"/>
    <w:rsid w:val="00306936"/>
    <w:rsid w:val="00306F18"/>
    <w:rsid w:val="00313A5C"/>
    <w:rsid w:val="00316EC2"/>
    <w:rsid w:val="0032023B"/>
    <w:rsid w:val="003227F4"/>
    <w:rsid w:val="0034312A"/>
    <w:rsid w:val="003444FD"/>
    <w:rsid w:val="003462D1"/>
    <w:rsid w:val="0035292F"/>
    <w:rsid w:val="00355B1A"/>
    <w:rsid w:val="00355FB7"/>
    <w:rsid w:val="00357A5C"/>
    <w:rsid w:val="003640E3"/>
    <w:rsid w:val="003644A7"/>
    <w:rsid w:val="00365AE0"/>
    <w:rsid w:val="00367B34"/>
    <w:rsid w:val="00371E14"/>
    <w:rsid w:val="003761B5"/>
    <w:rsid w:val="003769AC"/>
    <w:rsid w:val="00376C92"/>
    <w:rsid w:val="00383366"/>
    <w:rsid w:val="00383F05"/>
    <w:rsid w:val="00391AAA"/>
    <w:rsid w:val="00396CEA"/>
    <w:rsid w:val="003A1A4F"/>
    <w:rsid w:val="003A7322"/>
    <w:rsid w:val="003B427E"/>
    <w:rsid w:val="003B5DE8"/>
    <w:rsid w:val="003B6483"/>
    <w:rsid w:val="003C2A62"/>
    <w:rsid w:val="003C49C2"/>
    <w:rsid w:val="003C7396"/>
    <w:rsid w:val="003E52B1"/>
    <w:rsid w:val="003E74A9"/>
    <w:rsid w:val="003E7C4F"/>
    <w:rsid w:val="003F0EAD"/>
    <w:rsid w:val="003F62D5"/>
    <w:rsid w:val="00410344"/>
    <w:rsid w:val="00411EC4"/>
    <w:rsid w:val="00424F19"/>
    <w:rsid w:val="00425D68"/>
    <w:rsid w:val="0043265C"/>
    <w:rsid w:val="0043490C"/>
    <w:rsid w:val="00443971"/>
    <w:rsid w:val="004553C4"/>
    <w:rsid w:val="00460298"/>
    <w:rsid w:val="00463EE4"/>
    <w:rsid w:val="0046738C"/>
    <w:rsid w:val="00473372"/>
    <w:rsid w:val="00490C23"/>
    <w:rsid w:val="0049204F"/>
    <w:rsid w:val="004946A9"/>
    <w:rsid w:val="004A00A8"/>
    <w:rsid w:val="004A0638"/>
    <w:rsid w:val="004A19C5"/>
    <w:rsid w:val="004B0A00"/>
    <w:rsid w:val="004B2383"/>
    <w:rsid w:val="004B76BC"/>
    <w:rsid w:val="004C08FD"/>
    <w:rsid w:val="004C0A54"/>
    <w:rsid w:val="004D063B"/>
    <w:rsid w:val="004D2AF4"/>
    <w:rsid w:val="004D4ED8"/>
    <w:rsid w:val="004E1BFE"/>
    <w:rsid w:val="004F34AE"/>
    <w:rsid w:val="004F5445"/>
    <w:rsid w:val="004F6818"/>
    <w:rsid w:val="00502C64"/>
    <w:rsid w:val="00502FB8"/>
    <w:rsid w:val="00504460"/>
    <w:rsid w:val="00506BDD"/>
    <w:rsid w:val="005100CA"/>
    <w:rsid w:val="005131A7"/>
    <w:rsid w:val="0051761F"/>
    <w:rsid w:val="00527A63"/>
    <w:rsid w:val="00551A00"/>
    <w:rsid w:val="00555195"/>
    <w:rsid w:val="00556936"/>
    <w:rsid w:val="00560DDD"/>
    <w:rsid w:val="00561419"/>
    <w:rsid w:val="00566489"/>
    <w:rsid w:val="00573331"/>
    <w:rsid w:val="00575AF3"/>
    <w:rsid w:val="005805CB"/>
    <w:rsid w:val="0058675C"/>
    <w:rsid w:val="00596657"/>
    <w:rsid w:val="005A1AE7"/>
    <w:rsid w:val="005B00C7"/>
    <w:rsid w:val="005B125E"/>
    <w:rsid w:val="005B20B2"/>
    <w:rsid w:val="005D0569"/>
    <w:rsid w:val="005D1427"/>
    <w:rsid w:val="005D7E66"/>
    <w:rsid w:val="005E3496"/>
    <w:rsid w:val="006113FC"/>
    <w:rsid w:val="00611FB4"/>
    <w:rsid w:val="0061735F"/>
    <w:rsid w:val="006216DD"/>
    <w:rsid w:val="006255AA"/>
    <w:rsid w:val="0063619E"/>
    <w:rsid w:val="0063792D"/>
    <w:rsid w:val="00643D1D"/>
    <w:rsid w:val="00652CB0"/>
    <w:rsid w:val="00660409"/>
    <w:rsid w:val="00667D34"/>
    <w:rsid w:val="0067174F"/>
    <w:rsid w:val="006730F8"/>
    <w:rsid w:val="00675E88"/>
    <w:rsid w:val="00681ED9"/>
    <w:rsid w:val="006837DB"/>
    <w:rsid w:val="00683DB9"/>
    <w:rsid w:val="006868FE"/>
    <w:rsid w:val="00697C27"/>
    <w:rsid w:val="00697D4C"/>
    <w:rsid w:val="006A1D1A"/>
    <w:rsid w:val="006A4D71"/>
    <w:rsid w:val="006B53D6"/>
    <w:rsid w:val="006D6E51"/>
    <w:rsid w:val="006D7C4B"/>
    <w:rsid w:val="006E47AF"/>
    <w:rsid w:val="006E5D43"/>
    <w:rsid w:val="006F46A0"/>
    <w:rsid w:val="00707AFE"/>
    <w:rsid w:val="0071246E"/>
    <w:rsid w:val="00713AB7"/>
    <w:rsid w:val="00720544"/>
    <w:rsid w:val="0072194E"/>
    <w:rsid w:val="00725BED"/>
    <w:rsid w:val="00727634"/>
    <w:rsid w:val="00736399"/>
    <w:rsid w:val="007405C7"/>
    <w:rsid w:val="00740EFD"/>
    <w:rsid w:val="0074468C"/>
    <w:rsid w:val="00744B10"/>
    <w:rsid w:val="00744C75"/>
    <w:rsid w:val="007458D9"/>
    <w:rsid w:val="00745BBE"/>
    <w:rsid w:val="0078071F"/>
    <w:rsid w:val="00790AFF"/>
    <w:rsid w:val="00793A2E"/>
    <w:rsid w:val="00795B2F"/>
    <w:rsid w:val="007A2D30"/>
    <w:rsid w:val="007A4384"/>
    <w:rsid w:val="007B11FD"/>
    <w:rsid w:val="007B4F7F"/>
    <w:rsid w:val="007B709A"/>
    <w:rsid w:val="007B7E13"/>
    <w:rsid w:val="007C0CDE"/>
    <w:rsid w:val="007D1C85"/>
    <w:rsid w:val="007D37AA"/>
    <w:rsid w:val="007E41EC"/>
    <w:rsid w:val="007F0091"/>
    <w:rsid w:val="00801DF5"/>
    <w:rsid w:val="00802042"/>
    <w:rsid w:val="0081057A"/>
    <w:rsid w:val="00815170"/>
    <w:rsid w:val="00827A41"/>
    <w:rsid w:val="0083498E"/>
    <w:rsid w:val="0086159C"/>
    <w:rsid w:val="00864902"/>
    <w:rsid w:val="00872FFB"/>
    <w:rsid w:val="008733E5"/>
    <w:rsid w:val="00875026"/>
    <w:rsid w:val="00876730"/>
    <w:rsid w:val="00881EA5"/>
    <w:rsid w:val="008843EF"/>
    <w:rsid w:val="008865AE"/>
    <w:rsid w:val="00887495"/>
    <w:rsid w:val="008926BF"/>
    <w:rsid w:val="00894DF1"/>
    <w:rsid w:val="00897DE5"/>
    <w:rsid w:val="008A0C3B"/>
    <w:rsid w:val="008A20C1"/>
    <w:rsid w:val="008A33CF"/>
    <w:rsid w:val="008A4C44"/>
    <w:rsid w:val="008A5664"/>
    <w:rsid w:val="008B412F"/>
    <w:rsid w:val="008C001F"/>
    <w:rsid w:val="008C09BC"/>
    <w:rsid w:val="008D16ED"/>
    <w:rsid w:val="008E7099"/>
    <w:rsid w:val="008F0E46"/>
    <w:rsid w:val="008F30F4"/>
    <w:rsid w:val="00910753"/>
    <w:rsid w:val="0091118E"/>
    <w:rsid w:val="00913C1C"/>
    <w:rsid w:val="00926E00"/>
    <w:rsid w:val="00927FC1"/>
    <w:rsid w:val="009307CA"/>
    <w:rsid w:val="00941F3B"/>
    <w:rsid w:val="009575E6"/>
    <w:rsid w:val="00961E59"/>
    <w:rsid w:val="00965646"/>
    <w:rsid w:val="00967FDD"/>
    <w:rsid w:val="00970E07"/>
    <w:rsid w:val="00980F93"/>
    <w:rsid w:val="00980FB3"/>
    <w:rsid w:val="009961AF"/>
    <w:rsid w:val="00997936"/>
    <w:rsid w:val="009A2646"/>
    <w:rsid w:val="009B14EB"/>
    <w:rsid w:val="009B2995"/>
    <w:rsid w:val="009B2AE0"/>
    <w:rsid w:val="009C161E"/>
    <w:rsid w:val="009C476B"/>
    <w:rsid w:val="009C4EA9"/>
    <w:rsid w:val="009D0366"/>
    <w:rsid w:val="009E30E3"/>
    <w:rsid w:val="009E54BB"/>
    <w:rsid w:val="009F1034"/>
    <w:rsid w:val="009F3310"/>
    <w:rsid w:val="009F64B3"/>
    <w:rsid w:val="009F66ED"/>
    <w:rsid w:val="009F70B6"/>
    <w:rsid w:val="00A040E6"/>
    <w:rsid w:val="00A237D0"/>
    <w:rsid w:val="00A300FC"/>
    <w:rsid w:val="00A310D4"/>
    <w:rsid w:val="00A33816"/>
    <w:rsid w:val="00A35CD8"/>
    <w:rsid w:val="00A36D0D"/>
    <w:rsid w:val="00A3727B"/>
    <w:rsid w:val="00A42B56"/>
    <w:rsid w:val="00A505E2"/>
    <w:rsid w:val="00A57C84"/>
    <w:rsid w:val="00A606C2"/>
    <w:rsid w:val="00A62427"/>
    <w:rsid w:val="00A63487"/>
    <w:rsid w:val="00A66A62"/>
    <w:rsid w:val="00A67571"/>
    <w:rsid w:val="00A67A97"/>
    <w:rsid w:val="00A82F12"/>
    <w:rsid w:val="00A852E8"/>
    <w:rsid w:val="00A91DEA"/>
    <w:rsid w:val="00AA3BE6"/>
    <w:rsid w:val="00AB19EA"/>
    <w:rsid w:val="00AB40F9"/>
    <w:rsid w:val="00AD07D0"/>
    <w:rsid w:val="00AD50A4"/>
    <w:rsid w:val="00AD7DBE"/>
    <w:rsid w:val="00AD7E5E"/>
    <w:rsid w:val="00AE64F6"/>
    <w:rsid w:val="00AF1DA6"/>
    <w:rsid w:val="00AF68B4"/>
    <w:rsid w:val="00B0291C"/>
    <w:rsid w:val="00B058AD"/>
    <w:rsid w:val="00B16D6F"/>
    <w:rsid w:val="00B174C1"/>
    <w:rsid w:val="00B2200B"/>
    <w:rsid w:val="00B22AC0"/>
    <w:rsid w:val="00B254DB"/>
    <w:rsid w:val="00B26FB5"/>
    <w:rsid w:val="00B37B7B"/>
    <w:rsid w:val="00B422A9"/>
    <w:rsid w:val="00B44AC2"/>
    <w:rsid w:val="00B5003E"/>
    <w:rsid w:val="00B54484"/>
    <w:rsid w:val="00B72DDC"/>
    <w:rsid w:val="00B747BC"/>
    <w:rsid w:val="00B814CD"/>
    <w:rsid w:val="00B846DB"/>
    <w:rsid w:val="00B86517"/>
    <w:rsid w:val="00B90577"/>
    <w:rsid w:val="00BA2CCD"/>
    <w:rsid w:val="00BA472F"/>
    <w:rsid w:val="00BA5BF6"/>
    <w:rsid w:val="00BB7236"/>
    <w:rsid w:val="00BC362D"/>
    <w:rsid w:val="00BC6EFC"/>
    <w:rsid w:val="00BD35E0"/>
    <w:rsid w:val="00BD55C1"/>
    <w:rsid w:val="00BF0A8C"/>
    <w:rsid w:val="00C02A1D"/>
    <w:rsid w:val="00C04A06"/>
    <w:rsid w:val="00C062C1"/>
    <w:rsid w:val="00C11255"/>
    <w:rsid w:val="00C12923"/>
    <w:rsid w:val="00C134F5"/>
    <w:rsid w:val="00C14B5C"/>
    <w:rsid w:val="00C3354D"/>
    <w:rsid w:val="00C40FBB"/>
    <w:rsid w:val="00C6433D"/>
    <w:rsid w:val="00C65C53"/>
    <w:rsid w:val="00C665FA"/>
    <w:rsid w:val="00C73617"/>
    <w:rsid w:val="00C9001A"/>
    <w:rsid w:val="00CA3A91"/>
    <w:rsid w:val="00CB2B2A"/>
    <w:rsid w:val="00CB47EE"/>
    <w:rsid w:val="00CB5B3F"/>
    <w:rsid w:val="00CB5C9B"/>
    <w:rsid w:val="00CB7270"/>
    <w:rsid w:val="00CC351F"/>
    <w:rsid w:val="00CE0882"/>
    <w:rsid w:val="00CE4E1D"/>
    <w:rsid w:val="00CF053F"/>
    <w:rsid w:val="00CF0EC2"/>
    <w:rsid w:val="00D10101"/>
    <w:rsid w:val="00D114CE"/>
    <w:rsid w:val="00D168AB"/>
    <w:rsid w:val="00D177B5"/>
    <w:rsid w:val="00D22942"/>
    <w:rsid w:val="00D259E0"/>
    <w:rsid w:val="00D26E29"/>
    <w:rsid w:val="00D31F7A"/>
    <w:rsid w:val="00D3364D"/>
    <w:rsid w:val="00D407B1"/>
    <w:rsid w:val="00D40C05"/>
    <w:rsid w:val="00D50E70"/>
    <w:rsid w:val="00D524C8"/>
    <w:rsid w:val="00D52C4E"/>
    <w:rsid w:val="00D53F9B"/>
    <w:rsid w:val="00D54671"/>
    <w:rsid w:val="00D62A19"/>
    <w:rsid w:val="00D642F6"/>
    <w:rsid w:val="00D70C34"/>
    <w:rsid w:val="00D73A85"/>
    <w:rsid w:val="00D7401C"/>
    <w:rsid w:val="00D8012B"/>
    <w:rsid w:val="00D82F5C"/>
    <w:rsid w:val="00D91715"/>
    <w:rsid w:val="00DA1D36"/>
    <w:rsid w:val="00DA4ED8"/>
    <w:rsid w:val="00DA5344"/>
    <w:rsid w:val="00DE0545"/>
    <w:rsid w:val="00DE0968"/>
    <w:rsid w:val="00DE2572"/>
    <w:rsid w:val="00DF136A"/>
    <w:rsid w:val="00DF1F7B"/>
    <w:rsid w:val="00E12763"/>
    <w:rsid w:val="00E170B2"/>
    <w:rsid w:val="00E25EB1"/>
    <w:rsid w:val="00E3206F"/>
    <w:rsid w:val="00E36E03"/>
    <w:rsid w:val="00E40DFE"/>
    <w:rsid w:val="00E422F1"/>
    <w:rsid w:val="00E51523"/>
    <w:rsid w:val="00E555FF"/>
    <w:rsid w:val="00E55A9F"/>
    <w:rsid w:val="00E629B7"/>
    <w:rsid w:val="00E64764"/>
    <w:rsid w:val="00E72E2A"/>
    <w:rsid w:val="00E766FE"/>
    <w:rsid w:val="00E830B8"/>
    <w:rsid w:val="00E85673"/>
    <w:rsid w:val="00E85E9F"/>
    <w:rsid w:val="00EB1C35"/>
    <w:rsid w:val="00EB48A2"/>
    <w:rsid w:val="00EB5280"/>
    <w:rsid w:val="00EC2089"/>
    <w:rsid w:val="00EC5F99"/>
    <w:rsid w:val="00ED4ED4"/>
    <w:rsid w:val="00ED794E"/>
    <w:rsid w:val="00EE38EB"/>
    <w:rsid w:val="00EF2EF5"/>
    <w:rsid w:val="00EF5648"/>
    <w:rsid w:val="00F00391"/>
    <w:rsid w:val="00F21AE4"/>
    <w:rsid w:val="00F260EA"/>
    <w:rsid w:val="00F314CD"/>
    <w:rsid w:val="00F373B4"/>
    <w:rsid w:val="00F42ED4"/>
    <w:rsid w:val="00F44F0A"/>
    <w:rsid w:val="00F550B0"/>
    <w:rsid w:val="00F57FC1"/>
    <w:rsid w:val="00F62D57"/>
    <w:rsid w:val="00F714E3"/>
    <w:rsid w:val="00F7664E"/>
    <w:rsid w:val="00F84FC2"/>
    <w:rsid w:val="00F874C7"/>
    <w:rsid w:val="00F90E01"/>
    <w:rsid w:val="00F95178"/>
    <w:rsid w:val="00F95827"/>
    <w:rsid w:val="00FA37F7"/>
    <w:rsid w:val="00FB0131"/>
    <w:rsid w:val="00FB257F"/>
    <w:rsid w:val="00FB2E2F"/>
    <w:rsid w:val="00FE1B82"/>
    <w:rsid w:val="00FE1CCF"/>
    <w:rsid w:val="00FE6E1B"/>
    <w:rsid w:val="00FF12D9"/>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4625"/>
    <o:shapelayout v:ext="edit">
      <o:idmap v:ext="edit" data="1"/>
    </o:shapelayout>
  </w:shapeDefaults>
  <w:decimalSymbol w:val="."/>
  <w:listSeparator w:val=","/>
  <w14:docId w14:val="117ABBA2"/>
  <w15:docId w15:val="{B3B1EC1A-8DAF-461D-ABE1-DD66B1D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35292F"/>
    <w:pPr>
      <w:spacing w:before="600" w:after="360" w:line="240" w:lineRule="auto"/>
      <w:contextualSpacing/>
      <w:outlineLvl w:val="0"/>
    </w:pPr>
    <w:rPr>
      <w:rFonts w:eastAsiaTheme="majorEastAsia" w:cstheme="majorBidi"/>
      <w:b/>
      <w:bCs/>
      <w:color w:val="C00000"/>
      <w:kern w:val="28"/>
      <w:sz w:val="32"/>
      <w:szCs w:val="36"/>
      <w:lang w:val="en-US"/>
    </w:rPr>
  </w:style>
  <w:style w:type="paragraph" w:styleId="Heading2">
    <w:name w:val="heading 2"/>
    <w:basedOn w:val="Heading3"/>
    <w:next w:val="Normal"/>
    <w:link w:val="Heading2Char"/>
    <w:autoRedefine/>
    <w:qFormat/>
    <w:rsid w:val="004F5445"/>
    <w:pPr>
      <w:outlineLvl w:val="1"/>
    </w:p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35292F"/>
    <w:rPr>
      <w:rFonts w:ascii="Arial" w:eastAsiaTheme="majorEastAsia" w:hAnsi="Arial" w:cstheme="majorBidi"/>
      <w:b/>
      <w:bCs/>
      <w:color w:val="C00000"/>
      <w:kern w:val="28"/>
      <w:sz w:val="32"/>
      <w:szCs w:val="36"/>
      <w:lang w:val="en-US"/>
    </w:rPr>
  </w:style>
  <w:style w:type="character" w:customStyle="1" w:styleId="Heading2Char">
    <w:name w:val="Heading 2 Char"/>
    <w:basedOn w:val="DefaultParagraphFont"/>
    <w:link w:val="Heading2"/>
    <w:rsid w:val="004F5445"/>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unhideWhenUsed/>
    <w:rsid w:val="00E830B8"/>
    <w:rPr>
      <w:sz w:val="16"/>
      <w:szCs w:val="16"/>
    </w:rPr>
  </w:style>
  <w:style w:type="paragraph" w:styleId="CommentText">
    <w:name w:val="annotation text"/>
    <w:basedOn w:val="Normal"/>
    <w:link w:val="CommentTextChar"/>
    <w:uiPriority w:val="99"/>
    <w:unhideWhenUsed/>
    <w:rsid w:val="00E830B8"/>
    <w:pPr>
      <w:spacing w:line="240" w:lineRule="auto"/>
    </w:pPr>
    <w:rPr>
      <w:szCs w:val="20"/>
    </w:rPr>
  </w:style>
  <w:style w:type="character" w:customStyle="1" w:styleId="CommentTextChar">
    <w:name w:val="Comment Text Char"/>
    <w:basedOn w:val="DefaultParagraphFont"/>
    <w:link w:val="CommentText"/>
    <w:uiPriority w:val="99"/>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basedOn w:val="Normal"/>
    <w:uiPriority w:val="99"/>
    <w:unhideWhenUsed/>
    <w:rsid w:val="003640E3"/>
    <w:pPr>
      <w:numPr>
        <w:numId w:val="3"/>
      </w:numPr>
      <w:contextualSpacing/>
    </w:pPr>
  </w:style>
  <w:style w:type="character" w:styleId="Strong">
    <w:name w:val="Strong"/>
    <w:basedOn w:val="DefaultParagraphFont"/>
    <w:uiPriority w:val="22"/>
    <w:qFormat/>
    <w:rsid w:val="00097B42"/>
    <w:rPr>
      <w:b/>
      <w:bCs/>
    </w:rPr>
  </w:style>
  <w:style w:type="paragraph" w:customStyle="1" w:styleId="anao-p-blue">
    <w:name w:val="anao-p-blue"/>
    <w:basedOn w:val="Normal"/>
    <w:rsid w:val="00097B42"/>
    <w:pPr>
      <w:spacing w:before="0" w:after="375" w:line="240" w:lineRule="auto"/>
    </w:pPr>
    <w:rPr>
      <w:rFonts w:ascii="Times New Roman" w:hAnsi="Times New Roman"/>
      <w:sz w:val="24"/>
      <w:szCs w:val="24"/>
      <w:lang w:eastAsia="en-AU"/>
    </w:rPr>
  </w:style>
  <w:style w:type="table" w:styleId="TableGrid">
    <w:name w:val="Table Grid"/>
    <w:basedOn w:val="TableNormal"/>
    <w:rsid w:val="00980F93"/>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ppendix">
    <w:name w:val="Heading 2 Appendix"/>
    <w:basedOn w:val="Heading2"/>
    <w:qFormat/>
    <w:rsid w:val="00980F93"/>
    <w:pPr>
      <w:numPr>
        <w:numId w:val="5"/>
      </w:numPr>
      <w:spacing w:before="240" w:line="280" w:lineRule="atLeast"/>
      <w:ind w:left="360"/>
    </w:pPr>
    <w:rPr>
      <w:rFonts w:cstheme="minorHAnsi"/>
      <w:sz w:val="32"/>
      <w:szCs w:val="32"/>
    </w:rPr>
  </w:style>
  <w:style w:type="paragraph" w:styleId="FootnoteText">
    <w:name w:val="footnote text"/>
    <w:basedOn w:val="Normal"/>
    <w:link w:val="FootnoteTextChar1"/>
    <w:autoRedefine/>
    <w:uiPriority w:val="99"/>
    <w:qFormat/>
    <w:rsid w:val="00187112"/>
    <w:pPr>
      <w:tabs>
        <w:tab w:val="left" w:pos="4590"/>
        <w:tab w:val="right" w:pos="9450"/>
      </w:tabs>
      <w:spacing w:line="220" w:lineRule="exact"/>
      <w:ind w:left="180" w:right="188"/>
    </w:pPr>
    <w:rPr>
      <w:iCs/>
      <w:sz w:val="16"/>
      <w:szCs w:val="24"/>
    </w:rPr>
  </w:style>
  <w:style w:type="character" w:customStyle="1" w:styleId="FootnoteTextChar">
    <w:name w:val="Footnote Text Char"/>
    <w:basedOn w:val="DefaultParagraphFont"/>
    <w:uiPriority w:val="99"/>
    <w:semiHidden/>
    <w:rsid w:val="00187112"/>
    <w:rPr>
      <w:rFonts w:ascii="Arial" w:hAnsi="Arial"/>
    </w:rPr>
  </w:style>
  <w:style w:type="character" w:customStyle="1" w:styleId="FootnoteTextChar1">
    <w:name w:val="Footnote Text Char1"/>
    <w:basedOn w:val="DefaultParagraphFont"/>
    <w:link w:val="FootnoteText"/>
    <w:rsid w:val="00187112"/>
    <w:rPr>
      <w:rFonts w:ascii="Arial" w:hAnsi="Arial"/>
      <w:iCs/>
      <w:sz w:val="16"/>
      <w:szCs w:val="24"/>
    </w:rPr>
  </w:style>
  <w:style w:type="character" w:styleId="FootnoteReference">
    <w:name w:val="footnote reference"/>
    <w:basedOn w:val="DefaultParagraphFont"/>
    <w:uiPriority w:val="99"/>
    <w:rsid w:val="00187112"/>
    <w:rPr>
      <w:rFonts w:cs="Times New Roman"/>
      <w:vertAlign w:val="superscript"/>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body text"/>
    <w:basedOn w:val="Normal"/>
    <w:link w:val="BodyTextChar"/>
    <w:uiPriority w:val="2"/>
    <w:qFormat/>
    <w:rsid w:val="008865AE"/>
    <w:pPr>
      <w:spacing w:before="140" w:after="0" w:line="280" w:lineRule="atLeast"/>
    </w:pPr>
    <w:rPr>
      <w:rFonts w:asciiTheme="minorHAnsi" w:hAnsiTheme="minorHAnsi"/>
      <w:sz w:val="21"/>
      <w:szCs w:val="21"/>
      <w:lang w:eastAsia="en-AU"/>
    </w:r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body text Char"/>
    <w:basedOn w:val="DefaultParagraphFont"/>
    <w:link w:val="BodyText"/>
    <w:uiPriority w:val="2"/>
    <w:rsid w:val="008865AE"/>
    <w:rPr>
      <w:rFonts w:asciiTheme="minorHAnsi" w:hAnsiTheme="minorHAnsi"/>
      <w:sz w:val="21"/>
      <w:szCs w:val="21"/>
      <w:lang w:eastAsia="en-AU"/>
    </w:rPr>
  </w:style>
  <w:style w:type="character" w:styleId="Emphasis">
    <w:name w:val="Emphasis"/>
    <w:basedOn w:val="DefaultParagraphFont"/>
    <w:uiPriority w:val="20"/>
    <w:qFormat/>
    <w:rsid w:val="00045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731842">
      <w:bodyDiv w:val="1"/>
      <w:marLeft w:val="0"/>
      <w:marRight w:val="0"/>
      <w:marTop w:val="0"/>
      <w:marBottom w:val="0"/>
      <w:divBdr>
        <w:top w:val="none" w:sz="0" w:space="0" w:color="auto"/>
        <w:left w:val="none" w:sz="0" w:space="0" w:color="auto"/>
        <w:bottom w:val="none" w:sz="0" w:space="0" w:color="auto"/>
        <w:right w:val="none" w:sz="0" w:space="0" w:color="auto"/>
      </w:divBdr>
      <w:divsChild>
        <w:div w:id="843710635">
          <w:marLeft w:val="0"/>
          <w:marRight w:val="0"/>
          <w:marTop w:val="0"/>
          <w:marBottom w:val="0"/>
          <w:divBdr>
            <w:top w:val="none" w:sz="0" w:space="0" w:color="auto"/>
            <w:left w:val="none" w:sz="0" w:space="0" w:color="auto"/>
            <w:bottom w:val="none" w:sz="0" w:space="0" w:color="auto"/>
            <w:right w:val="none" w:sz="0" w:space="0" w:color="auto"/>
          </w:divBdr>
          <w:divsChild>
            <w:div w:id="5715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usiness.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c.gov.au/research/supporting/cost-benefit-discount/cost-benefit-discoun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D358FEBAE477FA8C70BF7EC06155F"/>
        <w:category>
          <w:name w:val="General"/>
          <w:gallery w:val="placeholder"/>
        </w:category>
        <w:types>
          <w:type w:val="bbPlcHdr"/>
        </w:types>
        <w:behaviors>
          <w:behavior w:val="content"/>
        </w:behaviors>
        <w:guid w:val="{F473A2D5-77C7-4F5F-8560-9E46F14A6549}"/>
      </w:docPartPr>
      <w:docPartBody>
        <w:p w:rsidR="000F1710" w:rsidRDefault="000730BD" w:rsidP="000730BD">
          <w:pPr>
            <w:pStyle w:val="5E8D358FEBAE477FA8C70BF7EC06155F"/>
          </w:pPr>
          <w:r w:rsidRPr="007D3ADD">
            <w:rPr>
              <w:rStyle w:val="PlaceholderText"/>
            </w:rPr>
            <w:t>[Title]</w:t>
          </w:r>
        </w:p>
      </w:docPartBody>
    </w:docPart>
    <w:docPart>
      <w:docPartPr>
        <w:name w:val="8BE1A995A7E146569F2BB9C88E4B58E0"/>
        <w:category>
          <w:name w:val="General"/>
          <w:gallery w:val="placeholder"/>
        </w:category>
        <w:types>
          <w:type w:val="bbPlcHdr"/>
        </w:types>
        <w:behaviors>
          <w:behavior w:val="content"/>
        </w:behaviors>
        <w:guid w:val="{DDEBFC53-2ED2-43F7-A633-66A716771D92}"/>
      </w:docPartPr>
      <w:docPartBody>
        <w:p w:rsidR="0091560B" w:rsidRDefault="000204BD" w:rsidP="000204BD">
          <w:pPr>
            <w:pStyle w:val="8BE1A995A7E146569F2BB9C88E4B58E0"/>
          </w:pPr>
          <w:r w:rsidRPr="007D3A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BD"/>
    <w:rsid w:val="000204BD"/>
    <w:rsid w:val="000730BD"/>
    <w:rsid w:val="000F1710"/>
    <w:rsid w:val="006B3B7B"/>
    <w:rsid w:val="00915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4BD"/>
    <w:rPr>
      <w:color w:val="808080"/>
    </w:rPr>
  </w:style>
  <w:style w:type="paragraph" w:customStyle="1" w:styleId="5E8D358FEBAE477FA8C70BF7EC06155F">
    <w:name w:val="5E8D358FEBAE477FA8C70BF7EC06155F"/>
    <w:rsid w:val="000730BD"/>
  </w:style>
  <w:style w:type="paragraph" w:customStyle="1" w:styleId="FA301BB4F3444C0AA4BE4B21DF41D8C3">
    <w:name w:val="FA301BB4F3444C0AA4BE4B21DF41D8C3"/>
    <w:rsid w:val="006B3B7B"/>
  </w:style>
  <w:style w:type="paragraph" w:customStyle="1" w:styleId="74BD485FF2D3430F98CDEADB5BE528EF">
    <w:name w:val="74BD485FF2D3430F98CDEADB5BE528EF"/>
    <w:rsid w:val="006B3B7B"/>
  </w:style>
  <w:style w:type="paragraph" w:customStyle="1" w:styleId="07318ADB64444ABFBD5F907934DB1DC3">
    <w:name w:val="07318ADB64444ABFBD5F907934DB1DC3"/>
    <w:rsid w:val="000204BD"/>
  </w:style>
  <w:style w:type="paragraph" w:customStyle="1" w:styleId="8BE1A995A7E146569F2BB9C88E4B58E0">
    <w:name w:val="8BE1A995A7E146569F2BB9C88E4B58E0"/>
    <w:rsid w:val="00020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Program Design</TermName>
          <TermId xmlns="http://schemas.microsoft.com/office/infopath/2007/PartnerControls">c9671be4-ea5f-4ad5-9557-60c0497d6f89</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28949</Value>
      <Value>214</Value>
      <Value>3</Value>
      <Value>99</Value>
      <Value>10713</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YZXQVS7QACYM-1122009179-432</_dlc_DocId>
    <_dlc_DocIdUrl xmlns="2a251b7e-61e4-4816-a71f-b295a9ad20fb">
      <Url>https://dochub/div/ausindustry/programmesprojectstaskforces/bbrf/_layouts/15/DocIdRedir.aspx?ID=YZXQVS7QACYM-1122009179-432</Url>
      <Description>YZXQVS7QACYM-1122009179-432</Description>
    </_dlc_DocIdUrl>
    <IconOverlay xmlns="http://schemas.microsoft.com/sharepoint/v4" xsi:nil="true"/>
    <DocHub_RoundNumber xmlns="2a251b7e-61e4-4816-a71f-b295a9ad20fb">5</DocHub_Round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4eab5e56fdc6b43e049b637b3de8206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89e95db852da85133159dce1a9f476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1B2F-0F76-4049-933A-4CA2842E8E68}">
  <ds:schemaRefs>
    <ds:schemaRef ds:uri="http://schemas.microsoft.com/sharepoint/v3/contenttype/forms"/>
  </ds:schemaRefs>
</ds:datastoreItem>
</file>

<file path=customXml/itemProps2.xml><?xml version="1.0" encoding="utf-8"?>
<ds:datastoreItem xmlns:ds="http://schemas.openxmlformats.org/officeDocument/2006/customXml" ds:itemID="{AEB56A59-91AC-422C-99B3-EABE30DB19C2}">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75AB04-F9B8-43B6-AC08-446C0A1480F9}">
  <ds:schemaRefs>
    <ds:schemaRef ds:uri="http://schemas.microsoft.com/sharepoint/events"/>
  </ds:schemaRefs>
</ds:datastoreItem>
</file>

<file path=customXml/itemProps4.xml><?xml version="1.0" encoding="utf-8"?>
<ds:datastoreItem xmlns:ds="http://schemas.openxmlformats.org/officeDocument/2006/customXml" ds:itemID="{AA4A6EDF-7B06-4CE3-8FD7-C6505007C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72F9AB-B12E-44D1-990D-57A99C5E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Fact Sheet – Cost Benefit Analysis – BBRF Round Five</vt:lpstr>
    </vt:vector>
  </TitlesOfParts>
  <Company>Industry</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Cost Benefit Analysis – BBRF Round Five</dc:title>
  <dc:creator>Business Grants Hub</dc:creator>
  <cp:lastModifiedBy>Maroya, Anthony</cp:lastModifiedBy>
  <cp:revision>3</cp:revision>
  <cp:lastPrinted>2020-12-18T00:49:00Z</cp:lastPrinted>
  <dcterms:created xsi:type="dcterms:W3CDTF">2020-12-18T00:48:00Z</dcterms:created>
  <dcterms:modified xsi:type="dcterms:W3CDTF">2020-12-18T00:49:00Z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0x0101004CE2F0509B766545930D372FDAE955DB</vt:lpwstr>
  </property>
  <property fmtid="{D5CDD505-2E9C-101B-9397-08002B2CF9AE}" pid="7" name="Base Target">
    <vt:lpwstr>_blank</vt:lpwstr>
  </property>
  <property fmtid="{D5CDD505-2E9C-101B-9397-08002B2CF9AE}" pid="8" name="Order">
    <vt:r8>7000</vt:r8>
  </property>
  <property fmtid="{D5CDD505-2E9C-101B-9397-08002B2CF9AE}" pid="9" name="DocHub_Year">
    <vt:lpwstr>28949;#2020|6a3660c5-15bd-4052-a0a1-6237663b7600</vt:lpwstr>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DocHub_Keywords">
    <vt:lpwstr>10713;#Program Design|c9671be4-ea5f-4ad5-9557-60c0497d6f89</vt:lpwstr>
  </property>
  <property fmtid="{D5CDD505-2E9C-101B-9397-08002B2CF9AE}" pid="13" name="DocHub_WorkActivity">
    <vt:lpwstr>214;#Design|15393cf4-1a80-4741-a8a5-a1faa3f14784</vt:lpwstr>
  </property>
  <property fmtid="{D5CDD505-2E9C-101B-9397-08002B2CF9AE}" pid="14" name="_dlc_DocIdItemGuid">
    <vt:lpwstr>82041f2c-1c25-4ba8-9e9e-92ea3490a0f3</vt:lpwstr>
  </property>
  <property fmtid="{D5CDD505-2E9C-101B-9397-08002B2CF9AE}" pid="15" name="DocHub_ProgrammeName">
    <vt:lpwstr>21223;#Drought Communities program|ba01a859-7693-42bb-91fd-84bccf6aacca</vt:lpwstr>
  </property>
  <property fmtid="{D5CDD505-2E9C-101B-9397-08002B2CF9AE}" pid="16" name="DocHub_GovernmentEntities">
    <vt:lpwstr/>
  </property>
</Properties>
</file>