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0A1C" w14:textId="77777777" w:rsidR="00C726C1" w:rsidRPr="00DD0BA5" w:rsidRDefault="00C726C1" w:rsidP="00C726C1">
      <w:pPr>
        <w:pStyle w:val="Heading1"/>
      </w:pPr>
      <w:r>
        <w:t>SWOT Analysis</w:t>
      </w:r>
    </w:p>
    <w:p w14:paraId="23DD0A1D" w14:textId="42386F5E" w:rsidR="00C726C1" w:rsidRPr="00EA7295" w:rsidRDefault="00EA7295" w:rsidP="00B442DF">
      <w:pPr>
        <w:pStyle w:val="Heading4"/>
        <w:rPr>
          <w:b/>
          <w:color w:val="595959" w:themeColor="text1" w:themeTint="A6"/>
        </w:rPr>
      </w:pPr>
      <w:bookmarkStart w:id="0" w:name="_GoBack"/>
      <w:bookmarkEnd w:id="0"/>
      <w:r w:rsidRPr="00EA7295">
        <w:rPr>
          <w:rStyle w:val="Heading3Char"/>
          <w:b w:val="0"/>
          <w:color w:val="595959" w:themeColor="text1" w:themeTint="A6"/>
        </w:rPr>
        <w:t>[</w:t>
      </w:r>
      <w:r w:rsidR="00FD1E23" w:rsidRPr="00EA7295">
        <w:rPr>
          <w:rStyle w:val="Heading3Char"/>
          <w:b w:val="0"/>
          <w:color w:val="595959" w:themeColor="text1" w:themeTint="A6"/>
        </w:rPr>
        <w:t>Complete this</w:t>
      </w:r>
      <w:r w:rsidR="00C726C1" w:rsidRPr="00EA7295">
        <w:rPr>
          <w:rStyle w:val="Heading3Char"/>
          <w:b w:val="0"/>
          <w:color w:val="595959" w:themeColor="text1" w:themeTint="A6"/>
        </w:rPr>
        <w:t xml:space="preserve"> SWOT analysis </w:t>
      </w:r>
      <w:r w:rsidR="00FD1E23" w:rsidRPr="00EA7295">
        <w:rPr>
          <w:rStyle w:val="Heading3Char"/>
          <w:b w:val="0"/>
          <w:color w:val="595959" w:themeColor="text1" w:themeTint="A6"/>
        </w:rPr>
        <w:t>by listing the strengths, weaknesses, opportunities</w:t>
      </w:r>
      <w:r w:rsidR="00362437" w:rsidRPr="00EA7295">
        <w:rPr>
          <w:rStyle w:val="Heading3Char"/>
          <w:b w:val="0"/>
          <w:color w:val="595959" w:themeColor="text1" w:themeTint="A6"/>
        </w:rPr>
        <w:t xml:space="preserve"> and threats for your business.</w:t>
      </w:r>
      <w:r w:rsidRPr="00EA7295">
        <w:rPr>
          <w:rStyle w:val="Heading3Char"/>
          <w:b w:val="0"/>
          <w:color w:val="595959" w:themeColor="text1" w:themeTint="A6"/>
        </w:rPr>
        <w:t>]</w:t>
      </w:r>
    </w:p>
    <w:p w14:paraId="23DD0A1E" w14:textId="77777777" w:rsidR="00C726C1" w:rsidRDefault="00C726C1" w:rsidP="00C726C1">
      <w:pPr>
        <w:rPr>
          <w:rFonts w:cstheme="minorHAnsi"/>
          <w:i/>
          <w:lang w:eastAsia="en-AU"/>
        </w:rPr>
      </w:pPr>
      <w:r w:rsidRPr="00792E86">
        <w:rPr>
          <w:rFonts w:cstheme="minorHAnsi"/>
          <w:b/>
          <w:lang w:eastAsia="en-AU"/>
        </w:rPr>
        <w:t>Strengths</w:t>
      </w:r>
      <w:r>
        <w:rPr>
          <w:rFonts w:cstheme="minorHAnsi"/>
          <w:lang w:eastAsia="en-AU"/>
        </w:rPr>
        <w:t xml:space="preserve"> –</w:t>
      </w:r>
      <w:r w:rsidR="00335766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>positive factors</w:t>
      </w:r>
      <w:r w:rsidR="00335766">
        <w:rPr>
          <w:rFonts w:cstheme="minorHAnsi"/>
          <w:lang w:eastAsia="en-AU"/>
        </w:rPr>
        <w:t xml:space="preserve"> within your control. </w:t>
      </w:r>
      <w:r w:rsidR="00FD1E23">
        <w:rPr>
          <w:rFonts w:cstheme="minorHAnsi"/>
          <w:i/>
          <w:lang w:eastAsia="en-AU"/>
        </w:rPr>
        <w:t>For example,</w:t>
      </w:r>
      <w:r>
        <w:rPr>
          <w:rFonts w:cstheme="minorHAnsi"/>
          <w:lang w:eastAsia="en-AU"/>
        </w:rPr>
        <w:t xml:space="preserve"> </w:t>
      </w:r>
      <w:r>
        <w:rPr>
          <w:rFonts w:cstheme="minorHAnsi"/>
          <w:i/>
          <w:lang w:eastAsia="en-AU"/>
        </w:rPr>
        <w:t>what do we do well?</w:t>
      </w:r>
    </w:p>
    <w:p w14:paraId="23DD0A1F" w14:textId="77777777" w:rsidR="00C726C1" w:rsidRDefault="00C726C1" w:rsidP="00C726C1">
      <w:pPr>
        <w:rPr>
          <w:rFonts w:cstheme="minorHAnsi"/>
          <w:i/>
          <w:lang w:eastAsia="en-AU"/>
        </w:rPr>
      </w:pPr>
      <w:r>
        <w:rPr>
          <w:rFonts w:cstheme="minorHAnsi"/>
          <w:b/>
          <w:lang w:eastAsia="en-AU"/>
        </w:rPr>
        <w:t>Weaknesses –</w:t>
      </w:r>
      <w:r w:rsidR="00335766">
        <w:rPr>
          <w:rFonts w:cstheme="minorHAnsi"/>
          <w:b/>
          <w:lang w:eastAsia="en-AU"/>
        </w:rPr>
        <w:t xml:space="preserve"> </w:t>
      </w:r>
      <w:r>
        <w:rPr>
          <w:rFonts w:cstheme="minorHAnsi"/>
          <w:lang w:eastAsia="en-AU"/>
        </w:rPr>
        <w:t>negative factors</w:t>
      </w:r>
      <w:r w:rsidR="00335766">
        <w:rPr>
          <w:rFonts w:cstheme="minorHAnsi"/>
          <w:lang w:eastAsia="en-AU"/>
        </w:rPr>
        <w:t xml:space="preserve"> within your control. </w:t>
      </w:r>
      <w:r w:rsidR="00FD1E23">
        <w:rPr>
          <w:rFonts w:cstheme="minorHAnsi"/>
          <w:i/>
          <w:lang w:eastAsia="en-AU"/>
        </w:rPr>
        <w:t>For example,</w:t>
      </w:r>
      <w:r w:rsidR="00335766" w:rsidRPr="00335766">
        <w:rPr>
          <w:rFonts w:cstheme="minorHAnsi"/>
          <w:i/>
          <w:lang w:eastAsia="en-AU"/>
        </w:rPr>
        <w:t xml:space="preserve"> </w:t>
      </w:r>
      <w:r w:rsidRPr="00335766">
        <w:rPr>
          <w:rFonts w:cstheme="minorHAnsi"/>
          <w:i/>
          <w:lang w:eastAsia="en-AU"/>
        </w:rPr>
        <w:t xml:space="preserve">what do we </w:t>
      </w:r>
      <w:r w:rsidRPr="00335766">
        <w:rPr>
          <w:rFonts w:cstheme="minorHAnsi"/>
          <w:i/>
          <w:u w:val="single"/>
          <w:lang w:eastAsia="en-AU"/>
        </w:rPr>
        <w:t>not</w:t>
      </w:r>
      <w:r w:rsidRPr="00335766">
        <w:rPr>
          <w:rFonts w:cstheme="minorHAnsi"/>
          <w:i/>
          <w:lang w:eastAsia="en-AU"/>
        </w:rPr>
        <w:t xml:space="preserve"> do well?</w:t>
      </w:r>
    </w:p>
    <w:p w14:paraId="23DD0A20" w14:textId="77777777" w:rsidR="00C726C1" w:rsidRDefault="00C726C1" w:rsidP="00C726C1">
      <w:pPr>
        <w:rPr>
          <w:rFonts w:cstheme="minorHAnsi"/>
          <w:i/>
          <w:lang w:eastAsia="en-AU"/>
        </w:rPr>
      </w:pPr>
      <w:r>
        <w:rPr>
          <w:rFonts w:cstheme="minorHAnsi"/>
          <w:b/>
          <w:lang w:eastAsia="en-AU"/>
        </w:rPr>
        <w:t>Opportunities –</w:t>
      </w:r>
      <w:r w:rsidR="00335766">
        <w:rPr>
          <w:rFonts w:cstheme="minorHAnsi"/>
          <w:b/>
          <w:lang w:eastAsia="en-AU"/>
        </w:rPr>
        <w:t xml:space="preserve"> </w:t>
      </w:r>
      <w:r>
        <w:rPr>
          <w:rFonts w:cstheme="minorHAnsi"/>
          <w:lang w:eastAsia="en-AU"/>
        </w:rPr>
        <w:t>positive factors</w:t>
      </w:r>
      <w:r w:rsidR="00335766">
        <w:rPr>
          <w:rFonts w:cstheme="minorHAnsi"/>
          <w:lang w:eastAsia="en-AU"/>
        </w:rPr>
        <w:t xml:space="preserve"> out of your control. </w:t>
      </w:r>
      <w:r w:rsidR="00FD1E23">
        <w:rPr>
          <w:rFonts w:cstheme="minorHAnsi"/>
          <w:i/>
          <w:lang w:eastAsia="en-AU"/>
        </w:rPr>
        <w:t>For example,</w:t>
      </w:r>
      <w:r w:rsidRPr="00335766">
        <w:rPr>
          <w:rFonts w:cstheme="minorHAnsi"/>
          <w:i/>
          <w:lang w:eastAsia="en-AU"/>
        </w:rPr>
        <w:t xml:space="preserve"> </w:t>
      </w:r>
      <w:r w:rsidR="00335766" w:rsidRPr="00335766">
        <w:rPr>
          <w:rFonts w:cstheme="minorHAnsi"/>
          <w:i/>
          <w:lang w:eastAsia="en-AU"/>
        </w:rPr>
        <w:t>w</w:t>
      </w:r>
      <w:r w:rsidRPr="00335766">
        <w:rPr>
          <w:rFonts w:cstheme="minorHAnsi"/>
          <w:i/>
          <w:lang w:eastAsia="en-AU"/>
        </w:rPr>
        <w:t>hat are</w:t>
      </w:r>
      <w:r>
        <w:rPr>
          <w:rFonts w:cstheme="minorHAnsi"/>
          <w:i/>
          <w:lang w:eastAsia="en-AU"/>
        </w:rPr>
        <w:t xml:space="preserve"> the big possibilities for us?</w:t>
      </w:r>
    </w:p>
    <w:p w14:paraId="62433F1C" w14:textId="02513FD2" w:rsidR="00AE47CB" w:rsidRDefault="00335766" w:rsidP="00C726C1">
      <w:pPr>
        <w:rPr>
          <w:rFonts w:cstheme="minorHAnsi"/>
          <w:i/>
          <w:lang w:eastAsia="en-AU"/>
        </w:rPr>
      </w:pPr>
      <w:r>
        <w:rPr>
          <w:rFonts w:cstheme="minorHAnsi"/>
          <w:b/>
          <w:lang w:eastAsia="en-AU"/>
        </w:rPr>
        <w:t>Threats</w:t>
      </w:r>
      <w:r w:rsidR="00C726C1">
        <w:rPr>
          <w:rFonts w:cstheme="minorHAnsi"/>
          <w:b/>
          <w:lang w:eastAsia="en-AU"/>
        </w:rPr>
        <w:t xml:space="preserve"> –</w:t>
      </w:r>
      <w:r>
        <w:rPr>
          <w:rFonts w:cstheme="minorHAnsi"/>
          <w:b/>
          <w:lang w:eastAsia="en-AU"/>
        </w:rPr>
        <w:t xml:space="preserve"> </w:t>
      </w:r>
      <w:r w:rsidR="00C726C1">
        <w:rPr>
          <w:rFonts w:cstheme="minorHAnsi"/>
          <w:lang w:eastAsia="en-AU"/>
        </w:rPr>
        <w:t>negative factors</w:t>
      </w:r>
      <w:r>
        <w:rPr>
          <w:rFonts w:cstheme="minorHAnsi"/>
          <w:lang w:eastAsia="en-AU"/>
        </w:rPr>
        <w:t xml:space="preserve"> out of your control. </w:t>
      </w:r>
      <w:r w:rsidR="00FD1E23">
        <w:rPr>
          <w:rFonts w:cstheme="minorHAnsi"/>
          <w:i/>
          <w:lang w:eastAsia="en-AU"/>
        </w:rPr>
        <w:t>For example,</w:t>
      </w:r>
      <w:r w:rsidR="00C726C1">
        <w:rPr>
          <w:rFonts w:cstheme="minorHAnsi"/>
          <w:lang w:eastAsia="en-AU"/>
        </w:rPr>
        <w:t xml:space="preserve"> </w:t>
      </w:r>
      <w:r w:rsidR="00C726C1">
        <w:rPr>
          <w:rFonts w:cstheme="minorHAnsi"/>
          <w:i/>
          <w:lang w:eastAsia="en-AU"/>
        </w:rPr>
        <w:t>what could potentially harm us?</w:t>
      </w:r>
    </w:p>
    <w:tbl>
      <w:tblPr>
        <w:tblStyle w:val="BizPlantablewhitetoprow"/>
        <w:tblW w:w="5000" w:type="pct"/>
        <w:tblLayout w:type="fixed"/>
        <w:tblLook w:val="04A0" w:firstRow="1" w:lastRow="0" w:firstColumn="1" w:lastColumn="0" w:noHBand="0" w:noVBand="1"/>
      </w:tblPr>
      <w:tblGrid>
        <w:gridCol w:w="4506"/>
        <w:gridCol w:w="4460"/>
      </w:tblGrid>
      <w:tr w:rsidR="00AE47CB" w:rsidRPr="003F79AA" w14:paraId="65A8980B" w14:textId="77777777" w:rsidTr="004D2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4506" w:type="dxa"/>
          </w:tcPr>
          <w:p w14:paraId="2C9C76EA" w14:textId="77777777" w:rsidR="00AE47CB" w:rsidRDefault="00AE47CB" w:rsidP="00AE47CB">
            <w:pPr>
              <w:pStyle w:val="TableHeading"/>
              <w:rPr>
                <w:b/>
                <w:sz w:val="28"/>
              </w:rPr>
            </w:pPr>
            <w:r w:rsidRPr="00AE47CB">
              <w:rPr>
                <w:b/>
                <w:sz w:val="28"/>
              </w:rPr>
              <w:t>S</w:t>
            </w:r>
            <w:r w:rsidRPr="00407676">
              <w:rPr>
                <w:sz w:val="28"/>
              </w:rPr>
              <w:t>trengths</w:t>
            </w:r>
          </w:p>
          <w:p w14:paraId="5DC7552C" w14:textId="0B80B812" w:rsidR="00AE47CB" w:rsidRPr="003F79AA" w:rsidRDefault="00AE47CB" w:rsidP="00AE47CB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 w:rsidRPr="00AE47CB">
              <w:rPr>
                <w:b w:val="0"/>
                <w:i/>
                <w:color w:val="595959" w:themeColor="text1" w:themeTint="A6"/>
              </w:rPr>
              <w:t>[</w:t>
            </w:r>
            <w:r w:rsidRPr="00AE47CB">
              <w:rPr>
                <w:b w:val="0"/>
                <w:i/>
                <w:color w:val="595959" w:themeColor="text1" w:themeTint="A6"/>
              </w:rPr>
              <w:t>Example</w:t>
            </w:r>
            <w:r w:rsidRPr="00AE47CB">
              <w:rPr>
                <w:b w:val="0"/>
                <w:i/>
                <w:color w:val="595959" w:themeColor="text1" w:themeTint="A6"/>
              </w:rPr>
              <w:t>s</w:t>
            </w:r>
            <w:r w:rsidRPr="00AE47CB">
              <w:rPr>
                <w:b w:val="0"/>
                <w:i/>
                <w:color w:val="595959" w:themeColor="text1" w:themeTint="A6"/>
              </w:rPr>
              <w:t>: management knowledge, proprietary property, large capital.</w:t>
            </w:r>
            <w:r w:rsidRPr="00AE47CB">
              <w:rPr>
                <w:b w:val="0"/>
                <w:i/>
                <w:color w:val="595959" w:themeColor="text1" w:themeTint="A6"/>
              </w:rPr>
              <w:t>]</w:t>
            </w:r>
          </w:p>
        </w:tc>
        <w:tc>
          <w:tcPr>
            <w:tcW w:w="4460" w:type="dxa"/>
          </w:tcPr>
          <w:p w14:paraId="4ED9AA71" w14:textId="77777777" w:rsidR="00AE47CB" w:rsidRDefault="00AE47CB" w:rsidP="00AE47CB">
            <w:pPr>
              <w:pStyle w:val="TableHeading"/>
              <w:rPr>
                <w:b/>
                <w:sz w:val="28"/>
              </w:rPr>
            </w:pPr>
            <w:r w:rsidRPr="00AE47CB">
              <w:rPr>
                <w:b/>
                <w:sz w:val="28"/>
              </w:rPr>
              <w:t>W</w:t>
            </w:r>
            <w:r w:rsidRPr="00407676">
              <w:rPr>
                <w:sz w:val="28"/>
              </w:rPr>
              <w:t>eaknesses</w:t>
            </w:r>
          </w:p>
          <w:p w14:paraId="0AA13630" w14:textId="3443F8A0" w:rsidR="00AE47CB" w:rsidRPr="003F79AA" w:rsidRDefault="00AE47CB" w:rsidP="00AE47CB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  <w:r w:rsidRPr="00AE47CB">
              <w:rPr>
                <w:b w:val="0"/>
                <w:i/>
                <w:color w:val="595959" w:themeColor="text1" w:themeTint="A6"/>
              </w:rPr>
              <w:t>[</w:t>
            </w:r>
            <w:r w:rsidRPr="00AE47CB">
              <w:rPr>
                <w:b w:val="0"/>
                <w:i/>
                <w:color w:val="595959" w:themeColor="text1" w:themeTint="A6"/>
              </w:rPr>
              <w:t>E</w:t>
            </w:r>
            <w:r w:rsidRPr="00AE47CB">
              <w:rPr>
                <w:b w:val="0"/>
                <w:i/>
                <w:color w:val="595959" w:themeColor="text1" w:themeTint="A6"/>
              </w:rPr>
              <w:t>xamples:</w:t>
            </w:r>
            <w:r w:rsidRPr="00AE47CB">
              <w:rPr>
                <w:b w:val="0"/>
                <w:i/>
                <w:color w:val="595959" w:themeColor="text1" w:themeTint="A6"/>
              </w:rPr>
              <w:t xml:space="preserve"> high debt, poor reputa</w:t>
            </w:r>
            <w:r w:rsidRPr="00AE47CB">
              <w:rPr>
                <w:b w:val="0"/>
                <w:i/>
                <w:color w:val="595959" w:themeColor="text1" w:themeTint="A6"/>
              </w:rPr>
              <w:t>tion, unclear value proposition]</w:t>
            </w:r>
          </w:p>
        </w:tc>
      </w:tr>
      <w:tr w:rsidR="00AE47CB" w:rsidRPr="00386E4D" w14:paraId="79ACF359" w14:textId="77777777" w:rsidTr="00AE47CB">
        <w:trPr>
          <w:trHeight w:val="3543"/>
        </w:trPr>
        <w:tc>
          <w:tcPr>
            <w:tcW w:w="4506" w:type="dxa"/>
          </w:tcPr>
          <w:p w14:paraId="0FDDB837" w14:textId="7C9F93B3" w:rsidR="00AE47CB" w:rsidRPr="00386E4D" w:rsidRDefault="00AE47CB" w:rsidP="00AE47CB">
            <w:pPr>
              <w:pStyle w:val="Inputguidance"/>
            </w:pPr>
          </w:p>
        </w:tc>
        <w:tc>
          <w:tcPr>
            <w:tcW w:w="4460" w:type="dxa"/>
          </w:tcPr>
          <w:p w14:paraId="47F0BDC4" w14:textId="77777777" w:rsidR="00AE47CB" w:rsidRPr="00386E4D" w:rsidRDefault="00AE47CB" w:rsidP="004D28C6">
            <w:pPr>
              <w:pStyle w:val="Inputguidance"/>
              <w:rPr>
                <w:rFonts w:eastAsia="Calibri" w:cs="Times New Roman"/>
              </w:rPr>
            </w:pPr>
          </w:p>
        </w:tc>
      </w:tr>
      <w:tr w:rsidR="00AE47CB" w:rsidRPr="00386E4D" w14:paraId="14167C9A" w14:textId="77777777" w:rsidTr="004D28C6">
        <w:tc>
          <w:tcPr>
            <w:tcW w:w="4506" w:type="dxa"/>
            <w:shd w:val="clear" w:color="auto" w:fill="auto"/>
          </w:tcPr>
          <w:p w14:paraId="259B7EFF" w14:textId="77777777" w:rsidR="00AE47CB" w:rsidRDefault="00AE47CB" w:rsidP="00AE47CB">
            <w:pPr>
              <w:pStyle w:val="TableHeading"/>
              <w:rPr>
                <w:b w:val="0"/>
                <w:sz w:val="28"/>
              </w:rPr>
            </w:pPr>
            <w:r w:rsidRPr="00B660DF">
              <w:rPr>
                <w:sz w:val="28"/>
              </w:rPr>
              <w:t>O</w:t>
            </w:r>
            <w:r w:rsidRPr="00407676">
              <w:rPr>
                <w:b w:val="0"/>
                <w:sz w:val="28"/>
              </w:rPr>
              <w:t xml:space="preserve">pportunities </w:t>
            </w:r>
          </w:p>
          <w:p w14:paraId="7B0093CA" w14:textId="07F635F5" w:rsidR="00AE47CB" w:rsidRPr="00386E4D" w:rsidRDefault="00AE47CB" w:rsidP="00AE47CB">
            <w:pPr>
              <w:pStyle w:val="Inputguidance"/>
            </w:pPr>
            <w:r>
              <w:t xml:space="preserve">[Examples: </w:t>
            </w:r>
            <w:r>
              <w:t>lowered export tax, emerging need for the product, increasing market gap</w:t>
            </w:r>
            <w:r>
              <w:t>]</w:t>
            </w:r>
          </w:p>
        </w:tc>
        <w:tc>
          <w:tcPr>
            <w:tcW w:w="4460" w:type="dxa"/>
            <w:shd w:val="clear" w:color="auto" w:fill="auto"/>
          </w:tcPr>
          <w:p w14:paraId="5A40175D" w14:textId="77777777" w:rsidR="00AE47CB" w:rsidRDefault="00AE47CB" w:rsidP="00AE47CB">
            <w:pPr>
              <w:pStyle w:val="TableHeading"/>
              <w:rPr>
                <w:b w:val="0"/>
                <w:sz w:val="28"/>
              </w:rPr>
            </w:pPr>
            <w:r w:rsidRPr="00B660DF">
              <w:rPr>
                <w:sz w:val="28"/>
              </w:rPr>
              <w:t>T</w:t>
            </w:r>
            <w:r w:rsidRPr="00407676">
              <w:rPr>
                <w:b w:val="0"/>
                <w:sz w:val="28"/>
              </w:rPr>
              <w:t>hreats</w:t>
            </w:r>
          </w:p>
          <w:p w14:paraId="6032B354" w14:textId="5669AFF5" w:rsidR="00AE47CB" w:rsidRPr="00386E4D" w:rsidRDefault="00AE47CB" w:rsidP="00AE47CB">
            <w:pPr>
              <w:pStyle w:val="Inputguidance"/>
              <w:rPr>
                <w:rFonts w:eastAsia="Calibri" w:cs="Times New Roman"/>
              </w:rPr>
            </w:pPr>
            <w:r>
              <w:t>[Examples:</w:t>
            </w:r>
            <w:r>
              <w:t xml:space="preserve"> new competitors, new government regulations, negative media coverage</w:t>
            </w:r>
            <w:r>
              <w:t>]</w:t>
            </w:r>
          </w:p>
        </w:tc>
      </w:tr>
      <w:tr w:rsidR="00AE47CB" w:rsidRPr="00386E4D" w14:paraId="52BB9692" w14:textId="77777777" w:rsidTr="00AE47CB">
        <w:trPr>
          <w:trHeight w:val="3467"/>
        </w:trPr>
        <w:tc>
          <w:tcPr>
            <w:tcW w:w="4506" w:type="dxa"/>
          </w:tcPr>
          <w:p w14:paraId="3DB6E6AE" w14:textId="77777777" w:rsidR="00AE47CB" w:rsidRPr="00386E4D" w:rsidRDefault="00AE47CB" w:rsidP="004D28C6">
            <w:pPr>
              <w:pStyle w:val="Inputguidance"/>
            </w:pPr>
          </w:p>
        </w:tc>
        <w:tc>
          <w:tcPr>
            <w:tcW w:w="4460" w:type="dxa"/>
          </w:tcPr>
          <w:p w14:paraId="2CBC66AC" w14:textId="77777777" w:rsidR="00AE47CB" w:rsidRPr="00386E4D" w:rsidRDefault="00AE47CB" w:rsidP="004D28C6">
            <w:pPr>
              <w:pStyle w:val="Inputguidance"/>
              <w:rPr>
                <w:rFonts w:eastAsia="Calibri" w:cs="Times New Roman"/>
              </w:rPr>
            </w:pPr>
          </w:p>
        </w:tc>
      </w:tr>
    </w:tbl>
    <w:p w14:paraId="3573CDB3" w14:textId="77777777" w:rsidR="00AE47CB" w:rsidRDefault="00AE47CB" w:rsidP="00C726C1">
      <w:pPr>
        <w:rPr>
          <w:rFonts w:cstheme="minorHAnsi"/>
          <w:i/>
          <w:lang w:eastAsia="en-AU"/>
        </w:rPr>
      </w:pPr>
    </w:p>
    <w:p w14:paraId="23DD0A32" w14:textId="77777777" w:rsidR="00E040E3" w:rsidRDefault="00E040E3"/>
    <w:sectPr w:rsidR="00E040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D0A35" w14:textId="77777777" w:rsidR="00053D56" w:rsidRDefault="00053D56" w:rsidP="00053D56">
      <w:pPr>
        <w:spacing w:before="0" w:after="0" w:line="240" w:lineRule="auto"/>
      </w:pPr>
      <w:r>
        <w:separator/>
      </w:r>
    </w:p>
  </w:endnote>
  <w:endnote w:type="continuationSeparator" w:id="0">
    <w:p w14:paraId="23DD0A36" w14:textId="77777777" w:rsidR="00053D56" w:rsidRDefault="00053D56" w:rsidP="00053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0A37" w14:textId="77777777" w:rsidR="00053D56" w:rsidRDefault="00053D56">
    <w:pPr>
      <w:pStyle w:val="Footer"/>
    </w:pPr>
    <w:r>
      <w:t>Visit business.gov.au/SWOTAnalysis for more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D0A33" w14:textId="77777777" w:rsidR="00053D56" w:rsidRDefault="00053D56" w:rsidP="00053D56">
      <w:pPr>
        <w:spacing w:before="0" w:after="0" w:line="240" w:lineRule="auto"/>
      </w:pPr>
      <w:r>
        <w:separator/>
      </w:r>
    </w:p>
  </w:footnote>
  <w:footnote w:type="continuationSeparator" w:id="0">
    <w:p w14:paraId="23DD0A34" w14:textId="77777777" w:rsidR="00053D56" w:rsidRDefault="00053D56" w:rsidP="00053D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C1"/>
    <w:rsid w:val="00053D56"/>
    <w:rsid w:val="00335766"/>
    <w:rsid w:val="00362437"/>
    <w:rsid w:val="00604567"/>
    <w:rsid w:val="006B5B97"/>
    <w:rsid w:val="009574CC"/>
    <w:rsid w:val="00AE47CB"/>
    <w:rsid w:val="00B442DF"/>
    <w:rsid w:val="00C726C1"/>
    <w:rsid w:val="00E040E3"/>
    <w:rsid w:val="00EA7295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0A1C"/>
  <w15:chartTrackingRefBased/>
  <w15:docId w15:val="{58D26FE5-C6F2-46D4-9E15-B263631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C1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26C1"/>
    <w:pPr>
      <w:keepNext/>
      <w:keepLines/>
      <w:spacing w:before="240" w:after="0"/>
      <w:outlineLvl w:val="0"/>
    </w:pPr>
    <w:rPr>
      <w:rFonts w:eastAsiaTheme="majorEastAsia" w:cstheme="minorHAnsi"/>
      <w:b/>
      <w:color w:val="2E74B5" w:themeColor="accent1" w:themeShade="BF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6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2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6C1"/>
    <w:rPr>
      <w:rFonts w:eastAsiaTheme="majorEastAsia" w:cstheme="minorHAnsi"/>
      <w:b/>
      <w:color w:val="2E74B5" w:themeColor="accent1" w:themeShade="BF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26C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7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utguidance">
    <w:name w:val="Input guidance"/>
    <w:basedOn w:val="Normal"/>
    <w:qFormat/>
    <w:rsid w:val="00C726C1"/>
    <w:pPr>
      <w:spacing w:after="0" w:line="240" w:lineRule="auto"/>
    </w:pPr>
    <w:rPr>
      <w:rFonts w:eastAsia="Times New Roman" w:cstheme="minorHAnsi"/>
      <w:i/>
      <w:color w:val="595959" w:themeColor="text1" w:themeTint="A6"/>
      <w:szCs w:val="20"/>
      <w:lang w:eastAsia="en-AU"/>
    </w:rPr>
  </w:style>
  <w:style w:type="paragraph" w:customStyle="1" w:styleId="TableHeading">
    <w:name w:val="Table Heading"/>
    <w:basedOn w:val="Normal"/>
    <w:rsid w:val="00C726C1"/>
    <w:pPr>
      <w:keepNext/>
      <w:spacing w:before="80" w:after="80" w:line="240" w:lineRule="auto"/>
    </w:pPr>
    <w:rPr>
      <w:rFonts w:eastAsia="Times New Roman" w:cstheme="minorHAnsi"/>
      <w:b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56"/>
  </w:style>
  <w:style w:type="paragraph" w:styleId="Footer">
    <w:name w:val="footer"/>
    <w:basedOn w:val="Normal"/>
    <w:link w:val="FooterChar"/>
    <w:uiPriority w:val="99"/>
    <w:unhideWhenUsed/>
    <w:rsid w:val="0005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56"/>
  </w:style>
  <w:style w:type="character" w:customStyle="1" w:styleId="Heading4Char">
    <w:name w:val="Heading 4 Char"/>
    <w:basedOn w:val="DefaultParagraphFont"/>
    <w:link w:val="Heading4"/>
    <w:uiPriority w:val="9"/>
    <w:rsid w:val="00B442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BizPlantablewhitetoprow">
    <w:name w:val="BizPlan table white top row"/>
    <w:basedOn w:val="TableNormal"/>
    <w:uiPriority w:val="99"/>
    <w:rsid w:val="00AE47C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i145e512c1d74f61b8078a1aacb079b7 xmlns="a7d5f76e-ad64-43b2-8afb-d080d21ef2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</TermName>
          <TermId xmlns="http://schemas.microsoft.com/office/infopath/2007/PartnerControls">2a4f9e2f-1e2b-4f6c-9e06-4cddf75c4738</TermId>
        </TermInfo>
      </Terms>
    </i145e512c1d74f61b8078a1aacb079b7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Review</TermName>
          <TermId xmlns="http://schemas.microsoft.com/office/infopath/2007/PartnerControls"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 Development</TermName>
          <TermId xmlns="http://schemas.microsoft.com/office/infopath/2007/PartnerControls">dccdda5d-8a7e-4985-b2c4-2ca9292e75f4</TermId>
        </TermInfo>
      </Terms>
    </g7bcb40ba23249a78edca7d43a67c1c9>
    <TaxCatchAll xmlns="a36bd50b-1532-4c22-b385-5c082c960938">
      <Value>165</Value>
      <Value>2676</Value>
      <Value>2351</Value>
      <Value>1330</Value>
      <Value>1329</Value>
      <Value>1</Value>
    </TaxCatchAll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0b4745f4685f89e808c543ea532fb83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4648c99815c10a05c2b52a2d6cf3661c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31260-EA1A-4323-A5E3-3E6172CC12AC}">
  <ds:schemaRefs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d5f76e-ad64-43b2-8afb-d080d21ef2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7B3745-66D9-4ABB-8638-7CE110C0C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CCDCD-9A5E-4610-93EC-E380A53162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5718B9-C442-49AF-A7F7-F76E53F3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Horvat, Alexandra</dc:creator>
  <cp:keywords/>
  <dc:description/>
  <cp:lastModifiedBy>Horvat, Alexandra</cp:lastModifiedBy>
  <cp:revision>7</cp:revision>
  <dcterms:created xsi:type="dcterms:W3CDTF">2021-06-01T04:51:00Z</dcterms:created>
  <dcterms:modified xsi:type="dcterms:W3CDTF">2021-08-04T01:58:00Z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2351;#2021|712d5b50-1b62-44de-9d3e-74234783b265</vt:lpwstr>
  </property>
  <property fmtid="{D5CDD505-2E9C-101B-9397-08002B2CF9AE}" pid="4" name="DocHub_DocumentType">
    <vt:lpwstr>165;#Template|9b48ba34-650a-488d-9fe8-e5181e10b797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/>
  </property>
  <property fmtid="{D5CDD505-2E9C-101B-9397-08002B2CF9AE}" pid="7" name="DocHub_BGAActivity">
    <vt:lpwstr>2676;#Template Review|4491cc5b-10dc-4105-b6e9-4004bda4180c</vt:lpwstr>
  </property>
  <property fmtid="{D5CDD505-2E9C-101B-9397-08002B2CF9AE}" pid="8" name="DocHub_WorkActivity">
    <vt:lpwstr>1329;#Content Development|dccdda5d-8a7e-4985-b2c4-2ca9292e75f4</vt:lpwstr>
  </property>
  <property fmtid="{D5CDD505-2E9C-101B-9397-08002B2CF9AE}" pid="9" name="DocHub_BGADeliveryType">
    <vt:lpwstr>1330;#Content|2a4f9e2f-1e2b-4f6c-9e06-4cddf75c4738</vt:lpwstr>
  </property>
  <property fmtid="{D5CDD505-2E9C-101B-9397-08002B2CF9AE}" pid="10" name="DocHub_BGAStakeholders">
    <vt:lpwstr/>
  </property>
</Properties>
</file>